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结合最新披露的《中国航发动力股份有限公司2025年年度报告》，公司未来3到5年（即全面奋进“十五五”新征程期间）的发展情况与战略布局非常清晰，主要体现在以下几个核心方面：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行业多领域需求爆发，应用场景加速拓展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军用航空动力加速换代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：随着加快把人民军队建成世界一流军队的战略要求，以及应对复杂多变的国际形势，我国航空发动机和燃气轮机主力产品换代加速，军用飞机及动力需求将持续稳定增长1。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低空经济与通航动力地位空前提升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：按照国家关于发展新质生产力、打造低空经济新兴产业的战略部署，发展通航动力、支撑低空经济产业发展具有重要的政治、社会和经济效益，战略地位空前提升1。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民用燃机国产化与商用市场攀升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：受国际形势影响，在国家战略与产业政策双轮驱动下，民用燃气轮机国产化替代需求持续增加1。同时，商用航空动力市场需求也在持续攀升1。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“十五五”期间的核心发展战略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深化产学研融合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：公司将充分发挥新型举国体制优势，联合太行国家实验室、科研院所、高校、企业等，持续完善科技创新平台，推进创新链与产业链的深度融合发展2。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军民双向赋能与产品快速迭代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：发挥军品的先行优势，驱动民机、燃机发展，实现技术共享和规模经济2。公司将基于现有产品进行改进改型，实现不同产业间的互补和协同，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快速推出新产品，减少研发时间和成本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，以便在复杂多变的市场环境中抢占发展先机，形成新的增长点2。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近期（2026年）明确的经营与投资计划支撑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为了落实未来的长期发展，公司在起步之年（2026年）制定了明确的目标和投资规划：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财务指标预测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：公司预计2026年实现营业收入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499.49 亿元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（其中航空发动机及衍生产品收入预计为 472.18 亿元），预计实现归属于母公司股东的净利润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5.24 亿元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固定资产投资扩大产能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：为满足未来发展需求，2026年公司及核心子公司将投入大量资金用于固定资产建设和技改。其中，黎明公司计划投资 12.05 亿元，黎阳动力计划投资 7.94 亿元，公司本部计划投资 7.39 亿元，南方公司计划投资 2.21 亿元3, 4。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体而言，在未来的3-5年内，中国航发动力将借助“十五五”规划、低空经济、国产替代等多重国家战略红利，通过技术创新和快速的产品迭代，在军品、商用、通航以及民用燃机四大板块实现协同与规模化发展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