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2026 Business Review</w:t>
      </w:r>
    </w:p>
    <w:p>
      <w:r>
        <w:rPr>
          <w:b/>
        </w:rPr>
        <w:t>Period:</w:t>
      </w:r>
      <w:r>
        <w:t xml:space="preserve"> July 1 – September 30, 2026</w:t>
      </w:r>
      <w:r>
        <w:br/>
      </w:r>
      <w:r>
        <w:rPr>
          <w:b/>
        </w:rPr>
        <w:t>Prepared by:</w:t>
      </w:r>
      <w:r>
        <w:t xml:space="preserve"> Strategy &amp; Operations</w:t>
      </w:r>
    </w:p>
    <w:p>
      <w:pPr>
        <w:pStyle w:val="Heading2"/>
      </w:pPr>
      <w:r>
        <w:t>Overview</w:t>
      </w:r>
    </w:p>
    <w:p>
      <w:r>
        <w:t>Q3 delivered strong revenue growth driven by enterprise adoption and improved conversion from trial to paid. Customer retention improved across all segments.</w:t>
      </w:r>
    </w:p>
    <w:p>
      <w:pPr>
        <w:ind w:left="720"/>
      </w:pPr>
      <w:r>
        <w:t>Revenue exceeded plan by 12%. Net retention reached 118%, the highest quarterly figure this year.</w:t>
      </w:r>
    </w:p>
    <w:p>
      <w:pPr>
        <w:pStyle w:val="Heading2"/>
      </w:pPr>
      <w:r>
        <w:t>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Q2 2026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Q3 2026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2256"/>
          </w:tcPr>
          <w:p>
            <w:r/>
            <w:r>
              <w:t>ARR</w:t>
            </w:r>
          </w:p>
        </w:tc>
        <w:tc>
          <w:tcPr>
            <w:tcW w:type="dxa" w:w="2256"/>
          </w:tcPr>
          <w:p>
            <w:r/>
            <w:r>
              <w:t>$4.2M</w:t>
            </w:r>
          </w:p>
        </w:tc>
        <w:tc>
          <w:tcPr>
            <w:tcW w:type="dxa" w:w="2256"/>
          </w:tcPr>
          <w:p>
            <w:r/>
            <w:r>
              <w:t>$4.9M</w:t>
            </w:r>
          </w:p>
        </w:tc>
        <w:tc>
          <w:tcPr>
            <w:tcW w:type="dxa" w:w="2256"/>
          </w:tcPr>
          <w:p>
            <w:r/>
            <w:r>
              <w:t>+17%</w:t>
            </w:r>
          </w:p>
        </w:tc>
      </w:tr>
      <w:tr>
        <w:tc>
          <w:tcPr>
            <w:tcW w:type="dxa" w:w="2256"/>
          </w:tcPr>
          <w:p>
            <w:r/>
            <w:r>
              <w:t>New customers</w:t>
            </w:r>
          </w:p>
        </w:tc>
        <w:tc>
          <w:tcPr>
            <w:tcW w:type="dxa" w:w="2256"/>
          </w:tcPr>
          <w:p>
            <w:r/>
            <w:r>
              <w:t>142</w:t>
            </w:r>
          </w:p>
        </w:tc>
        <w:tc>
          <w:tcPr>
            <w:tcW w:type="dxa" w:w="2256"/>
          </w:tcPr>
          <w:p>
            <w:r/>
            <w:r>
              <w:t>178</w:t>
            </w:r>
          </w:p>
        </w:tc>
        <w:tc>
          <w:tcPr>
            <w:tcW w:type="dxa" w:w="2256"/>
          </w:tcPr>
          <w:p>
            <w:r/>
            <w:r>
              <w:t>+25%</w:t>
            </w:r>
          </w:p>
        </w:tc>
      </w:tr>
      <w:tr>
        <w:tc>
          <w:tcPr>
            <w:tcW w:type="dxa" w:w="2256"/>
          </w:tcPr>
          <w:p>
            <w:r/>
            <w:r>
              <w:t>Churn rate</w:t>
            </w:r>
          </w:p>
        </w:tc>
        <w:tc>
          <w:tcPr>
            <w:tcW w:type="dxa" w:w="2256"/>
          </w:tcPr>
          <w:p>
            <w:r/>
            <w:r>
              <w:t>3.1%</w:t>
            </w:r>
          </w:p>
        </w:tc>
        <w:tc>
          <w:tcPr>
            <w:tcW w:type="dxa" w:w="2256"/>
          </w:tcPr>
          <w:p>
            <w:r/>
            <w:r>
              <w:t>2.4%</w:t>
            </w:r>
          </w:p>
        </w:tc>
        <w:tc>
          <w:tcPr>
            <w:tcW w:type="dxa" w:w="2256"/>
          </w:tcPr>
          <w:p>
            <w:r/>
            <w:r>
              <w:t>-0.7pp</w:t>
            </w:r>
          </w:p>
        </w:tc>
      </w:tr>
      <w:tr>
        <w:tc>
          <w:tcPr>
            <w:tcW w:type="dxa" w:w="2256"/>
          </w:tcPr>
          <w:p>
            <w:r/>
            <w:r>
              <w:t>NPS</w:t>
            </w:r>
          </w:p>
        </w:tc>
        <w:tc>
          <w:tcPr>
            <w:tcW w:type="dxa" w:w="2256"/>
          </w:tcPr>
          <w:p>
            <w:r/>
            <w:r>
              <w:t>42</w:t>
            </w:r>
          </w:p>
        </w:tc>
        <w:tc>
          <w:tcPr>
            <w:tcW w:type="dxa" w:w="2256"/>
          </w:tcPr>
          <w:p>
            <w:r/>
            <w:r>
              <w:t>47</w:t>
            </w:r>
          </w:p>
        </w:tc>
        <w:tc>
          <w:tcPr>
            <w:tcW w:type="dxa" w:w="2256"/>
          </w:tcPr>
          <w:p>
            <w:r/>
            <w:r>
              <w:t>+5</w:t>
            </w:r>
          </w:p>
        </w:tc>
      </w:tr>
      <w:tr>
        <w:tc>
          <w:tcPr>
            <w:tcW w:type="dxa" w:w="2256"/>
          </w:tcPr>
          <w:p>
            <w:r/>
            <w:r>
              <w:t>Support tickets / 1K users</w:t>
            </w:r>
          </w:p>
        </w:tc>
        <w:tc>
          <w:tcPr>
            <w:tcW w:type="dxa" w:w="2256"/>
          </w:tcPr>
          <w:p>
            <w:r/>
            <w:r>
              <w:t>8.2</w:t>
            </w:r>
          </w:p>
        </w:tc>
        <w:tc>
          <w:tcPr>
            <w:tcW w:type="dxa" w:w="2256"/>
          </w:tcPr>
          <w:p>
            <w:r/>
            <w:r>
              <w:t>6.5</w:t>
            </w:r>
          </w:p>
        </w:tc>
        <w:tc>
          <w:tcPr>
            <w:tcW w:type="dxa" w:w="2256"/>
          </w:tcPr>
          <w:p>
            <w:r/>
            <w:r>
              <w:t>-21%</w:t>
            </w:r>
          </w:p>
        </w:tc>
      </w:tr>
    </w:tbl>
    <w:p>
      <w:pPr>
        <w:pStyle w:val="Heading2"/>
      </w:pPr>
      <w:r>
        <w:t>Highlights</w:t>
      </w:r>
    </w:p>
    <w:p>
      <w:pPr>
        <w:pStyle w:val="ListBullet"/>
        <w:numPr>
          <w:ilvl w:val="0"/>
          <w:numId w:val="2"/>
        </w:numPr>
      </w:pPr>
      <w:r>
        <w:t>Launched self-serve onboarding — reduced time-to-value from 14 days to 3 days</w:t>
      </w:r>
    </w:p>
    <w:p>
      <w:pPr>
        <w:pStyle w:val="ListBullet"/>
        <w:numPr>
          <w:ilvl w:val="0"/>
          <w:numId w:val="2"/>
        </w:numPr>
      </w:pPr>
      <w:r>
        <w:t>Signed 3 Fortune 500 pilot agreements</w:t>
      </w:r>
    </w:p>
    <w:p>
      <w:pPr>
        <w:pStyle w:val="ListBullet"/>
        <w:numPr>
          <w:ilvl w:val="0"/>
          <w:numId w:val="2"/>
        </w:numPr>
      </w:pPr>
      <w:r>
        <w:t>Shipped API v2 with backward-compatible migration path</w:t>
      </w:r>
    </w:p>
    <w:p>
      <w:pPr>
        <w:pStyle w:val="ListBullet"/>
        <w:numPr>
          <w:ilvl w:val="0"/>
          <w:numId w:val="2"/>
        </w:numPr>
      </w:pPr>
      <w:r>
        <w:t>Expanded APAC sales team (Singapore, Tokyo)</w:t>
      </w:r>
    </w:p>
    <w:p>
      <w:pPr>
        <w:pStyle w:val="Heading2"/>
      </w:pPr>
      <w:r>
        <w:t>Challenges</w:t>
      </w:r>
    </w:p>
    <w:p>
      <w:pPr>
        <w:pStyle w:val="ListBullet"/>
        <w:numPr>
          <w:ilvl w:val="0"/>
          <w:numId w:val="2"/>
        </w:numPr>
      </w:pPr>
      <w:r>
        <w:t>Infrastructure costs grew faster than revenue in August (resolved in September)</w:t>
      </w:r>
    </w:p>
    <w:p>
      <w:pPr>
        <w:pStyle w:val="ListBullet"/>
        <w:numPr>
          <w:ilvl w:val="0"/>
          <w:numId w:val="2"/>
        </w:numPr>
      </w:pPr>
      <w:r>
        <w:t>Two enterprise deals slipped to Q4 due to procurement cycles</w:t>
      </w:r>
    </w:p>
    <w:p>
      <w:pPr>
        <w:pStyle w:val="ListBullet"/>
        <w:numPr>
          <w:ilvl w:val="0"/>
          <w:numId w:val="2"/>
        </w:numPr>
      </w:pPr>
      <w:r>
        <w:t>Hiring pace for senior engineers below target</w:t>
      </w:r>
    </w:p>
    <w:p>
      <w:pPr>
        <w:pStyle w:val="Heading2"/>
      </w:pPr>
      <w:r>
        <w:t>Regional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Region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Revenue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% of Total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YoY Growth</w:t>
            </w:r>
          </w:p>
        </w:tc>
      </w:tr>
      <w:tr>
        <w:tc>
          <w:tcPr>
            <w:tcW w:type="dxa" w:w="2256"/>
          </w:tcPr>
          <w:p>
            <w:r/>
            <w:r>
              <w:t>North America</w:t>
            </w:r>
          </w:p>
        </w:tc>
        <w:tc>
          <w:tcPr>
            <w:tcW w:type="dxa" w:w="2256"/>
          </w:tcPr>
          <w:p>
            <w:r/>
            <w:r>
              <w:t>$2.8M</w:t>
            </w:r>
          </w:p>
        </w:tc>
        <w:tc>
          <w:tcPr>
            <w:tcW w:type="dxa" w:w="2256"/>
          </w:tcPr>
          <w:p>
            <w:r/>
            <w:r>
              <w:t>57%</w:t>
            </w:r>
          </w:p>
        </w:tc>
        <w:tc>
          <w:tcPr>
            <w:tcW w:type="dxa" w:w="2256"/>
          </w:tcPr>
          <w:p>
            <w:r/>
            <w:r>
              <w:t>+14%</w:t>
            </w:r>
          </w:p>
        </w:tc>
      </w:tr>
      <w:tr>
        <w:tc>
          <w:tcPr>
            <w:tcW w:type="dxa" w:w="2256"/>
          </w:tcPr>
          <w:p>
            <w:r/>
            <w:r>
              <w:t>EMEA</w:t>
            </w:r>
          </w:p>
        </w:tc>
        <w:tc>
          <w:tcPr>
            <w:tcW w:type="dxa" w:w="2256"/>
          </w:tcPr>
          <w:p>
            <w:r/>
            <w:r>
              <w:t>$1.2M</w:t>
            </w:r>
          </w:p>
        </w:tc>
        <w:tc>
          <w:tcPr>
            <w:tcW w:type="dxa" w:w="2256"/>
          </w:tcPr>
          <w:p>
            <w:r/>
            <w:r>
              <w:t>24%</w:t>
            </w:r>
          </w:p>
        </w:tc>
        <w:tc>
          <w:tcPr>
            <w:tcW w:type="dxa" w:w="2256"/>
          </w:tcPr>
          <w:p>
            <w:r/>
            <w:r>
              <w:t>+19%</w:t>
            </w:r>
          </w:p>
        </w:tc>
      </w:tr>
      <w:tr>
        <w:tc>
          <w:tcPr>
            <w:tcW w:type="dxa" w:w="2256"/>
          </w:tcPr>
          <w:p>
            <w:r/>
            <w:r>
              <w:t>APAC</w:t>
            </w:r>
          </w:p>
        </w:tc>
        <w:tc>
          <w:tcPr>
            <w:tcW w:type="dxa" w:w="2256"/>
          </w:tcPr>
          <w:p>
            <w:r/>
            <w:r>
              <w:t>$0.9M</w:t>
            </w:r>
          </w:p>
        </w:tc>
        <w:tc>
          <w:tcPr>
            <w:tcW w:type="dxa" w:w="2256"/>
          </w:tcPr>
          <w:p>
            <w:r/>
            <w:r>
              <w:t>19%</w:t>
            </w:r>
          </w:p>
        </w:tc>
        <w:tc>
          <w:tcPr>
            <w:tcW w:type="dxa" w:w="2256"/>
          </w:tcPr>
          <w:p>
            <w:r/>
            <w:r>
              <w:t>+28%</w:t>
            </w:r>
          </w:p>
        </w:tc>
      </w:tr>
    </w:tbl>
    <w:p>
      <w:pPr>
        <w:pStyle w:val="Heading2"/>
      </w:pPr>
      <w:r>
        <w:t>Product Updates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Document compiler</w:t>
      </w:r>
      <w:r>
        <w:t xml:space="preserve"> — open-sourced core conversion engine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Batch API</w:t>
      </w:r>
      <w:r>
        <w:t xml:space="preserve"> — convert up to 500 files per request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Template gallery</w:t>
      </w:r>
      <w:r>
        <w:t xml:space="preserve"> — 12 new business report presets</w:t>
      </w:r>
    </w:p>
    <w:p>
      <w:pPr>
        <w:pStyle w:val="Heading2"/>
      </w:pPr>
      <w:r>
        <w:t>Customer Feedback Themes</w:t>
      </w:r>
    </w:p>
    <w:p>
      <w:pPr>
        <w:ind w:left="720"/>
      </w:pPr>
      <w:r>
        <w:t>"The Word output looks professional enough to send to our board without manual reformatting."</w:t>
      </w:r>
    </w:p>
    <w:p>
      <w:pPr>
        <w:ind w:left="720"/>
      </w:pPr>
      <w:r>
        <w:t>"Batch conversion saved our team 6 hours per week on weekly reports."</w:t>
      </w:r>
    </w:p>
    <w:p>
      <w:r>
        <w:t>Common requests:</w:t>
      </w:r>
    </w:p>
    <w:p>
      <w:pPr>
        <w:pStyle w:val="ListBullet"/>
        <w:numPr>
          <w:ilvl w:val="0"/>
          <w:numId w:val="2"/>
        </w:numPr>
      </w:pPr>
      <w:r>
        <w:t>Custom branding / letterhead</w:t>
      </w:r>
    </w:p>
    <w:p>
      <w:pPr>
        <w:pStyle w:val="ListBullet"/>
        <w:numPr>
          <w:ilvl w:val="0"/>
          <w:numId w:val="2"/>
        </w:numPr>
      </w:pPr>
      <w:r>
        <w:t>Automatic table of contents</w:t>
      </w:r>
    </w:p>
    <w:p>
      <w:pPr>
        <w:pStyle w:val="ListBullet"/>
        <w:numPr>
          <w:ilvl w:val="0"/>
          <w:numId w:val="2"/>
        </w:numPr>
      </w:pPr>
      <w:r>
        <w:t>Scheduled batch runs</w:t>
      </w:r>
    </w:p>
    <w:p>
      <w:pPr>
        <w:pStyle w:val="Heading2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Line Item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Q3 Actual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Q3 Plan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Variance</w:t>
            </w:r>
          </w:p>
        </w:tc>
      </w:tr>
      <w:tr>
        <w:tc>
          <w:tcPr>
            <w:tcW w:type="dxa" w:w="2256"/>
          </w:tcPr>
          <w:p>
            <w:r/>
            <w:r>
              <w:t>Revenue</w:t>
            </w:r>
          </w:p>
        </w:tc>
        <w:tc>
          <w:tcPr>
            <w:tcW w:type="dxa" w:w="2256"/>
          </w:tcPr>
          <w:p>
            <w:r/>
            <w:r>
              <w:t>$1.63M</w:t>
            </w:r>
          </w:p>
        </w:tc>
        <w:tc>
          <w:tcPr>
            <w:tcW w:type="dxa" w:w="2256"/>
          </w:tcPr>
          <w:p>
            <w:r/>
            <w:r>
              <w:t>$1.45M</w:t>
            </w:r>
          </w:p>
        </w:tc>
        <w:tc>
          <w:tcPr>
            <w:tcW w:type="dxa" w:w="2256"/>
          </w:tcPr>
          <w:p>
            <w:r/>
            <w:r>
              <w:t>+12%</w:t>
            </w:r>
          </w:p>
        </w:tc>
      </w:tr>
      <w:tr>
        <w:tc>
          <w:tcPr>
            <w:tcW w:type="dxa" w:w="2256"/>
          </w:tcPr>
          <w:p>
            <w:r/>
            <w:r>
              <w:t>COGS</w:t>
            </w:r>
          </w:p>
        </w:tc>
        <w:tc>
          <w:tcPr>
            <w:tcW w:type="dxa" w:w="2256"/>
          </w:tcPr>
          <w:p>
            <w:r/>
            <w:r>
              <w:t>$0.32M</w:t>
            </w:r>
          </w:p>
        </w:tc>
        <w:tc>
          <w:tcPr>
            <w:tcW w:type="dxa" w:w="2256"/>
          </w:tcPr>
          <w:p>
            <w:r/>
            <w:r>
              <w:t>$0.30M</w:t>
            </w:r>
          </w:p>
        </w:tc>
        <w:tc>
          <w:tcPr>
            <w:tcW w:type="dxa" w:w="2256"/>
          </w:tcPr>
          <w:p>
            <w:r/>
            <w:r>
              <w:t>+7%</w:t>
            </w:r>
          </w:p>
        </w:tc>
      </w:tr>
      <w:tr>
        <w:tc>
          <w:tcPr>
            <w:tcW w:type="dxa" w:w="2256"/>
          </w:tcPr>
          <w:p>
            <w:r/>
            <w:r>
              <w:t>Gross margin</w:t>
            </w:r>
          </w:p>
        </w:tc>
        <w:tc>
          <w:tcPr>
            <w:tcW w:type="dxa" w:w="2256"/>
          </w:tcPr>
          <w:p>
            <w:r/>
            <w:r>
              <w:t>80%</w:t>
            </w:r>
          </w:p>
        </w:tc>
        <w:tc>
          <w:tcPr>
            <w:tcW w:type="dxa" w:w="2256"/>
          </w:tcPr>
          <w:p>
            <w:r/>
            <w:r>
              <w:t>79%</w:t>
            </w:r>
          </w:p>
        </w:tc>
        <w:tc>
          <w:tcPr>
            <w:tcW w:type="dxa" w:w="2256"/>
          </w:tcPr>
          <w:p>
            <w:r/>
            <w:r>
              <w:t>+1pp</w:t>
            </w:r>
          </w:p>
        </w:tc>
      </w:tr>
      <w:tr>
        <w:tc>
          <w:tcPr>
            <w:tcW w:type="dxa" w:w="2256"/>
          </w:tcPr>
          <w:p>
            <w:r/>
            <w:r>
              <w:t>OpEx</w:t>
            </w:r>
          </w:p>
        </w:tc>
        <w:tc>
          <w:tcPr>
            <w:tcW w:type="dxa" w:w="2256"/>
          </w:tcPr>
          <w:p>
            <w:r/>
            <w:r>
              <w:t>$1.10M</w:t>
            </w:r>
          </w:p>
        </w:tc>
        <w:tc>
          <w:tcPr>
            <w:tcW w:type="dxa" w:w="2256"/>
          </w:tcPr>
          <w:p>
            <w:r/>
            <w:r>
              <w:t>$1.05M</w:t>
            </w:r>
          </w:p>
        </w:tc>
        <w:tc>
          <w:tcPr>
            <w:tcW w:type="dxa" w:w="2256"/>
          </w:tcPr>
          <w:p>
            <w:r/>
            <w:r>
              <w:t>+5%</w:t>
            </w:r>
          </w:p>
        </w:tc>
      </w:tr>
      <w:tr>
        <w:tc>
          <w:tcPr>
            <w:tcW w:type="dxa" w:w="2256"/>
          </w:tcPr>
          <w:p>
            <w:r/>
            <w:r>
              <w:t>Net income</w:t>
            </w:r>
          </w:p>
        </w:tc>
        <w:tc>
          <w:tcPr>
            <w:tcW w:type="dxa" w:w="2256"/>
          </w:tcPr>
          <w:p>
            <w:r/>
            <w:r>
              <w:t>$0.21M</w:t>
            </w:r>
          </w:p>
        </w:tc>
        <w:tc>
          <w:tcPr>
            <w:tcW w:type="dxa" w:w="2256"/>
          </w:tcPr>
          <w:p>
            <w:r/>
            <w:r>
              <w:t>$0.10M</w:t>
            </w:r>
          </w:p>
        </w:tc>
        <w:tc>
          <w:tcPr>
            <w:tcW w:type="dxa" w:w="2256"/>
          </w:tcPr>
          <w:p>
            <w:r/>
            <w:r>
              <w:t>+110%</w:t>
            </w:r>
          </w:p>
        </w:tc>
      </w:tr>
    </w:tbl>
    <w:p>
      <w:pPr>
        <w:pStyle w:val="Heading2"/>
      </w:pPr>
      <w:r>
        <w:t>Q4 Priorities</w:t>
      </w:r>
    </w:p>
    <w:p>
      <w:pPr>
        <w:pStyle w:val="ListBullet"/>
        <w:numPr>
          <w:ilvl w:val="0"/>
          <w:numId w:val="2"/>
        </w:numPr>
      </w:pPr>
      <w:r>
        <w:t>Close 5 enterprise deals in pipeline ($2.1M weighted)</w:t>
      </w:r>
    </w:p>
    <w:p>
      <w:pPr>
        <w:pStyle w:val="ListBullet"/>
        <w:numPr>
          <w:ilvl w:val="0"/>
          <w:numId w:val="2"/>
        </w:numPr>
      </w:pPr>
      <w:r>
        <w:t>Ship template marketplace (beta)</w:t>
      </w:r>
    </w:p>
    <w:p>
      <w:pPr>
        <w:pStyle w:val="ListBullet"/>
        <w:numPr>
          <w:ilvl w:val="0"/>
          <w:numId w:val="2"/>
        </w:numPr>
      </w:pPr>
      <w:r>
        <w:t>Reduce p95 conversion latency by 40%</w:t>
      </w:r>
    </w:p>
    <w:p>
      <w:pPr>
        <w:pStyle w:val="ListBullet"/>
        <w:numPr>
          <w:ilvl w:val="0"/>
          <w:numId w:val="2"/>
        </w:numPr>
      </w:pPr>
      <w:r>
        <w:t>Hire 4 senior engineers (backend, infra)</w:t>
      </w:r>
    </w:p>
    <w:p>
      <w:pPr>
        <w:pStyle w:val="Heading2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256"/>
          </w:tcPr>
          <w:p>
            <w:r/>
            <w:r>
              <w:t>Economic slowdown</w:t>
            </w:r>
          </w:p>
        </w:tc>
        <w:tc>
          <w:tcPr>
            <w:tcW w:type="dxa" w:w="2256"/>
          </w:tcPr>
          <w:p>
            <w:r/>
            <w:r>
              <w:t>Medium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Expand SMB self-serve</w:t>
            </w:r>
          </w:p>
        </w:tc>
      </w:tr>
      <w:tr>
        <w:tc>
          <w:tcPr>
            <w:tcW w:type="dxa" w:w="2256"/>
          </w:tcPr>
          <w:p>
            <w:r/>
            <w:r>
              <w:t>Competitor pricing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Medium</w:t>
            </w:r>
          </w:p>
        </w:tc>
        <w:tc>
          <w:tcPr>
            <w:tcW w:type="dxa" w:w="2256"/>
          </w:tcPr>
          <w:p>
            <w:r/>
            <w:r>
              <w:t>Differentiate on quality</w:t>
            </w:r>
          </w:p>
        </w:tc>
      </w:tr>
      <w:tr>
        <w:tc>
          <w:tcPr>
            <w:tcW w:type="dxa" w:w="2256"/>
          </w:tcPr>
          <w:p>
            <w:r/>
            <w:r>
              <w:t>Key person departure</w:t>
            </w:r>
          </w:p>
        </w:tc>
        <w:tc>
          <w:tcPr>
            <w:tcW w:type="dxa" w:w="2256"/>
          </w:tcPr>
          <w:p>
            <w:r/>
            <w:r>
              <w:t>Low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Cross-training, docs</w:t>
            </w:r>
          </w:p>
        </w:tc>
      </w:tr>
    </w:tbl>
    <w:p>
      <w:pPr>
        <w:pStyle w:val="Heading2"/>
      </w:pPr>
      <w:r>
        <w:t>Conclusion</w:t>
      </w:r>
    </w:p>
    <w:p>
      <w:r>
        <w:t>Q3 was a breakout quarter. The team should maintain focus on enterprise pipeline while investing in self-serve growth for Q4 and beyond.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Q3 Business Report</w:t>
    </w:r>
    <w:r>
      <w:tab/>
    </w:r>
    <w:r>
      <w:rPr>
        <w:b w:val="0"/>
      </w:rPr>
      <w:t>md-to-docx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F4E79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F4E79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F4E79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