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 xml:space="preserve">1 </w:t>
      </w:r>
      <w:r>
        <w:t>Document Compiler Architecture</w:t>
      </w:r>
    </w:p>
    <w:p>
      <w:r>
        <w:t>This report describes the architecture of an open-source document compiler that transforms Markdown and AI-generated content into professional Word documents.</w:t>
      </w:r>
    </w:p>
    <w:p>
      <w:pPr>
        <w:pStyle w:val="Heading2"/>
      </w:pPr>
      <w:r>
        <w:t xml:space="preserve">1.1 </w:t>
      </w:r>
      <w:r>
        <w:t>Executive Summary</w:t>
      </w:r>
    </w:p>
    <w:p>
      <w:r>
        <w:t>Modern teams write in Markdown — from GitHub READMEs to ChatGPT exports. Delivering polished Word documents still requires manual copy-paste and formatting. A document compiler automates this pipeline while preserving structure, tables, code blocks, and CJK typography.</w:t>
      </w:r>
    </w:p>
    <w:p>
      <w:pPr>
        <w:ind w:left="720"/>
      </w:pPr>
      <w:r>
        <w:rPr>
          <w:b/>
        </w:rPr>
        <w:t>Key insight:</w:t>
      </w:r>
      <w:r>
        <w:t xml:space="preserve"> Treat Markdown → DOCX as a compilation step, not a one-off export.</w:t>
      </w:r>
    </w:p>
    <w:p>
      <w:pPr>
        <w:pStyle w:val="Heading2"/>
      </w:pPr>
      <w:r>
        <w:t xml:space="preserve">1.2 </w:t>
      </w:r>
      <w:r>
        <w:t>Architecture</w:t>
      </w:r>
    </w:p>
    <w:p>
      <w:r>
        <w:t>The system follows a linear pipeline with optional diagram rendering: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" w:name="fig-fig-1"/>
      <w:pPr>
        <w:pStyle w:val="Caption"/>
      </w:pPr>
      <w:r>
        <w:t>Figure 1. Architecture</w:t>
      </w:r>
      <w:bookmarkEnd w:id="1"/>
    </w:p>
    <w:p>
      <w:pPr>
        <w:pStyle w:val="Heading3"/>
      </w:pPr>
      <w:r>
        <w:t xml:space="preserve">1.2.1 </w:t>
      </w:r>
      <w:r>
        <w:t>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t>Normalize</w:t>
            </w:r>
          </w:p>
        </w:tc>
        <w:tc>
          <w:tcPr>
            <w:tcW w:type="dxa" w:w="2256"/>
          </w:tcPr>
          <w:p>
            <w:r/>
            <w:r>
              <w:t xml:space="preserve">Raw </w:t>
            </w:r>
            <w:r>
              <w:rPr>
                <w:rFonts w:ascii="Consolas" w:hAnsi="Consolas"/>
                <w:sz w:val="18"/>
              </w:rPr>
              <w:t>.md</w:t>
            </w:r>
          </w:p>
        </w:tc>
        <w:tc>
          <w:tcPr>
            <w:tcW w:type="dxa" w:w="2256"/>
          </w:tcPr>
          <w:p>
            <w:r/>
            <w:r>
              <w:t xml:space="preserve">Cleaned </w:t>
            </w:r>
            <w:r>
              <w:rPr>
                <w:rFonts w:ascii="Consolas" w:hAnsi="Consolas"/>
                <w:sz w:val="18"/>
              </w:rPr>
              <w:t>.md</w:t>
            </w:r>
          </w:p>
        </w:tc>
        <w:tc>
          <w:tcPr>
            <w:tcW w:type="dxa" w:w="2256"/>
          </w:tcPr>
          <w:p>
            <w:r/>
            <w:r>
              <w:t>Fix tables, headings, blank lines</w:t>
            </w:r>
          </w:p>
        </w:tc>
      </w:tr>
      <w:tr>
        <w:tc>
          <w:tcPr>
            <w:tcW w:type="dxa" w:w="2256"/>
          </w:tcPr>
          <w:p>
            <w:r/>
            <w:r>
              <w:t>Parse</w:t>
            </w:r>
          </w:p>
        </w:tc>
        <w:tc>
          <w:tcPr>
            <w:tcW w:type="dxa" w:w="2256"/>
          </w:tcPr>
          <w:p>
            <w:r/>
            <w:r>
              <w:t xml:space="preserve">Cleaned </w:t>
            </w:r>
            <w:r>
              <w:rPr>
                <w:rFonts w:ascii="Consolas" w:hAnsi="Consolas"/>
                <w:sz w:val="18"/>
              </w:rPr>
              <w:t>.md</w:t>
            </w:r>
          </w:p>
        </w:tc>
        <w:tc>
          <w:tcPr>
            <w:tcW w:type="dxa" w:w="2256"/>
          </w:tcPr>
          <w:p>
            <w:r/>
            <w:r>
              <w:t>Document AST</w:t>
            </w:r>
          </w:p>
        </w:tc>
        <w:tc>
          <w:tcPr>
            <w:tcW w:type="dxa" w:w="2256"/>
          </w:tcPr>
          <w:p>
            <w:r/>
            <w:r>
              <w:t>markdown-it-py + plugins</w:t>
            </w:r>
          </w:p>
        </w:tc>
      </w:tr>
      <w:tr>
        <w:tc>
          <w:tcPr>
            <w:tcW w:type="dxa" w:w="2256"/>
          </w:tcPr>
          <w:p>
            <w:r/>
            <w:r>
              <w:t>Transform</w:t>
            </w:r>
          </w:p>
        </w:tc>
        <w:tc>
          <w:tcPr>
            <w:tcW w:type="dxa" w:w="2256"/>
          </w:tcPr>
          <w:p>
            <w:r/>
            <w:r>
              <w:t>Document AST</w:t>
            </w:r>
          </w:p>
        </w:tc>
        <w:tc>
          <w:tcPr>
            <w:tcW w:type="dxa" w:w="2256"/>
          </w:tcPr>
          <w:p>
            <w:r/>
            <w:r>
              <w:t>Enriched AST</w:t>
            </w:r>
          </w:p>
        </w:tc>
        <w:tc>
          <w:tcPr>
            <w:tcW w:type="dxa" w:w="2256"/>
          </w:tcPr>
          <w:p>
            <w:r/>
            <w:r>
              <w:t>TOC, numbering, Mermaid/math/captions</w:t>
            </w:r>
          </w:p>
        </w:tc>
      </w:tr>
      <w:tr>
        <w:tc>
          <w:tcPr>
            <w:tcW w:type="dxa" w:w="2256"/>
          </w:tcPr>
          <w:p>
            <w:r/>
            <w:r>
              <w:t>Render</w:t>
            </w:r>
          </w:p>
        </w:tc>
        <w:tc>
          <w:tcPr>
            <w:tcW w:type="dxa" w:w="2256"/>
          </w:tcPr>
          <w:p>
            <w:r/>
            <w:r>
              <w:t>Document AST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.docx</w:t>
            </w:r>
          </w:p>
        </w:tc>
        <w:tc>
          <w:tcPr>
            <w:tcW w:type="dxa" w:w="2256"/>
          </w:tcPr>
          <w:p>
            <w:r/>
            <w:r>
              <w:t>python-docx + reference template</w:t>
            </w:r>
          </w:p>
        </w:tc>
      </w:tr>
    </w:tbl>
    <w:p>
      <w:pPr>
        <w:pStyle w:val="Heading3"/>
      </w:pPr>
      <w:r>
        <w:t xml:space="preserve">1.2.2 </w:t>
      </w:r>
      <w:r>
        <w:t>Component Responsibilities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CLI layer</w:t>
      </w:r>
      <w:r>
        <w:t xml:space="preserve"> — discovers files, handles batch conversion, </w:t>
      </w:r>
      <w:r>
        <w:rPr>
          <w:rFonts w:ascii="Consolas" w:hAnsi="Consolas"/>
          <w:sz w:val="18"/>
        </w:rPr>
        <w:t>--dry-run</w:t>
      </w:r>
      <w:r>
        <w:t xml:space="preserve">, </w:t>
      </w:r>
      <w:r>
        <w:rPr>
          <w:rFonts w:ascii="Consolas" w:hAnsi="Consolas"/>
          <w:sz w:val="18"/>
        </w:rPr>
        <w:t>--output-dir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Normalizer</w:t>
      </w:r>
      <w:r>
        <w:t xml:space="preserve"> — CJK-aware heading numbers, list spacing, code fence fixes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Converter</w:t>
      </w:r>
      <w:r>
        <w:t xml:space="preserve"> — parses Markdown to Document AST and renders DOCX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Reference template</w:t>
      </w:r>
      <w:r>
        <w:t xml:space="preserve"> — YaHei body, Consolas code, compact table style</w:t>
      </w:r>
    </w:p>
    <w:p>
      <w:pPr>
        <w:pStyle w:val="Heading2"/>
      </w:pPr>
      <w:r>
        <w:t xml:space="preserve">1.3 </w:t>
      </w:r>
      <w:r>
        <w:t>Implementation Details</w:t>
      </w:r>
    </w:p>
    <w:p>
      <w:pPr>
        <w:pStyle w:val="Heading3"/>
      </w:pPr>
      <w:r>
        <w:t xml:space="preserve">1.3.1 </w:t>
      </w:r>
      <w:r>
        <w:t>Normalization Rules</w:t>
      </w:r>
    </w:p>
    <w:p>
      <w:r>
        <w:t>The normalizer applies deterministic transforms before parsing:</w:t>
      </w:r>
    </w:p>
    <w:p>
      <w:pPr>
        <w:pStyle w:val="MDCodeBlock"/>
      </w:pPr>
    </w:p>
    <w:p>
      <w:pPr>
        <w:pStyle w:val="MDCodeBlock"/>
      </w:pPr>
      <w:r>
        <w:t>class MarkdownNormalizer:</w:t>
      </w:r>
    </w:p>
    <w:p>
      <w:pPr>
        <w:pStyle w:val="MDCodeBlock"/>
      </w:pPr>
      <w:r>
        <w:t xml:space="preserve">    def normalize(self, text: str) -&gt; str:</w:t>
      </w:r>
    </w:p>
    <w:p>
      <w:pPr>
        <w:pStyle w:val="MDCodeBlock"/>
      </w:pPr>
      <w:r>
        <w:t xml:space="preserve">        text = self._fix_tables(text)</w:t>
      </w:r>
    </w:p>
    <w:p>
      <w:pPr>
        <w:pStyle w:val="MDCodeBlock"/>
      </w:pPr>
      <w:r>
        <w:t xml:space="preserve">        text = self._fix_headings(text)</w:t>
      </w:r>
    </w:p>
    <w:p>
      <w:pPr>
        <w:pStyle w:val="MDCodeBlock"/>
      </w:pPr>
      <w:r>
        <w:t xml:space="preserve">        text = self._fix_code_blocks(text)</w:t>
      </w:r>
    </w:p>
    <w:p>
      <w:pPr>
        <w:pStyle w:val="MDCodeBlock"/>
      </w:pPr>
      <w:r>
        <w:t xml:space="preserve">        return text</w:t>
      </w:r>
    </w:p>
    <w:p>
      <w:pPr>
        <w:pStyle w:val="Heading3"/>
      </w:pPr>
      <w:r>
        <w:t xml:space="preserve">1.3.2 </w:t>
      </w:r>
      <w:r>
        <w:t>Native Invocation</w:t>
      </w:r>
    </w:p>
    <w:p>
      <w:pPr>
        <w:pStyle w:val="MDCodeBlock"/>
      </w:pPr>
    </w:p>
    <w:p>
      <w:pPr>
        <w:pStyle w:val="MDCodeBlock"/>
      </w:pPr>
      <w:r>
        <w:t>./bin/convert input.md --preset technical --toc --numbering</w:t>
      </w:r>
    </w:p>
    <w:p>
      <w:pPr>
        <w:pStyle w:val="Heading2"/>
      </w:pPr>
      <w:r>
        <w:t xml:space="preserve">1.4 </w:t>
      </w:r>
      <w:r>
        <w:t>Performance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Environment</w:t>
            </w:r>
          </w:p>
        </w:tc>
      </w:tr>
      <w:tr>
        <w:tc>
          <w:tcPr>
            <w:tcW w:type="dxa" w:w="3009"/>
          </w:tcPr>
          <w:p>
            <w:r/>
            <w:r>
              <w:t>Single file (&lt; 50 KB)</w:t>
            </w:r>
          </w:p>
        </w:tc>
        <w:tc>
          <w:tcPr>
            <w:tcW w:type="dxa" w:w="3009"/>
          </w:tcPr>
          <w:p>
            <w:r/>
            <w:r>
              <w:t>&lt; 2 s</w:t>
            </w:r>
          </w:p>
        </w:tc>
        <w:tc>
          <w:tcPr>
            <w:tcW w:type="dxa" w:w="3009"/>
          </w:tcPr>
          <w:p>
            <w:r/>
            <w:r>
              <w:t>macOS, Python 3.10+</w:t>
            </w:r>
          </w:p>
        </w:tc>
      </w:tr>
      <w:tr>
        <w:tc>
          <w:tcPr>
            <w:tcW w:type="dxa" w:w="3009"/>
          </w:tcPr>
          <w:p>
            <w:r/>
            <w:r>
              <w:t>Batch 100 files</w:t>
            </w:r>
          </w:p>
        </w:tc>
        <w:tc>
          <w:tcPr>
            <w:tcW w:type="dxa" w:w="3009"/>
          </w:tcPr>
          <w:p>
            <w:r/>
            <w:r>
              <w:t>&lt; 3 min</w:t>
            </w:r>
          </w:p>
        </w:tc>
        <w:tc>
          <w:tcPr>
            <w:tcW w:type="dxa" w:w="3009"/>
          </w:tcPr>
          <w:p>
            <w:r/>
            <w:r>
              <w:t>SSD, no Mermaid</w:t>
            </w:r>
          </w:p>
        </w:tc>
      </w:tr>
      <w:tr>
        <w:tc>
          <w:tcPr>
            <w:tcW w:type="dxa" w:w="3009"/>
          </w:tcPr>
          <w:p>
            <w:r/>
            <w:r>
              <w:t>Mermaid per diagram</w:t>
            </w:r>
          </w:p>
        </w:tc>
        <w:tc>
          <w:tcPr>
            <w:tcW w:type="dxa" w:w="3009"/>
          </w:tcPr>
          <w:p>
            <w:r/>
            <w:r>
              <w:t>3–8 s</w:t>
            </w:r>
          </w:p>
        </w:tc>
        <w:tc>
          <w:tcPr>
            <w:tcW w:type="dxa" w:w="3009"/>
          </w:tcPr>
          <w:p>
            <w:r/>
            <w:r>
              <w:t xml:space="preserve">Depends on </w:t>
            </w:r>
            <w:r>
              <w:rPr>
                <w:rFonts w:ascii="Consolas" w:hAnsi="Consolas"/>
                <w:sz w:val="18"/>
              </w:rPr>
              <w:t>mmdc</w:t>
            </w:r>
            <w:r>
              <w:t xml:space="preserve"> + browser</w:t>
            </w:r>
          </w:p>
        </w:tc>
      </w:tr>
    </w:tbl>
    <w:p>
      <w:pPr>
        <w:pStyle w:val="Heading2"/>
      </w:pPr>
      <w:r>
        <w:t xml:space="preserve">1.5 </w:t>
      </w:r>
      <w:r>
        <w:t>Security Considerations</w:t>
      </w:r>
    </w:p>
    <w:p>
      <w:pPr>
        <w:pStyle w:val="ListBullet"/>
        <w:numPr>
          <w:ilvl w:val="0"/>
          <w:numId w:val="2"/>
        </w:numPr>
      </w:pPr>
      <w:r>
        <w:t>Source files are never modified in place</w:t>
      </w:r>
    </w:p>
    <w:p>
      <w:pPr>
        <w:pStyle w:val="ListBullet"/>
        <w:numPr>
          <w:ilvl w:val="0"/>
          <w:numId w:val="2"/>
        </w:numPr>
      </w:pPr>
      <w:r>
        <w:t>Temporary files use a predictable prefix and are cleaned up</w:t>
      </w:r>
    </w:p>
    <w:p>
      <w:pPr>
        <w:pStyle w:val="ListBullet"/>
        <w:numPr>
          <w:ilvl w:val="0"/>
          <w:numId w:val="2"/>
        </w:numPr>
      </w:pPr>
      <w:r>
        <w:t>No network calls during conversion (offline-first)</w:t>
      </w:r>
    </w:p>
    <w:p>
      <w:pPr>
        <w:pStyle w:val="ListBullet"/>
        <w:numPr>
          <w:ilvl w:val="0"/>
          <w:numId w:val="2"/>
        </w:numPr>
      </w:pPr>
      <w:r>
        <w:t>Optional Mermaid rendering via mmdc</w:t>
      </w:r>
    </w:p>
    <w:p>
      <w:pPr>
        <w:pStyle w:val="Heading2"/>
      </w:pPr>
      <w:r>
        <w:t xml:space="preserve">1.6 </w:t>
      </w:r>
      <w:r>
        <w:t>Internationalization</w:t>
      </w:r>
    </w:p>
    <w:p>
      <w:r>
        <w:t xml:space="preserve">The reference template sets </w:t>
      </w:r>
      <w:r>
        <w:rPr>
          <w:rFonts w:ascii="Consolas" w:hAnsi="Consolas"/>
          <w:sz w:val="18"/>
        </w:rPr>
        <w:t>zh-CN</w:t>
      </w:r>
      <w:r>
        <w:t xml:space="preserve"> theme language and uses Microsoft YaHei for body text. English headings and code remain in Consolas. Mixed Chinese/English paragraphs render correctly without manual font switching.</w:t>
      </w:r>
    </w:p>
    <w:p>
      <w:pPr>
        <w:pStyle w:val="Heading3"/>
      </w:pPr>
      <w:r>
        <w:t xml:space="preserve">1.6.1 </w:t>
      </w:r>
      <w:r>
        <w:t>中文混排示例</w:t>
      </w:r>
    </w:p>
    <w:p>
      <w:r>
        <w:t>本编译器支持中英文混排：标题可以是 English，正文可以是中文，表格和代码块保持统一风格。这对于技术团队撰写 bilingual 文档非常实用。</w:t>
      </w:r>
    </w:p>
    <w:p>
      <w:pPr>
        <w:pStyle w:val="Heading2"/>
      </w:pPr>
      <w:r>
        <w:t xml:space="preserve">1.7 </w:t>
      </w:r>
      <w:r>
        <w:t>Future Work</w:t>
      </w:r>
    </w:p>
    <w:p>
      <w:pPr>
        <w:pStyle w:val="ListBullet"/>
        <w:numPr>
          <w:ilvl w:val="0"/>
          <w:numId w:val="2"/>
        </w:numPr>
      </w:pPr>
      <w:r>
        <w:t>Additional template presets and plugin hooks</w:t>
      </w:r>
    </w:p>
    <w:p>
      <w:pPr>
        <w:pStyle w:val="ListBullet"/>
        <w:numPr>
          <w:ilvl w:val="0"/>
          <w:numId w:val="2"/>
        </w:numPr>
      </w:pPr>
      <w:r>
        <w:t>Template presets — academic, business, API reference</w:t>
      </w:r>
    </w:p>
    <w:p>
      <w:pPr>
        <w:pStyle w:val="ListBullet"/>
        <w:numPr>
          <w:ilvl w:val="0"/>
          <w:numId w:val="2"/>
        </w:numPr>
      </w:pPr>
      <w:r>
        <w:t>Table of contents generation</w:t>
      </w:r>
    </w:p>
    <w:p>
      <w:pPr>
        <w:pStyle w:val="ListBullet"/>
        <w:numPr>
          <w:ilvl w:val="0"/>
          <w:numId w:val="2"/>
        </w:numPr>
      </w:pPr>
      <w:r>
        <w:t>OMML math support</w:t>
      </w:r>
    </w:p>
    <w:p>
      <w:pPr>
        <w:pStyle w:val="Heading2"/>
      </w:pPr>
      <w:r>
        <w:t xml:space="preserve">1.8 </w:t>
      </w:r>
      <w:r>
        <w:t>Conclusion</w:t>
      </w:r>
    </w:p>
    <w:p>
      <w:r>
        <w:t>A focused document compiler turns AI-era Markdown workflows into deliverable Word documents with one command. The architecture prioritizes reliability, offline operation, and CJK typography over feature breadth.</w:t>
      </w:r>
    </w:p>
    <w:p>
      <w:pPr>
        <w:pStyle w:val="Heading2"/>
      </w:pPr>
      <w:r>
        <w:t xml:space="preserve">1.9 </w:t>
      </w:r>
      <w:r>
        <w:t>References</w:t>
      </w:r>
    </w:p>
    <w:p>
      <w:pPr>
        <w:pStyle w:val="ListNumber"/>
        <w:numPr>
          <w:ilvl w:val="0"/>
          <w:numId w:val="1"/>
        </w:numPr>
      </w:pPr>
      <w:r>
        <w:t>md-to-docx documentation — https://github.com/sunliang11/md-to-docx</w:t>
      </w:r>
    </w:p>
    <w:p>
      <w:pPr>
        <w:pStyle w:val="ListNumber"/>
        <w:numPr>
          <w:ilvl w:val="0"/>
          <w:numId w:val="1"/>
        </w:numPr>
      </w:pPr>
      <w:r>
        <w:t>GitHub Flavored Markdown Spec</w:t>
      </w:r>
    </w:p>
    <w:p>
      <w:pPr>
        <w:pStyle w:val="ListNumber"/>
        <w:numPr>
          <w:ilvl w:val="0"/>
          <w:numId w:val="1"/>
        </w:numPr>
      </w:pPr>
      <w:r>
        <w:t>Office Open XML (OOXML) standard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Technical Report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E3A5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