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eastAsia="zh-CN"/>
              </w:rPr>
              <w:t>照</w:t>
            </w:r>
            <w:bookmarkStart w:id="0" w:name="_GoBack"/>
            <w:bookmarkEnd w:id="0"/>
            <w:r>
              <w:rPr>
                <w:rFonts w:hint="default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eastAsia="zh-CN"/>
              </w:rPr>
              <w:t>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3"/>
                <w:sz w:val="23"/>
                <w:szCs w:val="23"/>
              </w:rPr>
              <w:t>397585361@qq.com</w:t>
            </w:r>
            <w:r>
              <w:rPr>
                <w:rStyle w:val="3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8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7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 xml:space="preserve"> - 2019.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8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和组件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开发和维护（约600台服务器）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（主导）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仓库、推荐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、数据分析等所提需求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小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堆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2.消费属性：购买力强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弱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3.喜爱属性：影片类型偏好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(*)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.标签稀疏问题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(针对基本属性和喜好属性)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出现在天级计算，解决方法是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hive中类似增量存储，mysql中存储过去一周时间段</w:t>
            </w:r>
          </w:p>
        </w:tc>
      </w:tr>
      <w:tr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最新的标签，极限是一周。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2EB362C"/>
    <w:rsid w:val="1318597F"/>
    <w:rsid w:val="15B16C88"/>
    <w:rsid w:val="17F7575C"/>
    <w:rsid w:val="18A9325E"/>
    <w:rsid w:val="198D56F9"/>
    <w:rsid w:val="1C8C7502"/>
    <w:rsid w:val="1F7B76D7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0BF662E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DFB49A2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7FF76EF"/>
    <w:rsid w:val="79623513"/>
    <w:rsid w:val="7AF17079"/>
    <w:rsid w:val="7D3D4E29"/>
    <w:rsid w:val="7E822E2E"/>
    <w:rsid w:val="B3FA0377"/>
    <w:rsid w:val="C7FB10B8"/>
    <w:rsid w:val="F9E583E0"/>
    <w:rsid w:val="FE7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2019-04-18T06:39:00Z</dcterms:created>
  <dc:creator>sunliangliang</dc:creator>
  <cp:lastModifiedBy>sunliangliang</cp:lastModifiedBy>
  <dcterms:modified xsi:type="dcterms:W3CDTF">2020-06-16T00:04:57Z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