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1A1A1A"/>
          <w:sz w:val="28"/>
          <w:rFonts w:ascii="Times New Roman" w:hAnsi="Times New Roman" w:cs="Times New Roman"/>
        </w:rPr>
        <w:t>PHIẾU ĐĂNG KÝ TÀI KHOẢN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color w:val="1A1A1A"/>
          <w:sz w:val="26"/>
          <w:rFonts w:ascii="Times New Roman" w:hAnsi="Times New Roman" w:cs="Times New Roman"/>
        </w:rPr>
        <w:t>Sử dụng Hệ thống thông tin về giám sát, đánh giá đầu tư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Kính gửi: Cục Công nghệ thông tin và chuyển đổi số, Bộ Tài chính</w:t>
      </w:r>
    </w:p>
    <w:p>
      <w:pPr>
        <w:spacing w:before="80" w:after="100" w:line="276" w:lineRule="auto"/>
      </w:pPr>
      <w:r>
        <w:rPr>
          <w:rFonts w:ascii="Times New Roman" w:hAnsi="Times New Roman"/>
          <w:b/>
          <w:i w:val="0"/>
          <w:color w:val="1A1A1A"/>
          <w:sz w:val="26"/>
          <w:rFonts w:ascii="Times New Roman" w:hAnsi="Times New Roman" w:cs="Times New Roman"/>
        </w:rPr>
        <w:t>1. Thông tin dự án</w:t>
      </w:r>
    </w:p>
    <w:p>
      <w:pPr>
        <w:tabs>
          <w:tab w:pos="3288" w:val="left"/>
          <w:tab w:pos="6350" w:val="left"/>
        </w:tabs>
        <w:spacing w:before="0" w:after="120" w:line="276" w:lineRule="auto"/>
        <w:ind w:left="283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☐ Dự án theo Luật ĐTC</w:t>
        <w:tab/>
        <w:t>☐ Dự án theo Luật PPP</w:t>
        <w:tab/>
        <w:t>☐ Dự án theo Luật đầu tư</w:t>
      </w:r>
    </w:p>
    <w:p>
      <w:pPr>
        <w:spacing w:before="0" w:after="260" w:line="276" w:lineRule="auto"/>
        <w:ind w:left="283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Đối tượng đăng ký tài khoản: ...</w:t>
      </w:r>
    </w:p>
    <w:p>
      <w:pPr>
        <w:spacing w:before="80" w:after="100" w:line="276" w:lineRule="auto"/>
      </w:pPr>
      <w:r>
        <w:rPr>
          <w:rFonts w:ascii="Times New Roman" w:hAnsi="Times New Roman"/>
          <w:b/>
          <w:i w:val="0"/>
          <w:color w:val="1A1A1A"/>
          <w:sz w:val="26"/>
          <w:rFonts w:ascii="Times New Roman" w:hAnsi="Times New Roman" w:cs="Times New Roman"/>
        </w:rPr>
        <w:t>2. Thông tin doanh nghiệp đăng ký tài khoản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2.1. Tên doanh nghiệp (VN):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2.2. Mã số DN (MST)/ Mã QHNS: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2.3. Ngày cấp &amp; Cơ quan cấp: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2.4. Trụ sở chính: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2.5. Người đại diện pháp luật: ...          Chức vụ: ...</w:t>
      </w:r>
    </w:p>
    <w:p>
      <w:pPr>
        <w:spacing w:before="0" w:after="24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2.6. Ngành nghề (Mã VSIC): ...</w:t>
      </w:r>
    </w:p>
    <w:p>
      <w:pPr>
        <w:spacing w:before="80" w:after="100" w:line="276" w:lineRule="auto"/>
      </w:pPr>
      <w:r>
        <w:rPr>
          <w:rFonts w:ascii="Times New Roman" w:hAnsi="Times New Roman"/>
          <w:b/>
          <w:i w:val="0"/>
          <w:color w:val="1A1A1A"/>
          <w:sz w:val="26"/>
          <w:rFonts w:ascii="Times New Roman" w:hAnsi="Times New Roman" w:cs="Times New Roman"/>
        </w:rPr>
        <w:t>3. Thông tin người được giao quản lý, sử dụng tài khoản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3.1. Họ và tên: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3.2. Chức vụ: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3.3. Đơn vị công tác: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3.4. Số CMND: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3.5. Điện thoại di động: ...</w:t>
      </w:r>
    </w:p>
    <w:p>
      <w:pPr>
        <w:spacing w:before="0" w:after="80" w:line="276" w:lineRule="auto"/>
        <w:ind w:left="624" w:hanging="340"/>
        <w:jc w:val="left"/>
      </w:pPr>
      <w:r>
        <w:rPr>
          <w:rFonts w:ascii="Times New Roman" w:hAnsi="Times New Roman"/>
          <w:b w:val="0"/>
          <w:i w:val="0"/>
          <w:color w:val="1A1A1A"/>
          <w:sz w:val="26"/>
          <w:rFonts w:ascii="Times New Roman" w:hAnsi="Times New Roman" w:cs="Times New Roman"/>
        </w:rPr>
        <w:t>3.6. Thư điện tử: ...</w:t>
      </w:r>
    </w:p>
    <w:sectPr w:rsidR="00FC693F" w:rsidRPr="0006063C" w:rsidSect="00034616">
      <w:pgSz w:w="11906" w:h="16838"/>
      <w:pgMar w:top="1247" w:right="1020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