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素材授权清单：现状、风险、证据缺口与下一步</w:t>
      </w:r>
    </w:p>
    <w:p>
      <w:r>
        <w:t>本周围绕素材授权清单完成阶段性梳理，重点汇总当前授权现状、潜在合规风险、现有证据缺口及后续推进事项，为后续素材使用合规核查和授权补齐提供依据。</w:t>
      </w:r>
    </w:p>
    <w:p>
      <w:pPr>
        <w:pStyle w:val="Heading1"/>
      </w:pPr>
      <w:r>
        <w:t>本周进展</w:t>
      </w:r>
    </w:p>
    <w:p>
      <w:r>
        <w:t>生成一份 Word 素材授权清单，包含现状、风险、证据缺口和下一步。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