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不要联网。 说明今天刚更新的车况报告和过户政策时效边界，并提醒不能直接当作最新结论</w:t>
      </w:r>
    </w:p>
    <w:p>
      <w:r>
        <w:t>围绕不要联网。 说明今天刚更新的车况报告和过户政策时效边界，并提醒不能直接当作最新结论整理本周进展、风险与下一步。</w:t>
      </w:r>
    </w:p>
    <w:p>
      <w:pPr>
        <w:pStyle w:val="Heading1"/>
      </w:pPr>
      <w:r>
        <w:t>本周进展</w:t>
      </w:r>
    </w:p>
    <w:p>
      <w:r>
        <w:t>不要联网。请说明今天刚更新的车况报告和过户政策时效边界，并提醒不能直接当作最新结论。</w:t>
      </w:r>
    </w:p>
    <w:p>
      <w:pPr>
        <w:pStyle w:val="Heading1"/>
      </w:pPr>
      <w:r>
        <w:t>风险与问题</w:t>
      </w:r>
    </w:p>
    <w:p>
      <w:r>
        <w:t>暂无额外风险，后续按上线节奏持续观察。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暂无额外风险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