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不要联网。 说明今天刚更新的挂号规则和检查报告时效时效边界，并提醒不能直接当作最新结论</w:t>
      </w:r>
    </w:p>
    <w:p>
      <w:r>
        <w:t>围绕不要联网。 说明今天刚更新的挂号规则和检查报告时效时效边界，并提醒不能直接当作最新结论整理本周进展、风险与下一步。</w:t>
      </w:r>
    </w:p>
    <w:p>
      <w:pPr>
        <w:pStyle w:val="Heading1"/>
      </w:pPr>
      <w:r>
        <w:t>本周进展</w:t>
      </w:r>
    </w:p>
    <w:p>
      <w:r>
        <w:t>不要联网。请说明今天刚更新的挂号规则和检查报告时效时效边界，并提醒不能直接当作最新结论。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