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如果 文件还没真正 成功，你应该怎么诚实回复？</w:t>
      </w:r>
    </w:p>
    <w:p>
      <w:r>
        <w:t>围绕如果 文件还没真正 成功，你应该怎么诚实回复？整理本周进展、风险与下一步。</w:t>
      </w:r>
    </w:p>
    <w:p>
      <w:pPr>
        <w:pStyle w:val="Heading1"/>
      </w:pPr>
      <w:r>
        <w:t>本周进展</w:t>
      </w:r>
    </w:p>
    <w:p>
      <w:r>
        <w:t>如果 Word 文件还没真正生成成功，你应该怎么诚实回复？</w:t>
      </w:r>
    </w:p>
    <w:p>
      <w:pPr>
        <w:pStyle w:val="Heading1"/>
      </w:pPr>
      <w:r>
        <w:t>风险与问题</w:t>
      </w:r>
    </w:p>
    <w:p>
      <w:r>
        <w:t>暂无额外风险，后续按上线节奏持续观察。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暂无额外风险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