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跨境材料交接，包含现状、风险、证据缺口和下一步</w:t>
      </w:r>
    </w:p>
    <w:p>
      <w:r>
        <w:t>围绕一份 跨境材料交接，包含现状、风险、证据缺口和下一步整理本周进展、风险与下一步。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跨境材料交接，包含现状、风险、证据缺口和下一步。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