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09" w:rsidRDefault="00FF210A" w:rsidP="007A4553">
      <w:pPr>
        <w:rPr>
          <w:rFonts w:eastAsia="Calibri"/>
        </w:rPr>
      </w:pPr>
      <w:bookmarkStart w:id="0" w:name="_GoBack"/>
      <w:bookmarkEnd w:id="0"/>
      <w:r w:rsidRPr="00770606">
        <w:rPr>
          <w:rFonts w:eastAsia="Calibri"/>
        </w:rPr>
        <w:t>W</w:t>
      </w:r>
      <w:r w:rsidR="009D58CA" w:rsidRPr="00770606">
        <w:rPr>
          <w:rFonts w:eastAsia="Calibri"/>
        </w:rPr>
        <w:t xml:space="preserve">ASHINGTON– </w:t>
      </w:r>
      <w:r w:rsidR="006171B8">
        <w:rPr>
          <w:rFonts w:eastAsia="Calibri"/>
        </w:rPr>
        <w:t>The Pew Charitable Trust</w:t>
      </w:r>
      <w:r w:rsidR="00161D3D">
        <w:rPr>
          <w:rFonts w:eastAsia="Calibri"/>
        </w:rPr>
        <w:t>s</w:t>
      </w:r>
      <w:r w:rsidR="006171B8">
        <w:rPr>
          <w:rFonts w:eastAsia="Calibri"/>
        </w:rPr>
        <w:t>’</w:t>
      </w:r>
      <w:r w:rsidR="00161D3D">
        <w:rPr>
          <w:rFonts w:eastAsia="Calibri"/>
        </w:rPr>
        <w:t xml:space="preserve"> Subsidyscope project released </w:t>
      </w:r>
      <w:r w:rsidR="00CF0356">
        <w:rPr>
          <w:rFonts w:eastAsia="Calibri"/>
        </w:rPr>
        <w:t>a</w:t>
      </w:r>
      <w:r w:rsidR="00161D3D">
        <w:rPr>
          <w:rFonts w:eastAsia="Calibri"/>
        </w:rPr>
        <w:t xml:space="preserve"> first-of-its-kind database today that allows users to </w:t>
      </w:r>
      <w:r w:rsidR="00E14C0A">
        <w:rPr>
          <w:rFonts w:eastAsia="Calibri"/>
        </w:rPr>
        <w:t>view</w:t>
      </w:r>
      <w:r w:rsidR="00892C6A">
        <w:rPr>
          <w:rFonts w:eastAsia="Calibri"/>
        </w:rPr>
        <w:t xml:space="preserve">, </w:t>
      </w:r>
      <w:r w:rsidR="00161D3D">
        <w:rPr>
          <w:rFonts w:eastAsia="Calibri"/>
        </w:rPr>
        <w:t>compare</w:t>
      </w:r>
      <w:r w:rsidR="00892C6A">
        <w:rPr>
          <w:rFonts w:eastAsia="Calibri"/>
        </w:rPr>
        <w:t xml:space="preserve"> and sort</w:t>
      </w:r>
      <w:r w:rsidR="00256DBE">
        <w:rPr>
          <w:rFonts w:eastAsia="Calibri"/>
        </w:rPr>
        <w:t xml:space="preserve"> income</w:t>
      </w:r>
      <w:r w:rsidR="00161D3D">
        <w:rPr>
          <w:rFonts w:eastAsia="Calibri"/>
        </w:rPr>
        <w:t xml:space="preserve"> tax expenditures </w:t>
      </w:r>
      <w:r w:rsidR="00573A06">
        <w:rPr>
          <w:rFonts w:eastAsia="Calibri"/>
        </w:rPr>
        <w:t xml:space="preserve">across </w:t>
      </w:r>
      <w:r w:rsidR="00AD5484">
        <w:rPr>
          <w:rFonts w:eastAsia="Calibri"/>
        </w:rPr>
        <w:t xml:space="preserve">more than </w:t>
      </w:r>
      <w:r w:rsidR="007E3C5E">
        <w:rPr>
          <w:rFonts w:eastAsia="Calibri"/>
        </w:rPr>
        <w:t xml:space="preserve">a dozen </w:t>
      </w:r>
      <w:r w:rsidR="00256DBE">
        <w:rPr>
          <w:rFonts w:eastAsia="Calibri"/>
        </w:rPr>
        <w:t>economic</w:t>
      </w:r>
      <w:r w:rsidR="00161D3D">
        <w:rPr>
          <w:rFonts w:eastAsia="Calibri"/>
        </w:rPr>
        <w:t xml:space="preserve"> sector</w:t>
      </w:r>
      <w:r w:rsidR="00256DBE">
        <w:rPr>
          <w:rFonts w:eastAsia="Calibri"/>
        </w:rPr>
        <w:t>s</w:t>
      </w:r>
      <w:r w:rsidR="006373BC">
        <w:rPr>
          <w:rFonts w:eastAsia="Calibri"/>
        </w:rPr>
        <w:t>,</w:t>
      </w:r>
      <w:r w:rsidR="00256DBE">
        <w:rPr>
          <w:rFonts w:eastAsia="Calibri"/>
        </w:rPr>
        <w:t xml:space="preserve"> including health, agriculture, education</w:t>
      </w:r>
      <w:r w:rsidR="003F4C18">
        <w:rPr>
          <w:rFonts w:eastAsia="Calibri"/>
        </w:rPr>
        <w:t>, energy, housing, transportation</w:t>
      </w:r>
      <w:r w:rsidR="00256DBE">
        <w:rPr>
          <w:rFonts w:eastAsia="Calibri"/>
        </w:rPr>
        <w:t xml:space="preserve"> and defense</w:t>
      </w:r>
      <w:r w:rsidR="003F4C18">
        <w:rPr>
          <w:rFonts w:eastAsia="Calibri"/>
        </w:rPr>
        <w:t>, among others</w:t>
      </w:r>
      <w:r w:rsidR="00161D3D">
        <w:rPr>
          <w:rFonts w:eastAsia="Calibri"/>
        </w:rPr>
        <w:t xml:space="preserve">. </w:t>
      </w:r>
      <w:r w:rsidR="00890A30">
        <w:rPr>
          <w:rFonts w:eastAsia="Calibri"/>
        </w:rPr>
        <w:t>Pew</w:t>
      </w:r>
      <w:r w:rsidR="000958D4">
        <w:rPr>
          <w:rFonts w:eastAsia="Calibri"/>
        </w:rPr>
        <w:t>’s</w:t>
      </w:r>
      <w:r w:rsidR="00890A30">
        <w:rPr>
          <w:rFonts w:eastAsia="Calibri"/>
        </w:rPr>
        <w:t xml:space="preserve"> Tax Expenditure Database </w:t>
      </w:r>
      <w:r w:rsidR="006B5E7E">
        <w:rPr>
          <w:rFonts w:eastAsia="Calibri"/>
        </w:rPr>
        <w:t xml:space="preserve">is </w:t>
      </w:r>
      <w:r w:rsidR="00845206">
        <w:rPr>
          <w:rFonts w:eastAsia="Calibri"/>
        </w:rPr>
        <w:t xml:space="preserve">a </w:t>
      </w:r>
      <w:r w:rsidR="00256DBE">
        <w:rPr>
          <w:rFonts w:eastAsia="Calibri"/>
        </w:rPr>
        <w:t>W</w:t>
      </w:r>
      <w:r w:rsidR="00892C6A">
        <w:rPr>
          <w:rFonts w:eastAsia="Calibri"/>
        </w:rPr>
        <w:t>eb-based</w:t>
      </w:r>
      <w:r w:rsidR="006B5E7E">
        <w:rPr>
          <w:rFonts w:eastAsia="Calibri"/>
        </w:rPr>
        <w:t xml:space="preserve"> tool</w:t>
      </w:r>
      <w:r w:rsidR="00890A30">
        <w:rPr>
          <w:rFonts w:eastAsia="Calibri"/>
        </w:rPr>
        <w:t xml:space="preserve"> that</w:t>
      </w:r>
      <w:r w:rsidR="006B5E7E">
        <w:rPr>
          <w:rFonts w:eastAsia="Calibri"/>
        </w:rPr>
        <w:t xml:space="preserve"> includes estimates from both the U.S. Department of the Treasury and Congress’ Joint Committee on Taxation (JCT). </w:t>
      </w:r>
    </w:p>
    <w:p w:rsidR="006B5E7E" w:rsidRDefault="006B5E7E" w:rsidP="007A4553">
      <w:pPr>
        <w:rPr>
          <w:rFonts w:eastAsia="Calibri"/>
        </w:rPr>
      </w:pPr>
    </w:p>
    <w:p w:rsidR="00F7704D" w:rsidRDefault="00CF0356" w:rsidP="007A4553">
      <w:pPr>
        <w:rPr>
          <w:rFonts w:eastAsia="Calibri"/>
        </w:rPr>
      </w:pPr>
      <w:r>
        <w:rPr>
          <w:rFonts w:eastAsia="Calibri"/>
        </w:rPr>
        <w:t>“</w:t>
      </w:r>
      <w:r w:rsidR="00972A8D">
        <w:rPr>
          <w:rFonts w:eastAsia="Calibri"/>
        </w:rPr>
        <w:t>T</w:t>
      </w:r>
      <w:r>
        <w:rPr>
          <w:rFonts w:eastAsia="Calibri"/>
        </w:rPr>
        <w:t xml:space="preserve">ransparency about tax expenditures will prove to be </w:t>
      </w:r>
      <w:r w:rsidR="00E14C0A">
        <w:rPr>
          <w:rFonts w:eastAsia="Calibri"/>
        </w:rPr>
        <w:t>increasingly</w:t>
      </w:r>
      <w:r>
        <w:rPr>
          <w:rFonts w:eastAsia="Calibri"/>
        </w:rPr>
        <w:t xml:space="preserve"> </w:t>
      </w:r>
      <w:r w:rsidR="00E14C0A">
        <w:rPr>
          <w:rFonts w:eastAsia="Calibri"/>
        </w:rPr>
        <w:t xml:space="preserve">important </w:t>
      </w:r>
      <w:r w:rsidR="000958D4">
        <w:rPr>
          <w:rFonts w:eastAsia="Calibri"/>
        </w:rPr>
        <w:t>for</w:t>
      </w:r>
      <w:r w:rsidR="009D7B65">
        <w:rPr>
          <w:rFonts w:eastAsia="Calibri"/>
        </w:rPr>
        <w:t xml:space="preserve"> policy makers </w:t>
      </w:r>
      <w:r w:rsidR="00577CBA">
        <w:rPr>
          <w:rFonts w:eastAsia="Calibri"/>
        </w:rPr>
        <w:t>as they face</w:t>
      </w:r>
      <w:r w:rsidR="009D7B65">
        <w:rPr>
          <w:rFonts w:eastAsia="Calibri"/>
        </w:rPr>
        <w:t xml:space="preserve"> </w:t>
      </w:r>
      <w:r>
        <w:rPr>
          <w:rFonts w:eastAsia="Calibri"/>
        </w:rPr>
        <w:t xml:space="preserve">difficult decisions </w:t>
      </w:r>
      <w:r w:rsidR="009D7B65">
        <w:rPr>
          <w:rFonts w:eastAsia="Calibri"/>
        </w:rPr>
        <w:t>about federal priorities</w:t>
      </w:r>
      <w:r>
        <w:rPr>
          <w:rFonts w:eastAsia="Calibri"/>
        </w:rPr>
        <w:t xml:space="preserve">,” </w:t>
      </w:r>
      <w:r w:rsidR="00F7704D">
        <w:rPr>
          <w:rFonts w:eastAsia="Calibri"/>
        </w:rPr>
        <w:t xml:space="preserve">said Lori Metcalf, project manager of Subsidyscope. </w:t>
      </w:r>
      <w:r>
        <w:rPr>
          <w:rFonts w:eastAsia="Calibri"/>
        </w:rPr>
        <w:t>“</w:t>
      </w:r>
      <w:r w:rsidR="00845206">
        <w:rPr>
          <w:rFonts w:eastAsia="Calibri"/>
        </w:rPr>
        <w:t>Pew</w:t>
      </w:r>
      <w:r w:rsidR="000958D4">
        <w:rPr>
          <w:rFonts w:eastAsia="Calibri"/>
        </w:rPr>
        <w:t>’s</w:t>
      </w:r>
      <w:r w:rsidR="00845206">
        <w:rPr>
          <w:rFonts w:eastAsia="Calibri"/>
        </w:rPr>
        <w:t xml:space="preserve"> Tax Expenditure Database</w:t>
      </w:r>
      <w:r>
        <w:rPr>
          <w:rFonts w:eastAsia="Calibri"/>
        </w:rPr>
        <w:t xml:space="preserve"> provides </w:t>
      </w:r>
      <w:r w:rsidR="00DC2922">
        <w:rPr>
          <w:rFonts w:eastAsia="Calibri"/>
        </w:rPr>
        <w:t>them with a</w:t>
      </w:r>
      <w:r w:rsidR="00B54A59">
        <w:rPr>
          <w:rFonts w:eastAsia="Calibri"/>
        </w:rPr>
        <w:t xml:space="preserve"> new tool to analyze </w:t>
      </w:r>
      <w:r>
        <w:rPr>
          <w:rFonts w:eastAsia="Calibri"/>
        </w:rPr>
        <w:t xml:space="preserve">how federal </w:t>
      </w:r>
      <w:r w:rsidR="00F74B9C">
        <w:rPr>
          <w:rFonts w:eastAsia="Calibri"/>
        </w:rPr>
        <w:t>resources are being allocated through the tax code</w:t>
      </w:r>
      <w:r w:rsidR="008A3128">
        <w:rPr>
          <w:rFonts w:eastAsia="Calibri"/>
        </w:rPr>
        <w:t>.</w:t>
      </w:r>
      <w:r>
        <w:rPr>
          <w:rFonts w:eastAsia="Calibri"/>
        </w:rPr>
        <w:t>”</w:t>
      </w:r>
    </w:p>
    <w:p w:rsidR="00F7704D" w:rsidRDefault="00F7704D" w:rsidP="007A4553">
      <w:pPr>
        <w:rPr>
          <w:rFonts w:eastAsia="Calibri"/>
        </w:rPr>
      </w:pPr>
    </w:p>
    <w:p w:rsidR="00AA5C04" w:rsidRDefault="00892C6A" w:rsidP="007A4553">
      <w:pPr>
        <w:rPr>
          <w:rFonts w:eastAsia="Calibri"/>
        </w:rPr>
      </w:pPr>
      <w:r>
        <w:rPr>
          <w:rFonts w:eastAsia="Calibri"/>
        </w:rPr>
        <w:t>C</w:t>
      </w:r>
      <w:r w:rsidR="0046189F">
        <w:rPr>
          <w:rFonts w:eastAsia="Calibri"/>
        </w:rPr>
        <w:t xml:space="preserve">omparing </w:t>
      </w:r>
      <w:r w:rsidR="009D7B65">
        <w:rPr>
          <w:rFonts w:eastAsia="Calibri"/>
        </w:rPr>
        <w:t xml:space="preserve">tax </w:t>
      </w:r>
      <w:r w:rsidR="0046189F">
        <w:rPr>
          <w:rFonts w:eastAsia="Calibri"/>
        </w:rPr>
        <w:t>expenditures across sectors</w:t>
      </w:r>
      <w:r w:rsidR="00490E2F">
        <w:rPr>
          <w:rFonts w:eastAsia="Calibri"/>
        </w:rPr>
        <w:t xml:space="preserve"> and </w:t>
      </w:r>
      <w:r w:rsidR="00EA2892" w:rsidRPr="00B54A59">
        <w:rPr>
          <w:rFonts w:eastAsia="Calibri"/>
        </w:rPr>
        <w:t>over</w:t>
      </w:r>
      <w:r w:rsidR="00490E2F">
        <w:rPr>
          <w:rFonts w:eastAsia="Calibri"/>
        </w:rPr>
        <w:t xml:space="preserve"> time</w:t>
      </w:r>
      <w:r>
        <w:rPr>
          <w:rFonts w:eastAsia="Calibri"/>
        </w:rPr>
        <w:t xml:space="preserve"> provides insight regarding </w:t>
      </w:r>
      <w:r w:rsidR="00B64F20">
        <w:rPr>
          <w:rFonts w:eastAsia="Calibri"/>
        </w:rPr>
        <w:t xml:space="preserve">which </w:t>
      </w:r>
      <w:r w:rsidR="0046189F">
        <w:rPr>
          <w:rFonts w:eastAsia="Calibri"/>
        </w:rPr>
        <w:t xml:space="preserve">government </w:t>
      </w:r>
      <w:r w:rsidR="000D3C35">
        <w:rPr>
          <w:rFonts w:eastAsia="Calibri"/>
        </w:rPr>
        <w:t>priorities</w:t>
      </w:r>
      <w:r w:rsidR="0046189F">
        <w:rPr>
          <w:rFonts w:eastAsia="Calibri"/>
        </w:rPr>
        <w:t xml:space="preserve"> have been </w:t>
      </w:r>
      <w:r w:rsidR="00B64F20">
        <w:rPr>
          <w:rFonts w:eastAsia="Calibri"/>
        </w:rPr>
        <w:t>subsidi</w:t>
      </w:r>
      <w:r w:rsidR="00490E2F">
        <w:rPr>
          <w:rFonts w:eastAsia="Calibri"/>
        </w:rPr>
        <w:t>z</w:t>
      </w:r>
      <w:r w:rsidR="00B64F20">
        <w:rPr>
          <w:rFonts w:eastAsia="Calibri"/>
        </w:rPr>
        <w:t>e</w:t>
      </w:r>
      <w:r w:rsidR="00490E2F">
        <w:rPr>
          <w:rFonts w:eastAsia="Calibri"/>
        </w:rPr>
        <w:t>d</w:t>
      </w:r>
      <w:r w:rsidR="00B64F20">
        <w:rPr>
          <w:rFonts w:eastAsia="Calibri"/>
        </w:rPr>
        <w:t xml:space="preserve"> through the tax code </w:t>
      </w:r>
      <w:r w:rsidR="00B54A59">
        <w:rPr>
          <w:rFonts w:eastAsia="Calibri"/>
        </w:rPr>
        <w:t xml:space="preserve">for </w:t>
      </w:r>
      <w:r w:rsidR="0046189F">
        <w:rPr>
          <w:rFonts w:eastAsia="Calibri"/>
        </w:rPr>
        <w:t xml:space="preserve">the last </w:t>
      </w:r>
      <w:r w:rsidR="00B54A59">
        <w:rPr>
          <w:rFonts w:eastAsia="Calibri"/>
        </w:rPr>
        <w:t>decade</w:t>
      </w:r>
      <w:r w:rsidR="00E14C0A">
        <w:rPr>
          <w:rFonts w:eastAsia="Calibri"/>
        </w:rPr>
        <w:t xml:space="preserve">, and which activities are projected to be </w:t>
      </w:r>
      <w:r w:rsidR="000D3C35">
        <w:rPr>
          <w:rFonts w:eastAsia="Calibri"/>
        </w:rPr>
        <w:t>supported</w:t>
      </w:r>
      <w:r w:rsidR="00E14C0A">
        <w:rPr>
          <w:rFonts w:eastAsia="Calibri"/>
        </w:rPr>
        <w:t xml:space="preserve">, </w:t>
      </w:r>
      <w:r>
        <w:rPr>
          <w:rFonts w:eastAsia="Calibri"/>
        </w:rPr>
        <w:t>under current law,</w:t>
      </w:r>
      <w:r w:rsidR="00490E2F">
        <w:rPr>
          <w:rFonts w:eastAsia="Calibri"/>
        </w:rPr>
        <w:t xml:space="preserve"> </w:t>
      </w:r>
      <w:r>
        <w:rPr>
          <w:rFonts w:eastAsia="Calibri"/>
        </w:rPr>
        <w:t>for</w:t>
      </w:r>
      <w:r w:rsidR="0046189F">
        <w:rPr>
          <w:rFonts w:eastAsia="Calibri"/>
        </w:rPr>
        <w:t xml:space="preserve"> the next four to six years (JCT </w:t>
      </w:r>
      <w:r w:rsidR="00490E2F">
        <w:rPr>
          <w:rFonts w:eastAsia="Calibri"/>
        </w:rPr>
        <w:t xml:space="preserve">currently </w:t>
      </w:r>
      <w:r w:rsidR="0046189F">
        <w:rPr>
          <w:rFonts w:eastAsia="Calibri"/>
        </w:rPr>
        <w:t xml:space="preserve">projects figures until 2014 and the Treasury until 2016). </w:t>
      </w:r>
    </w:p>
    <w:p w:rsidR="00AA5C04" w:rsidRDefault="00AA5C04" w:rsidP="007A4553">
      <w:pPr>
        <w:rPr>
          <w:rFonts w:eastAsia="Calibri"/>
        </w:rPr>
      </w:pPr>
    </w:p>
    <w:p w:rsidR="00890A30" w:rsidRDefault="0046189F" w:rsidP="007A4553">
      <w:pPr>
        <w:rPr>
          <w:rFonts w:eastAsia="Calibri"/>
        </w:rPr>
      </w:pPr>
      <w:r>
        <w:rPr>
          <w:rFonts w:eastAsia="Calibri"/>
        </w:rPr>
        <w:t xml:space="preserve">Subsidyscope has compiled data </w:t>
      </w:r>
      <w:r w:rsidR="009D7B65">
        <w:rPr>
          <w:rFonts w:eastAsia="Calibri"/>
        </w:rPr>
        <w:t xml:space="preserve">from </w:t>
      </w:r>
      <w:r w:rsidR="00F40F9E">
        <w:rPr>
          <w:rFonts w:eastAsia="Calibri"/>
        </w:rPr>
        <w:t xml:space="preserve">more than </w:t>
      </w:r>
      <w:r w:rsidR="000958D4">
        <w:rPr>
          <w:rFonts w:eastAsia="Calibri"/>
        </w:rPr>
        <w:t>20</w:t>
      </w:r>
      <w:r w:rsidR="009D7B65">
        <w:rPr>
          <w:rFonts w:eastAsia="Calibri"/>
        </w:rPr>
        <w:t xml:space="preserve"> </w:t>
      </w:r>
      <w:r w:rsidR="00490E2F">
        <w:rPr>
          <w:rFonts w:eastAsia="Calibri"/>
        </w:rPr>
        <w:t xml:space="preserve">budget </w:t>
      </w:r>
      <w:r w:rsidR="009D7B65">
        <w:rPr>
          <w:rFonts w:eastAsia="Calibri"/>
        </w:rPr>
        <w:t xml:space="preserve">documents into </w:t>
      </w:r>
      <w:r w:rsidR="00B64F20">
        <w:rPr>
          <w:rFonts w:eastAsia="Calibri"/>
        </w:rPr>
        <w:t xml:space="preserve">a single </w:t>
      </w:r>
      <w:r w:rsidR="009D7B65">
        <w:rPr>
          <w:rFonts w:eastAsia="Calibri"/>
        </w:rPr>
        <w:t>database</w:t>
      </w:r>
      <w:r w:rsidR="00312807">
        <w:rPr>
          <w:rFonts w:eastAsia="Calibri"/>
        </w:rPr>
        <w:t>. This allow</w:t>
      </w:r>
      <w:r w:rsidR="00DC2922">
        <w:rPr>
          <w:rFonts w:eastAsia="Calibri"/>
        </w:rPr>
        <w:t>s</w:t>
      </w:r>
      <w:r w:rsidR="009D7B65">
        <w:rPr>
          <w:rFonts w:eastAsia="Calibri"/>
        </w:rPr>
        <w:t xml:space="preserve"> users to </w:t>
      </w:r>
      <w:r w:rsidR="00B64F20">
        <w:rPr>
          <w:rFonts w:eastAsia="Calibri"/>
        </w:rPr>
        <w:t xml:space="preserve">compare the Treasury and JCT estimates </w:t>
      </w:r>
      <w:r w:rsidR="00490E2F">
        <w:rPr>
          <w:rFonts w:eastAsia="Calibri"/>
        </w:rPr>
        <w:t xml:space="preserve">for specific tax expenditures and </w:t>
      </w:r>
      <w:r w:rsidR="00B64F20">
        <w:rPr>
          <w:rFonts w:eastAsia="Calibri"/>
        </w:rPr>
        <w:t xml:space="preserve">to see </w:t>
      </w:r>
      <w:r w:rsidR="00256DBE">
        <w:rPr>
          <w:rFonts w:eastAsia="Calibri"/>
        </w:rPr>
        <w:t>approximations</w:t>
      </w:r>
      <w:r w:rsidR="00490E2F">
        <w:rPr>
          <w:rFonts w:eastAsia="Calibri"/>
        </w:rPr>
        <w:t xml:space="preserve"> of the total revenue lost</w:t>
      </w:r>
      <w:r w:rsidR="00B64F20">
        <w:rPr>
          <w:rFonts w:eastAsia="Calibri"/>
        </w:rPr>
        <w:t xml:space="preserve">. </w:t>
      </w:r>
      <w:r w:rsidR="00577CBA">
        <w:rPr>
          <w:rFonts w:eastAsia="Calibri"/>
        </w:rPr>
        <w:t>Researchers also</w:t>
      </w:r>
      <w:r w:rsidR="00B64F20">
        <w:rPr>
          <w:rFonts w:eastAsia="Calibri"/>
        </w:rPr>
        <w:t xml:space="preserve"> can </w:t>
      </w:r>
      <w:r>
        <w:rPr>
          <w:rFonts w:eastAsia="Calibri"/>
        </w:rPr>
        <w:t>download</w:t>
      </w:r>
      <w:r w:rsidR="00B64F20">
        <w:rPr>
          <w:rFonts w:eastAsia="Calibri"/>
        </w:rPr>
        <w:t xml:space="preserve"> the data into </w:t>
      </w:r>
      <w:r w:rsidR="00DC2922">
        <w:rPr>
          <w:rFonts w:eastAsia="Calibri"/>
        </w:rPr>
        <w:t>“</w:t>
      </w:r>
      <w:r w:rsidR="007A4553">
        <w:rPr>
          <w:rFonts w:eastAsia="Calibri"/>
        </w:rPr>
        <w:t>.csv</w:t>
      </w:r>
      <w:r w:rsidR="00DC2922">
        <w:rPr>
          <w:rFonts w:eastAsia="Calibri"/>
        </w:rPr>
        <w:t>”</w:t>
      </w:r>
      <w:r w:rsidR="007A4553">
        <w:rPr>
          <w:rFonts w:eastAsia="Calibri"/>
        </w:rPr>
        <w:t xml:space="preserve"> </w:t>
      </w:r>
      <w:r>
        <w:rPr>
          <w:rFonts w:eastAsia="Calibri"/>
        </w:rPr>
        <w:t>(comma</w:t>
      </w:r>
      <w:r w:rsidR="00890A30">
        <w:rPr>
          <w:rFonts w:eastAsia="Calibri"/>
        </w:rPr>
        <w:t xml:space="preserve">-separated values) files and sort the information in a </w:t>
      </w:r>
      <w:r w:rsidR="0001183A">
        <w:rPr>
          <w:rFonts w:eastAsia="Calibri"/>
        </w:rPr>
        <w:t xml:space="preserve">variety </w:t>
      </w:r>
      <w:r w:rsidR="00890A30">
        <w:rPr>
          <w:rFonts w:eastAsia="Calibri"/>
        </w:rPr>
        <w:t>of ways.</w:t>
      </w:r>
    </w:p>
    <w:p w:rsidR="00890A30" w:rsidRDefault="00890A30" w:rsidP="007A4553">
      <w:pPr>
        <w:rPr>
          <w:rFonts w:eastAsia="Calibri"/>
        </w:rPr>
      </w:pPr>
    </w:p>
    <w:p w:rsidR="00655123" w:rsidRDefault="00DC2922" w:rsidP="007A4553">
      <w:pPr>
        <w:rPr>
          <w:rFonts w:eastAsia="Calibri"/>
        </w:rPr>
      </w:pPr>
      <w:r>
        <w:rPr>
          <w:rFonts w:eastAsia="Calibri"/>
        </w:rPr>
        <w:t>T</w:t>
      </w:r>
      <w:r w:rsidR="00E14E21">
        <w:rPr>
          <w:rFonts w:eastAsia="Calibri"/>
        </w:rPr>
        <w:t xml:space="preserve">he </w:t>
      </w:r>
      <w:r w:rsidR="00390FCC">
        <w:rPr>
          <w:rFonts w:eastAsia="Calibri"/>
        </w:rPr>
        <w:t xml:space="preserve">Pew </w:t>
      </w:r>
      <w:r w:rsidR="00E14E21">
        <w:rPr>
          <w:rFonts w:eastAsia="Calibri"/>
        </w:rPr>
        <w:t>Tax Expenditure Database</w:t>
      </w:r>
      <w:r>
        <w:rPr>
          <w:rFonts w:eastAsia="Calibri"/>
        </w:rPr>
        <w:t xml:space="preserve"> </w:t>
      </w:r>
      <w:r w:rsidR="00B54A59">
        <w:rPr>
          <w:rFonts w:eastAsia="Calibri"/>
        </w:rPr>
        <w:t>shows</w:t>
      </w:r>
      <w:r w:rsidR="007A4553">
        <w:rPr>
          <w:rFonts w:eastAsia="Calibri"/>
        </w:rPr>
        <w:t xml:space="preserve"> that</w:t>
      </w:r>
      <w:r w:rsidR="00E14E21">
        <w:rPr>
          <w:rFonts w:eastAsia="Calibri"/>
        </w:rPr>
        <w:t>:</w:t>
      </w:r>
    </w:p>
    <w:p w:rsidR="00890A30" w:rsidRDefault="00850D5A" w:rsidP="007A4553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The four largest sectors</w:t>
      </w:r>
      <w:r w:rsidRPr="00850D5A">
        <w:rPr>
          <w:rFonts w:eastAsia="Calibri"/>
        </w:rPr>
        <w:t xml:space="preserve"> </w:t>
      </w:r>
      <w:r>
        <w:rPr>
          <w:rFonts w:eastAsia="Calibri"/>
        </w:rPr>
        <w:t>account for nearly 82 percent of spending through the tax code</w:t>
      </w:r>
      <w:r w:rsidR="00E56064">
        <w:rPr>
          <w:rFonts w:eastAsia="Calibri"/>
        </w:rPr>
        <w:t xml:space="preserve"> in FY 2010</w:t>
      </w:r>
      <w:r w:rsidR="00573A06">
        <w:rPr>
          <w:rFonts w:eastAsia="Calibri"/>
        </w:rPr>
        <w:t>, using the Treasury estimates</w:t>
      </w:r>
      <w:r>
        <w:rPr>
          <w:rFonts w:eastAsia="Calibri"/>
        </w:rPr>
        <w:t xml:space="preserve">. </w:t>
      </w:r>
      <w:r w:rsidR="000452FE">
        <w:rPr>
          <w:rFonts w:eastAsia="Calibri"/>
        </w:rPr>
        <w:t>I</w:t>
      </w:r>
      <w:r>
        <w:rPr>
          <w:rFonts w:eastAsia="Calibri"/>
        </w:rPr>
        <w:t xml:space="preserve">n order </w:t>
      </w:r>
      <w:r w:rsidR="000452FE">
        <w:rPr>
          <w:rFonts w:eastAsia="Calibri"/>
        </w:rPr>
        <w:t>from</w:t>
      </w:r>
      <w:r>
        <w:rPr>
          <w:rFonts w:eastAsia="Calibri"/>
        </w:rPr>
        <w:t xml:space="preserve"> largest to smallest</w:t>
      </w:r>
      <w:r w:rsidR="000452FE">
        <w:rPr>
          <w:rFonts w:eastAsia="Calibri"/>
        </w:rPr>
        <w:t>, these are</w:t>
      </w:r>
      <w:r>
        <w:rPr>
          <w:rFonts w:eastAsia="Calibri"/>
        </w:rPr>
        <w:t>: commerce and housing; h</w:t>
      </w:r>
      <w:r w:rsidR="00890A30">
        <w:rPr>
          <w:rFonts w:eastAsia="Calibri"/>
        </w:rPr>
        <w:t>ea</w:t>
      </w:r>
      <w:r>
        <w:rPr>
          <w:rFonts w:eastAsia="Calibri"/>
        </w:rPr>
        <w:t>lth; income security; and education, training, employment and social services</w:t>
      </w:r>
      <w:r w:rsidR="00890A30">
        <w:rPr>
          <w:rFonts w:eastAsia="Calibri"/>
        </w:rPr>
        <w:t>.</w:t>
      </w:r>
    </w:p>
    <w:p w:rsidR="00256DBE" w:rsidRDefault="00AD19A9" w:rsidP="007A4553">
      <w:pPr>
        <w:pStyle w:val="ListParagraph"/>
        <w:numPr>
          <w:ilvl w:val="0"/>
          <w:numId w:val="3"/>
        </w:numPr>
        <w:rPr>
          <w:rFonts w:eastAsia="Calibri"/>
        </w:rPr>
      </w:pPr>
      <w:r w:rsidRPr="00256DBE">
        <w:rPr>
          <w:rFonts w:eastAsia="Calibri"/>
        </w:rPr>
        <w:t>The Treasury and JCT have different estimates for some tax expenditures, often due to differen</w:t>
      </w:r>
      <w:r w:rsidR="00934866" w:rsidRPr="00256DBE">
        <w:rPr>
          <w:rFonts w:eastAsia="Calibri"/>
        </w:rPr>
        <w:t>t</w:t>
      </w:r>
      <w:r w:rsidRPr="00256DBE">
        <w:rPr>
          <w:rFonts w:eastAsia="Calibri"/>
        </w:rPr>
        <w:t xml:space="preserve"> methodologies</w:t>
      </w:r>
      <w:r w:rsidR="00934866" w:rsidRPr="00256DBE">
        <w:rPr>
          <w:rFonts w:eastAsia="Calibri"/>
        </w:rPr>
        <w:t>,</w:t>
      </w:r>
      <w:r w:rsidRPr="00256DBE">
        <w:rPr>
          <w:rFonts w:eastAsia="Calibri"/>
        </w:rPr>
        <w:t xml:space="preserve"> assumptions</w:t>
      </w:r>
      <w:r w:rsidR="00934866" w:rsidRPr="00256DBE">
        <w:rPr>
          <w:rFonts w:eastAsia="Calibri"/>
        </w:rPr>
        <w:t xml:space="preserve"> or presentations of data</w:t>
      </w:r>
      <w:r w:rsidRPr="00256DBE">
        <w:rPr>
          <w:rFonts w:eastAsia="Calibri"/>
        </w:rPr>
        <w:t>. For instance, there is a $54</w:t>
      </w:r>
      <w:r w:rsidR="000452FE" w:rsidRPr="00256DBE">
        <w:rPr>
          <w:rFonts w:eastAsia="Calibri"/>
        </w:rPr>
        <w:t xml:space="preserve"> billion difference in the estimates of </w:t>
      </w:r>
      <w:r w:rsidR="00667D7C">
        <w:rPr>
          <w:rFonts w:eastAsia="Calibri"/>
        </w:rPr>
        <w:t>excluding</w:t>
      </w:r>
      <w:r w:rsidR="000452FE" w:rsidRPr="00256DBE">
        <w:rPr>
          <w:rFonts w:eastAsia="Calibri"/>
        </w:rPr>
        <w:t xml:space="preserve"> employer contributions for health care, health insurance premiums and long-term</w:t>
      </w:r>
      <w:r w:rsidR="00F40F9E">
        <w:rPr>
          <w:rFonts w:eastAsia="Calibri"/>
        </w:rPr>
        <w:t>-</w:t>
      </w:r>
      <w:r w:rsidR="000452FE" w:rsidRPr="00256DBE">
        <w:rPr>
          <w:rFonts w:eastAsia="Calibri"/>
        </w:rPr>
        <w:t>care insurance premiums ($160 billion by the Treasury and $106 billion by JCT</w:t>
      </w:r>
      <w:r w:rsidR="003A4F51" w:rsidRPr="00256DBE">
        <w:rPr>
          <w:rFonts w:eastAsia="Calibri"/>
        </w:rPr>
        <w:t xml:space="preserve"> in FY 2010</w:t>
      </w:r>
      <w:r w:rsidR="000452FE" w:rsidRPr="00256DBE">
        <w:rPr>
          <w:rFonts w:eastAsia="Calibri"/>
        </w:rPr>
        <w:t>).</w:t>
      </w:r>
    </w:p>
    <w:p w:rsidR="00FF1059" w:rsidRPr="00256DBE" w:rsidRDefault="00D351C1" w:rsidP="007A4553">
      <w:pPr>
        <w:pStyle w:val="ListParagraph"/>
        <w:numPr>
          <w:ilvl w:val="0"/>
          <w:numId w:val="3"/>
        </w:numPr>
        <w:rPr>
          <w:rFonts w:eastAsia="Calibri"/>
        </w:rPr>
      </w:pPr>
      <w:r>
        <w:t xml:space="preserve">In some years, tax expenditure estimates </w:t>
      </w:r>
      <w:r w:rsidR="00577CBA">
        <w:t>total</w:t>
      </w:r>
      <w:r>
        <w:t xml:space="preserve"> more than discretionary spending. </w:t>
      </w:r>
    </w:p>
    <w:p w:rsidR="003F4C18" w:rsidRPr="00303D24" w:rsidRDefault="003F4C18" w:rsidP="007A4553">
      <w:pPr>
        <w:rPr>
          <w:rStyle w:val="Emphasis"/>
          <w:i w:val="0"/>
        </w:rPr>
      </w:pPr>
    </w:p>
    <w:p w:rsidR="00A23E01" w:rsidRPr="00303D24" w:rsidRDefault="00A23E01" w:rsidP="007A4553">
      <w:r w:rsidRPr="00303D24">
        <w:t xml:space="preserve">The data on </w:t>
      </w:r>
      <w:r w:rsidR="006A10CA">
        <w:t xml:space="preserve">the </w:t>
      </w:r>
      <w:r w:rsidRPr="00303D24">
        <w:t>energy, housing and transportation sectors were released in January</w:t>
      </w:r>
      <w:r w:rsidR="00F40F9E">
        <w:t>.</w:t>
      </w:r>
      <w:r w:rsidRPr="00303D24">
        <w:t xml:space="preserve"> Today’s release incorporates </w:t>
      </w:r>
      <w:r w:rsidR="006A10CA">
        <w:t>15</w:t>
      </w:r>
      <w:r w:rsidR="006A10CA" w:rsidRPr="00303D24">
        <w:t xml:space="preserve"> </w:t>
      </w:r>
      <w:r w:rsidR="00060658">
        <w:t>more</w:t>
      </w:r>
      <w:r w:rsidR="00060658" w:rsidRPr="00303D24">
        <w:t xml:space="preserve"> </w:t>
      </w:r>
      <w:r w:rsidRPr="00303D24">
        <w:t>sectors and completes the Pew Tax Expenditure Database.</w:t>
      </w:r>
    </w:p>
    <w:p w:rsidR="0001183A" w:rsidRPr="00303D24" w:rsidRDefault="0001183A" w:rsidP="007A4553"/>
    <w:p w:rsidR="00655123" w:rsidRPr="006A10CA" w:rsidRDefault="00FF1059" w:rsidP="007A4553">
      <w:pPr>
        <w:rPr>
          <w:i/>
        </w:rPr>
      </w:pPr>
      <w:r w:rsidRPr="006A10CA">
        <w:rPr>
          <w:rStyle w:val="Emphasis"/>
        </w:rPr>
        <w:t xml:space="preserve">Subsidyscope </w:t>
      </w:r>
      <w:r w:rsidR="0063658D" w:rsidRPr="006A10CA">
        <w:rPr>
          <w:i/>
        </w:rPr>
        <w:t xml:space="preserve">organizes </w:t>
      </w:r>
      <w:r w:rsidR="00655123" w:rsidRPr="006A10CA">
        <w:rPr>
          <w:i/>
        </w:rPr>
        <w:t xml:space="preserve">information </w:t>
      </w:r>
      <w:r w:rsidR="00B64F20" w:rsidRPr="006A10CA">
        <w:rPr>
          <w:i/>
        </w:rPr>
        <w:t>by type of spending (grants, contracts, loans and loan guarantees and tax subsidies)</w:t>
      </w:r>
      <w:r w:rsidR="0063658D" w:rsidRPr="006A10CA">
        <w:rPr>
          <w:i/>
        </w:rPr>
        <w:t xml:space="preserve"> and</w:t>
      </w:r>
      <w:r w:rsidR="00B64F20" w:rsidRPr="006A10CA">
        <w:rPr>
          <w:i/>
        </w:rPr>
        <w:t xml:space="preserve"> by economic sector</w:t>
      </w:r>
      <w:r w:rsidR="00655123" w:rsidRPr="006A10CA">
        <w:rPr>
          <w:i/>
        </w:rPr>
        <w:t xml:space="preserve">. </w:t>
      </w:r>
      <w:r w:rsidR="00256DBE" w:rsidRPr="006A10CA">
        <w:rPr>
          <w:i/>
        </w:rPr>
        <w:t>For more information, visit</w:t>
      </w:r>
      <w:r w:rsidR="00655123" w:rsidRPr="006A10CA">
        <w:rPr>
          <w:i/>
        </w:rPr>
        <w:t xml:space="preserve"> </w:t>
      </w:r>
      <w:hyperlink r:id="rId9" w:history="1">
        <w:r w:rsidR="00D01777" w:rsidRPr="006A10CA">
          <w:rPr>
            <w:rStyle w:val="Hyperlink"/>
            <w:i/>
          </w:rPr>
          <w:t>www.subsidyscope.org</w:t>
        </w:r>
      </w:hyperlink>
      <w:r w:rsidR="00D01777" w:rsidRPr="006A10CA">
        <w:rPr>
          <w:i/>
        </w:rPr>
        <w:t xml:space="preserve">.  </w:t>
      </w:r>
    </w:p>
    <w:p w:rsidR="00655123" w:rsidRPr="00303D24" w:rsidRDefault="00655123" w:rsidP="007A4553">
      <w:pPr>
        <w:rPr>
          <w:rFonts w:eastAsia="Calibri"/>
        </w:rPr>
      </w:pPr>
    </w:p>
    <w:p w:rsidR="00204CDF" w:rsidRPr="00303D24" w:rsidRDefault="00204CDF" w:rsidP="007A4553">
      <w:pPr>
        <w:rPr>
          <w:rFonts w:eastAsia="Calibri"/>
        </w:rPr>
        <w:sectPr w:rsidR="00204CDF" w:rsidRPr="00303D24">
          <w:headerReference w:type="first" r:id="rId10"/>
          <w:pgSz w:w="12240" w:h="15840"/>
          <w:pgMar w:top="360" w:right="1440" w:bottom="576" w:left="1440" w:header="720" w:footer="720" w:gutter="0"/>
          <w:cols w:space="720"/>
          <w:titlePg/>
        </w:sectPr>
      </w:pPr>
    </w:p>
    <w:p w:rsidR="00BA09D8" w:rsidRPr="00FF210A" w:rsidRDefault="00BA09D8" w:rsidP="007A4553">
      <w:pPr>
        <w:pStyle w:val="PlainText"/>
        <w:rPr>
          <w:rFonts w:ascii="Times New Roman" w:hAnsi="Times New Roman"/>
          <w:i/>
          <w:iCs/>
          <w:sz w:val="24"/>
          <w:szCs w:val="24"/>
        </w:rPr>
      </w:pPr>
      <w:r w:rsidRPr="00FF210A">
        <w:rPr>
          <w:rFonts w:ascii="Times New Roman" w:hAnsi="Times New Roman"/>
          <w:i/>
          <w:iCs/>
          <w:sz w:val="24"/>
          <w:szCs w:val="24"/>
        </w:rPr>
        <w:t>The Pew Charitable Trusts’ economic policy work aims to encourage an informed debate and promote practices that strengthen the U.S. economy.  Pew (www.pewtrusts.org) is a nonprofit organization that applies a rigorous, analytical approach to improve public policy, inform the public and stimulate civic life.  </w:t>
      </w:r>
    </w:p>
    <w:p w:rsidR="00B41E3F" w:rsidRDefault="00B41E3F" w:rsidP="007A4553">
      <w:pPr>
        <w:rPr>
          <w:i/>
        </w:rPr>
      </w:pPr>
    </w:p>
    <w:p w:rsidR="0020642D" w:rsidRPr="00FF210A" w:rsidRDefault="00966D59" w:rsidP="007C33B2">
      <w:pPr>
        <w:jc w:val="center"/>
      </w:pPr>
      <w:r w:rsidRPr="00FF210A">
        <w:rPr>
          <w:i/>
        </w:rPr>
        <w:t>###</w:t>
      </w:r>
    </w:p>
    <w:sectPr w:rsidR="0020642D" w:rsidRPr="00FF210A" w:rsidSect="001A2266">
      <w:type w:val="continuous"/>
      <w:pgSz w:w="12240" w:h="15840"/>
      <w:pgMar w:top="36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261" w:rsidRDefault="00B23261" w:rsidP="00E90B77">
      <w:r>
        <w:separator/>
      </w:r>
    </w:p>
  </w:endnote>
  <w:endnote w:type="continuationSeparator" w:id="0">
    <w:p w:rsidR="00B23261" w:rsidRDefault="00B23261" w:rsidP="00E90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261" w:rsidRDefault="00B23261" w:rsidP="00E90B77">
      <w:r>
        <w:separator/>
      </w:r>
    </w:p>
  </w:footnote>
  <w:footnote w:type="continuationSeparator" w:id="0">
    <w:p w:rsidR="00B23261" w:rsidRDefault="00B23261" w:rsidP="00E90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64" w:rsidRPr="00777150" w:rsidRDefault="001E1AA9" w:rsidP="001A2266">
    <w:pPr>
      <w:spacing w:line="480" w:lineRule="exact"/>
      <w:jc w:val="both"/>
      <w:rPr>
        <w:color w:val="5EB4F6"/>
        <w:sz w:val="60"/>
      </w:rPr>
    </w:pPr>
    <w:r w:rsidRPr="001E1AA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9.55pt;margin-top:-8.8pt;width:143.95pt;height:56.3pt;z-index:251658240" stroked="f">
          <v:textbox style="mso-next-textbox:#_x0000_s2049">
            <w:txbxContent>
              <w:p w:rsidR="00E56064" w:rsidRDefault="001E1AA9">
                <w:r>
                  <w:rPr>
                    <w:noProof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i1025" type="#_x0000_t75" alt="pew_logo2" style="width:127.5pt;height:48.75pt;visibility:visible">
                      <v:imagedata r:id="rId1" o:title=""/>
                    </v:shape>
                  </w:pict>
                </w:r>
              </w:p>
            </w:txbxContent>
          </v:textbox>
        </v:shape>
      </w:pict>
    </w:r>
    <w:r w:rsidR="00E56064" w:rsidRPr="00777150">
      <w:rPr>
        <w:color w:val="5EB4F6"/>
        <w:sz w:val="60"/>
      </w:rPr>
      <w:t>news</w:t>
    </w:r>
  </w:p>
  <w:p w:rsidR="00E56064" w:rsidRDefault="00E56064" w:rsidP="001A2266">
    <w:pPr>
      <w:jc w:val="both"/>
      <w:rPr>
        <w:rFonts w:ascii="Arial" w:hAnsi="Arial"/>
        <w:color w:val="5EB4F6"/>
        <w:spacing w:val="15"/>
        <w:sz w:val="16"/>
      </w:rPr>
    </w:pPr>
  </w:p>
  <w:p w:rsidR="00E56064" w:rsidRDefault="00E56064" w:rsidP="001A2266">
    <w:pPr>
      <w:jc w:val="both"/>
      <w:rPr>
        <w:rFonts w:ascii="Arial" w:hAnsi="Arial"/>
        <w:color w:val="5EB4F6"/>
        <w:spacing w:val="15"/>
        <w:sz w:val="16"/>
      </w:rPr>
    </w:pPr>
    <w:r w:rsidRPr="00777150">
      <w:rPr>
        <w:rFonts w:ascii="Arial" w:hAnsi="Arial"/>
        <w:color w:val="5EB4F6"/>
        <w:spacing w:val="15"/>
        <w:sz w:val="16"/>
      </w:rPr>
      <w:t xml:space="preserve">CONTACT: </w:t>
    </w:r>
    <w:r>
      <w:rPr>
        <w:rFonts w:ascii="Arial" w:hAnsi="Arial"/>
        <w:color w:val="5EB4F6"/>
        <w:spacing w:val="15"/>
        <w:sz w:val="16"/>
      </w:rPr>
      <w:t>SAMANTHA LASKY</w:t>
    </w:r>
    <w:r w:rsidRPr="00777150">
      <w:rPr>
        <w:rFonts w:ascii="Arial" w:hAnsi="Arial"/>
        <w:color w:val="5EB4F6"/>
        <w:spacing w:val="15"/>
        <w:sz w:val="16"/>
      </w:rPr>
      <w:t xml:space="preserve">, </w:t>
    </w:r>
    <w:r>
      <w:rPr>
        <w:rFonts w:ascii="Arial" w:hAnsi="Arial"/>
        <w:color w:val="5EB4F6"/>
        <w:spacing w:val="15"/>
        <w:sz w:val="16"/>
      </w:rPr>
      <w:t>Communications</w:t>
    </w:r>
  </w:p>
  <w:p w:rsidR="00E56064" w:rsidRDefault="00E56064" w:rsidP="001A2266">
    <w:pPr>
      <w:jc w:val="both"/>
      <w:rPr>
        <w:rFonts w:ascii="Arial" w:hAnsi="Arial"/>
        <w:color w:val="5EB4F6"/>
        <w:spacing w:val="15"/>
        <w:sz w:val="16"/>
      </w:rPr>
    </w:pPr>
    <w:r w:rsidRPr="00777150">
      <w:rPr>
        <w:rFonts w:ascii="Arial" w:hAnsi="Arial"/>
        <w:color w:val="5EB4F6"/>
        <w:spacing w:val="15"/>
        <w:sz w:val="16"/>
      </w:rPr>
      <w:t>202-</w:t>
    </w:r>
    <w:r>
      <w:rPr>
        <w:rFonts w:ascii="Arial" w:hAnsi="Arial"/>
        <w:color w:val="5EB4F6"/>
        <w:spacing w:val="15"/>
        <w:sz w:val="16"/>
      </w:rPr>
      <w:t>540-6390 | slasky</w:t>
    </w:r>
    <w:r w:rsidRPr="00043DE1">
      <w:rPr>
        <w:rFonts w:ascii="Arial" w:hAnsi="Arial"/>
        <w:color w:val="5EB4F6"/>
        <w:spacing w:val="15"/>
        <w:sz w:val="16"/>
      </w:rPr>
      <w:t>@pewtrusts.org</w:t>
    </w:r>
  </w:p>
  <w:p w:rsidR="00E56064" w:rsidRDefault="00E56064" w:rsidP="001A2266">
    <w:pPr>
      <w:jc w:val="both"/>
      <w:rPr>
        <w:rFonts w:ascii="Arial" w:hAnsi="Arial"/>
        <w:b/>
        <w:color w:val="5EB4F6"/>
        <w:spacing w:val="15"/>
        <w:sz w:val="18"/>
      </w:rPr>
    </w:pPr>
    <w:r>
      <w:rPr>
        <w:rFonts w:ascii="Arial" w:hAnsi="Arial"/>
        <w:b/>
        <w:color w:val="5EB4F6"/>
        <w:spacing w:val="15"/>
        <w:sz w:val="18"/>
      </w:rPr>
      <w:t>FOR IMMEDIATE RELEASE</w:t>
    </w:r>
  </w:p>
  <w:p w:rsidR="00E56064" w:rsidRPr="00696989" w:rsidRDefault="0078210A" w:rsidP="001A2266">
    <w:pPr>
      <w:jc w:val="both"/>
      <w:rPr>
        <w:rFonts w:ascii="Arial" w:hAnsi="Arial"/>
        <w:b/>
        <w:color w:val="5EB4F6"/>
        <w:spacing w:val="15"/>
        <w:sz w:val="18"/>
      </w:rPr>
    </w:pPr>
    <w:r>
      <w:rPr>
        <w:rFonts w:ascii="Arial" w:hAnsi="Arial"/>
        <w:b/>
        <w:color w:val="5EB4F6"/>
        <w:spacing w:val="15"/>
        <w:sz w:val="18"/>
      </w:rPr>
      <w:t>July 13, 2011</w:t>
    </w:r>
  </w:p>
  <w:p w:rsidR="00E56064" w:rsidRPr="003814E4" w:rsidRDefault="00E56064" w:rsidP="001A2266">
    <w:pPr>
      <w:rPr>
        <w:i/>
        <w:color w:val="1F497D"/>
        <w:sz w:val="20"/>
      </w:rPr>
    </w:pPr>
  </w:p>
  <w:p w:rsidR="00E56064" w:rsidRDefault="00E56064" w:rsidP="00EC72B8">
    <w:pPr>
      <w:pStyle w:val="PlainText"/>
      <w:jc w:val="center"/>
      <w:rPr>
        <w:rFonts w:ascii="Times New Roman" w:hAnsi="Times New Roman"/>
        <w:i/>
        <w:color w:val="1F497D" w:themeColor="text2"/>
        <w:sz w:val="32"/>
        <w:szCs w:val="32"/>
      </w:rPr>
    </w:pPr>
    <w:r>
      <w:rPr>
        <w:rFonts w:ascii="Times New Roman" w:hAnsi="Times New Roman"/>
        <w:i/>
        <w:color w:val="1F497D" w:themeColor="text2"/>
        <w:sz w:val="32"/>
        <w:szCs w:val="32"/>
      </w:rPr>
      <w:t xml:space="preserve">Pew’s Subsidyscope Compiles All Tax Expenditure Estimates for </w:t>
    </w:r>
  </w:p>
  <w:p w:rsidR="00E56064" w:rsidRDefault="00E56064" w:rsidP="00EC72B8">
    <w:pPr>
      <w:pStyle w:val="PlainText"/>
      <w:jc w:val="center"/>
      <w:rPr>
        <w:rFonts w:ascii="Times New Roman" w:hAnsi="Times New Roman"/>
        <w:i/>
        <w:color w:val="1F497D" w:themeColor="text2"/>
        <w:sz w:val="32"/>
        <w:szCs w:val="32"/>
      </w:rPr>
    </w:pPr>
    <w:r>
      <w:rPr>
        <w:rFonts w:ascii="Times New Roman" w:hAnsi="Times New Roman"/>
        <w:i/>
        <w:color w:val="1F497D" w:themeColor="text2"/>
        <w:sz w:val="32"/>
        <w:szCs w:val="32"/>
      </w:rPr>
      <w:t xml:space="preserve">First Time from </w:t>
    </w:r>
    <w:r w:rsidRPr="006171B8">
      <w:rPr>
        <w:rFonts w:ascii="Times New Roman" w:hAnsi="Times New Roman"/>
        <w:i/>
        <w:color w:val="1F497D" w:themeColor="text2"/>
        <w:sz w:val="32"/>
        <w:szCs w:val="32"/>
      </w:rPr>
      <w:t xml:space="preserve">U.S. Treasury and Joint Committee on Taxation </w:t>
    </w:r>
  </w:p>
  <w:p w:rsidR="00E56064" w:rsidRDefault="00E56064" w:rsidP="001A2266">
    <w:pPr>
      <w:pStyle w:val="PlainText"/>
      <w:jc w:val="center"/>
      <w:rPr>
        <w:rFonts w:ascii="Times New Roman" w:hAnsi="Times New Roman"/>
        <w:i/>
        <w:color w:val="1F497D"/>
        <w:sz w:val="32"/>
      </w:rPr>
    </w:pPr>
    <w:r>
      <w:rPr>
        <w:i/>
        <w:color w:val="1F497D" w:themeColor="text2"/>
      </w:rPr>
      <w:t xml:space="preserve"> </w:t>
    </w:r>
  </w:p>
  <w:p w:rsidR="00E56064" w:rsidRDefault="00E56064">
    <w:pPr>
      <w:jc w:val="center"/>
      <w:rPr>
        <w:i/>
        <w:color w:val="1F497D" w:themeColor="text2"/>
      </w:rPr>
    </w:pPr>
    <w:r>
      <w:rPr>
        <w:i/>
        <w:color w:val="1F497D" w:themeColor="text2"/>
      </w:rPr>
      <w:t>Federal Data is Released in Sortable and Downloadable Format</w:t>
    </w:r>
  </w:p>
  <w:p w:rsidR="00E56064" w:rsidRDefault="00E56064">
    <w:pPr>
      <w:pStyle w:val="PlainText"/>
      <w:jc w:val="center"/>
    </w:pPr>
    <w:r>
      <w:rPr>
        <w:rFonts w:ascii="Times New Roman" w:hAnsi="Times New Roman"/>
        <w:i/>
        <w:color w:val="1F497D"/>
        <w:sz w:val="32"/>
      </w:rPr>
      <w:t xml:space="preserve"> </w:t>
    </w:r>
    <w:r w:rsidRPr="005E20DC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E4"/>
    <w:multiLevelType w:val="hybridMultilevel"/>
    <w:tmpl w:val="B8565F76"/>
    <w:lvl w:ilvl="0" w:tplc="069ABE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7690"/>
    <w:multiLevelType w:val="hybridMultilevel"/>
    <w:tmpl w:val="4AB6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67DC3"/>
    <w:multiLevelType w:val="hybridMultilevel"/>
    <w:tmpl w:val="EE1A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6D59"/>
    <w:rsid w:val="000035DF"/>
    <w:rsid w:val="0001183A"/>
    <w:rsid w:val="00025E79"/>
    <w:rsid w:val="00030182"/>
    <w:rsid w:val="000452FE"/>
    <w:rsid w:val="00052A05"/>
    <w:rsid w:val="00060658"/>
    <w:rsid w:val="000908CB"/>
    <w:rsid w:val="00091A1D"/>
    <w:rsid w:val="000958D4"/>
    <w:rsid w:val="00097B80"/>
    <w:rsid w:val="000B5046"/>
    <w:rsid w:val="000B5DD7"/>
    <w:rsid w:val="000D1323"/>
    <w:rsid w:val="000D3C35"/>
    <w:rsid w:val="000D5F13"/>
    <w:rsid w:val="000F37BD"/>
    <w:rsid w:val="00101BCD"/>
    <w:rsid w:val="00116ED3"/>
    <w:rsid w:val="001215D1"/>
    <w:rsid w:val="00143424"/>
    <w:rsid w:val="00150E35"/>
    <w:rsid w:val="00161D3D"/>
    <w:rsid w:val="00166165"/>
    <w:rsid w:val="00192F40"/>
    <w:rsid w:val="00195576"/>
    <w:rsid w:val="0019722F"/>
    <w:rsid w:val="001A1A2F"/>
    <w:rsid w:val="001A2266"/>
    <w:rsid w:val="001A2BC5"/>
    <w:rsid w:val="001A39EC"/>
    <w:rsid w:val="001A755E"/>
    <w:rsid w:val="001B0C7C"/>
    <w:rsid w:val="001B4D81"/>
    <w:rsid w:val="001D5CEF"/>
    <w:rsid w:val="001D7204"/>
    <w:rsid w:val="001E1AA9"/>
    <w:rsid w:val="001F3BBD"/>
    <w:rsid w:val="001F62D7"/>
    <w:rsid w:val="00204CDF"/>
    <w:rsid w:val="0020642D"/>
    <w:rsid w:val="00223002"/>
    <w:rsid w:val="0023501E"/>
    <w:rsid w:val="0024713F"/>
    <w:rsid w:val="00252152"/>
    <w:rsid w:val="00256DBE"/>
    <w:rsid w:val="00256E61"/>
    <w:rsid w:val="00265728"/>
    <w:rsid w:val="00293DC6"/>
    <w:rsid w:val="002B0880"/>
    <w:rsid w:val="002C2445"/>
    <w:rsid w:val="002C46C5"/>
    <w:rsid w:val="002E2577"/>
    <w:rsid w:val="002F130E"/>
    <w:rsid w:val="00303D24"/>
    <w:rsid w:val="00312807"/>
    <w:rsid w:val="00314381"/>
    <w:rsid w:val="00332CB6"/>
    <w:rsid w:val="00336506"/>
    <w:rsid w:val="003424A6"/>
    <w:rsid w:val="00342A19"/>
    <w:rsid w:val="003553DB"/>
    <w:rsid w:val="003760F5"/>
    <w:rsid w:val="00390FCC"/>
    <w:rsid w:val="003A4F51"/>
    <w:rsid w:val="003B76FD"/>
    <w:rsid w:val="003E6E55"/>
    <w:rsid w:val="003F4C18"/>
    <w:rsid w:val="00404A09"/>
    <w:rsid w:val="00404A7E"/>
    <w:rsid w:val="00425C22"/>
    <w:rsid w:val="004510F9"/>
    <w:rsid w:val="00460F12"/>
    <w:rsid w:val="0046189F"/>
    <w:rsid w:val="0046257C"/>
    <w:rsid w:val="004846E0"/>
    <w:rsid w:val="00484785"/>
    <w:rsid w:val="00490E2F"/>
    <w:rsid w:val="004B27E7"/>
    <w:rsid w:val="004C0DA0"/>
    <w:rsid w:val="005219B5"/>
    <w:rsid w:val="00534589"/>
    <w:rsid w:val="00542C83"/>
    <w:rsid w:val="00556AAD"/>
    <w:rsid w:val="005617CE"/>
    <w:rsid w:val="00573A06"/>
    <w:rsid w:val="00577CBA"/>
    <w:rsid w:val="00594B9A"/>
    <w:rsid w:val="00595536"/>
    <w:rsid w:val="005D4E52"/>
    <w:rsid w:val="005E5D40"/>
    <w:rsid w:val="006171B8"/>
    <w:rsid w:val="0063658D"/>
    <w:rsid w:val="006373BC"/>
    <w:rsid w:val="0065037F"/>
    <w:rsid w:val="00655123"/>
    <w:rsid w:val="00667D7C"/>
    <w:rsid w:val="006A10CA"/>
    <w:rsid w:val="006A2E8D"/>
    <w:rsid w:val="006B1A17"/>
    <w:rsid w:val="006B5E7E"/>
    <w:rsid w:val="006C1F12"/>
    <w:rsid w:val="006C59DD"/>
    <w:rsid w:val="006D0D27"/>
    <w:rsid w:val="006D2A3E"/>
    <w:rsid w:val="006D5F56"/>
    <w:rsid w:val="006D7DB8"/>
    <w:rsid w:val="006E07D5"/>
    <w:rsid w:val="006F0454"/>
    <w:rsid w:val="006F51D6"/>
    <w:rsid w:val="006F6B0D"/>
    <w:rsid w:val="00710FF3"/>
    <w:rsid w:val="00747048"/>
    <w:rsid w:val="007531D2"/>
    <w:rsid w:val="007549E6"/>
    <w:rsid w:val="007648D1"/>
    <w:rsid w:val="00770606"/>
    <w:rsid w:val="0077595B"/>
    <w:rsid w:val="007767B0"/>
    <w:rsid w:val="007777F3"/>
    <w:rsid w:val="0078210A"/>
    <w:rsid w:val="00785BDB"/>
    <w:rsid w:val="007940DD"/>
    <w:rsid w:val="00797BC5"/>
    <w:rsid w:val="007A06E5"/>
    <w:rsid w:val="007A3EF9"/>
    <w:rsid w:val="007A4553"/>
    <w:rsid w:val="007B1965"/>
    <w:rsid w:val="007C33B2"/>
    <w:rsid w:val="007D36FD"/>
    <w:rsid w:val="007D4C7B"/>
    <w:rsid w:val="007D5C00"/>
    <w:rsid w:val="007E3C5E"/>
    <w:rsid w:val="007E5D45"/>
    <w:rsid w:val="00804C51"/>
    <w:rsid w:val="008219F5"/>
    <w:rsid w:val="00845206"/>
    <w:rsid w:val="00850D5A"/>
    <w:rsid w:val="008510A5"/>
    <w:rsid w:val="00856C6A"/>
    <w:rsid w:val="00890A30"/>
    <w:rsid w:val="00892C6A"/>
    <w:rsid w:val="008A3128"/>
    <w:rsid w:val="008A32F9"/>
    <w:rsid w:val="008C3DCB"/>
    <w:rsid w:val="008D2B8D"/>
    <w:rsid w:val="008F0D31"/>
    <w:rsid w:val="008F3BD0"/>
    <w:rsid w:val="008F48B3"/>
    <w:rsid w:val="00924D98"/>
    <w:rsid w:val="009251F9"/>
    <w:rsid w:val="009308AF"/>
    <w:rsid w:val="0093286A"/>
    <w:rsid w:val="00934866"/>
    <w:rsid w:val="009452DE"/>
    <w:rsid w:val="00966D59"/>
    <w:rsid w:val="00972A8D"/>
    <w:rsid w:val="0098119E"/>
    <w:rsid w:val="00990E5F"/>
    <w:rsid w:val="009911DC"/>
    <w:rsid w:val="009924FB"/>
    <w:rsid w:val="00992C2B"/>
    <w:rsid w:val="00992C5C"/>
    <w:rsid w:val="009A4204"/>
    <w:rsid w:val="009A5D9A"/>
    <w:rsid w:val="009B09C8"/>
    <w:rsid w:val="009D58CA"/>
    <w:rsid w:val="009D7B65"/>
    <w:rsid w:val="009E44CC"/>
    <w:rsid w:val="009E5E63"/>
    <w:rsid w:val="009F4835"/>
    <w:rsid w:val="009F6176"/>
    <w:rsid w:val="00A07B54"/>
    <w:rsid w:val="00A23E01"/>
    <w:rsid w:val="00A3249D"/>
    <w:rsid w:val="00A35FC5"/>
    <w:rsid w:val="00A43877"/>
    <w:rsid w:val="00A6724B"/>
    <w:rsid w:val="00A720C5"/>
    <w:rsid w:val="00AA5C04"/>
    <w:rsid w:val="00AA646D"/>
    <w:rsid w:val="00AC3A11"/>
    <w:rsid w:val="00AD12FF"/>
    <w:rsid w:val="00AD19A9"/>
    <w:rsid w:val="00AD2D4C"/>
    <w:rsid w:val="00AD5484"/>
    <w:rsid w:val="00B0054E"/>
    <w:rsid w:val="00B0785F"/>
    <w:rsid w:val="00B1266A"/>
    <w:rsid w:val="00B14AE2"/>
    <w:rsid w:val="00B200EE"/>
    <w:rsid w:val="00B23261"/>
    <w:rsid w:val="00B2490F"/>
    <w:rsid w:val="00B35630"/>
    <w:rsid w:val="00B41E3F"/>
    <w:rsid w:val="00B44F00"/>
    <w:rsid w:val="00B4617B"/>
    <w:rsid w:val="00B54A59"/>
    <w:rsid w:val="00B56966"/>
    <w:rsid w:val="00B64F20"/>
    <w:rsid w:val="00B911A7"/>
    <w:rsid w:val="00B96BF9"/>
    <w:rsid w:val="00B977F3"/>
    <w:rsid w:val="00BA09D8"/>
    <w:rsid w:val="00BA14E5"/>
    <w:rsid w:val="00BA320D"/>
    <w:rsid w:val="00BA40F9"/>
    <w:rsid w:val="00BB2CC4"/>
    <w:rsid w:val="00BC42ED"/>
    <w:rsid w:val="00BE17DF"/>
    <w:rsid w:val="00BE4417"/>
    <w:rsid w:val="00C14B28"/>
    <w:rsid w:val="00C55C24"/>
    <w:rsid w:val="00C63DCC"/>
    <w:rsid w:val="00C90386"/>
    <w:rsid w:val="00C918CF"/>
    <w:rsid w:val="00C92264"/>
    <w:rsid w:val="00CA0E94"/>
    <w:rsid w:val="00CA4D32"/>
    <w:rsid w:val="00CA5DBD"/>
    <w:rsid w:val="00CB03DB"/>
    <w:rsid w:val="00CB59A4"/>
    <w:rsid w:val="00CC57BD"/>
    <w:rsid w:val="00CE17CB"/>
    <w:rsid w:val="00CF0356"/>
    <w:rsid w:val="00CF1C0F"/>
    <w:rsid w:val="00CF4062"/>
    <w:rsid w:val="00CF7976"/>
    <w:rsid w:val="00D01777"/>
    <w:rsid w:val="00D025D3"/>
    <w:rsid w:val="00D1580F"/>
    <w:rsid w:val="00D2708E"/>
    <w:rsid w:val="00D351C1"/>
    <w:rsid w:val="00D37883"/>
    <w:rsid w:val="00D647B9"/>
    <w:rsid w:val="00D71644"/>
    <w:rsid w:val="00D760EA"/>
    <w:rsid w:val="00D83F4E"/>
    <w:rsid w:val="00D93F04"/>
    <w:rsid w:val="00D97825"/>
    <w:rsid w:val="00DA3750"/>
    <w:rsid w:val="00DC2922"/>
    <w:rsid w:val="00DE0E1C"/>
    <w:rsid w:val="00DE445F"/>
    <w:rsid w:val="00DF581B"/>
    <w:rsid w:val="00E000BE"/>
    <w:rsid w:val="00E14C0A"/>
    <w:rsid w:val="00E14E21"/>
    <w:rsid w:val="00E22444"/>
    <w:rsid w:val="00E2599A"/>
    <w:rsid w:val="00E319B4"/>
    <w:rsid w:val="00E31ACE"/>
    <w:rsid w:val="00E333CA"/>
    <w:rsid w:val="00E372C9"/>
    <w:rsid w:val="00E456C2"/>
    <w:rsid w:val="00E4742A"/>
    <w:rsid w:val="00E56064"/>
    <w:rsid w:val="00E7666A"/>
    <w:rsid w:val="00E90B77"/>
    <w:rsid w:val="00E92B64"/>
    <w:rsid w:val="00EA2458"/>
    <w:rsid w:val="00EA2892"/>
    <w:rsid w:val="00EB4E32"/>
    <w:rsid w:val="00EC72B8"/>
    <w:rsid w:val="00EC7F40"/>
    <w:rsid w:val="00EE1CD9"/>
    <w:rsid w:val="00EF0B3D"/>
    <w:rsid w:val="00F23C43"/>
    <w:rsid w:val="00F33353"/>
    <w:rsid w:val="00F3525F"/>
    <w:rsid w:val="00F362EC"/>
    <w:rsid w:val="00F40F9E"/>
    <w:rsid w:val="00F42A8E"/>
    <w:rsid w:val="00F46B12"/>
    <w:rsid w:val="00F47789"/>
    <w:rsid w:val="00F50D9F"/>
    <w:rsid w:val="00F534BE"/>
    <w:rsid w:val="00F53788"/>
    <w:rsid w:val="00F54B39"/>
    <w:rsid w:val="00F74B9C"/>
    <w:rsid w:val="00F76F02"/>
    <w:rsid w:val="00F7704D"/>
    <w:rsid w:val="00FA09CD"/>
    <w:rsid w:val="00FA2D36"/>
    <w:rsid w:val="00FC4C15"/>
    <w:rsid w:val="00FC592C"/>
    <w:rsid w:val="00FD13F7"/>
    <w:rsid w:val="00FF1059"/>
    <w:rsid w:val="00FF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6D59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966D5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D59"/>
    <w:rPr>
      <w:rFonts w:ascii="Consolas" w:eastAsia="Times New Roman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66D59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966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0B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B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90B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B77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0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C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C5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C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subsidyscop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D64F3-BB17-4B3B-B71D-5D86142E7A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32467-45AA-4434-8BF5-04C0AE1B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sgreenberger</dc:creator>
  <cp:keywords/>
  <dc:description/>
  <cp:lastModifiedBy>slasky</cp:lastModifiedBy>
  <cp:revision>2</cp:revision>
  <cp:lastPrinted>2011-06-23T15:09:00Z</cp:lastPrinted>
  <dcterms:created xsi:type="dcterms:W3CDTF">2011-07-12T19:01:00Z</dcterms:created>
  <dcterms:modified xsi:type="dcterms:W3CDTF">2011-07-12T19:01:00Z</dcterms:modified>
</cp:coreProperties>
</file>