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15E" w:rsidRDefault="00316CFD" w:rsidP="00B1115E">
      <w:pPr>
        <w:pStyle w:val="PlainText"/>
        <w:rPr>
          <w:rFonts w:ascii="Times New Roman" w:hAnsi="Times New Roman"/>
          <w:sz w:val="24"/>
          <w:szCs w:val="24"/>
        </w:rPr>
      </w:pPr>
      <w:r w:rsidRPr="00B1115E">
        <w:rPr>
          <w:rFonts w:ascii="Times New Roman" w:hAnsi="Times New Roman"/>
          <w:b/>
          <w:sz w:val="24"/>
          <w:szCs w:val="24"/>
        </w:rPr>
        <w:t>Washington</w:t>
      </w:r>
      <w:r w:rsidRPr="00B1115E">
        <w:rPr>
          <w:rFonts w:ascii="Times New Roman" w:hAnsi="Times New Roman"/>
          <w:sz w:val="24"/>
          <w:szCs w:val="24"/>
        </w:rPr>
        <w:t xml:space="preserve"> – </w:t>
      </w:r>
      <w:r w:rsidR="004658CD">
        <w:rPr>
          <w:rFonts w:ascii="Times New Roman" w:hAnsi="Times New Roman"/>
          <w:sz w:val="24"/>
          <w:szCs w:val="24"/>
        </w:rPr>
        <w:t xml:space="preserve">More than </w:t>
      </w:r>
      <w:r w:rsidR="00BF46DA">
        <w:rPr>
          <w:rFonts w:ascii="Times New Roman" w:hAnsi="Times New Roman"/>
          <w:sz w:val="24"/>
          <w:szCs w:val="24"/>
        </w:rPr>
        <w:t>half</w:t>
      </w:r>
      <w:r w:rsidR="004658CD">
        <w:rPr>
          <w:rFonts w:ascii="Times New Roman" w:hAnsi="Times New Roman"/>
          <w:sz w:val="24"/>
          <w:szCs w:val="24"/>
        </w:rPr>
        <w:t xml:space="preserve"> of federal transportation spending </w:t>
      </w:r>
      <w:r w:rsidR="00CB7567">
        <w:rPr>
          <w:rFonts w:ascii="Times New Roman" w:hAnsi="Times New Roman"/>
          <w:sz w:val="24"/>
          <w:szCs w:val="24"/>
        </w:rPr>
        <w:t xml:space="preserve">in </w:t>
      </w:r>
      <w:r w:rsidR="00A1622C">
        <w:rPr>
          <w:rFonts w:ascii="Times New Roman" w:hAnsi="Times New Roman"/>
          <w:sz w:val="24"/>
          <w:szCs w:val="24"/>
        </w:rPr>
        <w:t>fiscal year</w:t>
      </w:r>
      <w:r w:rsidR="00455213">
        <w:rPr>
          <w:rFonts w:ascii="Times New Roman" w:hAnsi="Times New Roman"/>
          <w:sz w:val="24"/>
          <w:szCs w:val="24"/>
        </w:rPr>
        <w:t xml:space="preserve"> (FY)</w:t>
      </w:r>
      <w:r w:rsidR="00C8460A">
        <w:rPr>
          <w:rFonts w:ascii="Times New Roman" w:hAnsi="Times New Roman"/>
          <w:sz w:val="24"/>
          <w:szCs w:val="24"/>
        </w:rPr>
        <w:t xml:space="preserve"> </w:t>
      </w:r>
      <w:r w:rsidR="00CB7567">
        <w:rPr>
          <w:rFonts w:ascii="Times New Roman" w:hAnsi="Times New Roman"/>
          <w:sz w:val="24"/>
          <w:szCs w:val="24"/>
        </w:rPr>
        <w:t xml:space="preserve">2008 </w:t>
      </w:r>
      <w:r w:rsidR="004658CD">
        <w:rPr>
          <w:rFonts w:ascii="Times New Roman" w:hAnsi="Times New Roman"/>
          <w:sz w:val="24"/>
          <w:szCs w:val="24"/>
        </w:rPr>
        <w:t xml:space="preserve">was </w:t>
      </w:r>
      <w:r w:rsidR="007D14D4">
        <w:rPr>
          <w:rFonts w:ascii="Times New Roman" w:hAnsi="Times New Roman"/>
          <w:sz w:val="24"/>
          <w:szCs w:val="24"/>
        </w:rPr>
        <w:t xml:space="preserve">directed </w:t>
      </w:r>
      <w:r w:rsidR="004658CD">
        <w:rPr>
          <w:rFonts w:ascii="Times New Roman" w:hAnsi="Times New Roman"/>
          <w:sz w:val="24"/>
          <w:szCs w:val="24"/>
        </w:rPr>
        <w:t>to programs</w:t>
      </w:r>
      <w:r w:rsidR="00CB7567">
        <w:rPr>
          <w:rFonts w:ascii="Times New Roman" w:hAnsi="Times New Roman"/>
          <w:sz w:val="24"/>
          <w:szCs w:val="24"/>
        </w:rPr>
        <w:t xml:space="preserve"> that contain subsidies</w:t>
      </w:r>
      <w:r w:rsidR="004658CD">
        <w:rPr>
          <w:rFonts w:ascii="Times New Roman" w:hAnsi="Times New Roman"/>
          <w:sz w:val="24"/>
          <w:szCs w:val="24"/>
        </w:rPr>
        <w:t>,</w:t>
      </w:r>
      <w:r w:rsidR="00BF46DA">
        <w:rPr>
          <w:rFonts w:ascii="Times New Roman" w:hAnsi="Times New Roman"/>
          <w:sz w:val="24"/>
          <w:szCs w:val="24"/>
        </w:rPr>
        <w:t xml:space="preserve"> </w:t>
      </w:r>
      <w:r w:rsidR="004658CD">
        <w:rPr>
          <w:rFonts w:ascii="Times New Roman" w:hAnsi="Times New Roman"/>
          <w:sz w:val="24"/>
          <w:szCs w:val="24"/>
        </w:rPr>
        <w:t>according to</w:t>
      </w:r>
      <w:r w:rsidR="003C79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F46DA">
        <w:rPr>
          <w:rFonts w:ascii="Times New Roman" w:hAnsi="Times New Roman"/>
          <w:sz w:val="24"/>
          <w:szCs w:val="24"/>
        </w:rPr>
        <w:t>Subsidyscope</w:t>
      </w:r>
      <w:proofErr w:type="spellEnd"/>
      <w:r w:rsidR="00BF46DA">
        <w:rPr>
          <w:rFonts w:ascii="Times New Roman" w:hAnsi="Times New Roman"/>
          <w:sz w:val="24"/>
          <w:szCs w:val="24"/>
        </w:rPr>
        <w:t>, an initiative of Pew’s Economic Policy Group</w:t>
      </w:r>
      <w:r w:rsidR="00A26B27">
        <w:rPr>
          <w:rFonts w:ascii="Times New Roman" w:hAnsi="Times New Roman"/>
          <w:sz w:val="24"/>
          <w:szCs w:val="24"/>
        </w:rPr>
        <w:t>.</w:t>
      </w:r>
      <w:r w:rsidR="003C790A">
        <w:rPr>
          <w:rFonts w:ascii="Times New Roman" w:hAnsi="Times New Roman"/>
          <w:sz w:val="24"/>
          <w:szCs w:val="24"/>
        </w:rPr>
        <w:t xml:space="preserve"> </w:t>
      </w:r>
      <w:r w:rsidR="00BF46DA">
        <w:rPr>
          <w:rFonts w:ascii="Times New Roman" w:hAnsi="Times New Roman"/>
          <w:sz w:val="24"/>
          <w:szCs w:val="24"/>
        </w:rPr>
        <w:t>T</w:t>
      </w:r>
      <w:r w:rsidR="007D14D4">
        <w:rPr>
          <w:rFonts w:ascii="Times New Roman" w:hAnsi="Times New Roman"/>
          <w:sz w:val="24"/>
          <w:szCs w:val="24"/>
        </w:rPr>
        <w:t xml:space="preserve">he analysis comes from </w:t>
      </w:r>
      <w:r w:rsidR="00BF46DA">
        <w:rPr>
          <w:rFonts w:ascii="Times New Roman" w:hAnsi="Times New Roman"/>
          <w:sz w:val="24"/>
          <w:szCs w:val="24"/>
        </w:rPr>
        <w:t>a new</w:t>
      </w:r>
      <w:r w:rsidR="003C790A">
        <w:rPr>
          <w:rFonts w:ascii="Times New Roman" w:hAnsi="Times New Roman"/>
          <w:sz w:val="24"/>
          <w:szCs w:val="24"/>
        </w:rPr>
        <w:t xml:space="preserve"> comprehens</w:t>
      </w:r>
      <w:r w:rsidR="00CB7567">
        <w:rPr>
          <w:rFonts w:ascii="Times New Roman" w:hAnsi="Times New Roman"/>
          <w:sz w:val="24"/>
          <w:szCs w:val="24"/>
        </w:rPr>
        <w:t>ive</w:t>
      </w:r>
      <w:r w:rsidR="00C8460A">
        <w:rPr>
          <w:rFonts w:ascii="Times New Roman" w:hAnsi="Times New Roman"/>
          <w:sz w:val="24"/>
          <w:szCs w:val="24"/>
        </w:rPr>
        <w:t xml:space="preserve"> online</w:t>
      </w:r>
      <w:r w:rsidR="00CB7567">
        <w:rPr>
          <w:rFonts w:ascii="Times New Roman" w:hAnsi="Times New Roman"/>
          <w:sz w:val="24"/>
          <w:szCs w:val="24"/>
        </w:rPr>
        <w:t xml:space="preserve"> database on all </w:t>
      </w:r>
      <w:r w:rsidR="003C790A">
        <w:rPr>
          <w:rFonts w:ascii="Times New Roman" w:hAnsi="Times New Roman"/>
          <w:sz w:val="24"/>
          <w:szCs w:val="24"/>
        </w:rPr>
        <w:t>spending</w:t>
      </w:r>
      <w:r w:rsidR="00CB7567">
        <w:rPr>
          <w:rFonts w:ascii="Times New Roman" w:hAnsi="Times New Roman"/>
          <w:sz w:val="24"/>
          <w:szCs w:val="24"/>
        </w:rPr>
        <w:t xml:space="preserve"> </w:t>
      </w:r>
      <w:r w:rsidR="0095096B">
        <w:rPr>
          <w:rFonts w:ascii="Times New Roman" w:hAnsi="Times New Roman"/>
          <w:sz w:val="24"/>
          <w:szCs w:val="24"/>
        </w:rPr>
        <w:t xml:space="preserve">on subsidy programs </w:t>
      </w:r>
      <w:r w:rsidR="00CB7567">
        <w:rPr>
          <w:rFonts w:ascii="Times New Roman" w:hAnsi="Times New Roman"/>
          <w:sz w:val="24"/>
          <w:szCs w:val="24"/>
        </w:rPr>
        <w:t>in the transportation sector</w:t>
      </w:r>
      <w:r w:rsidR="003C790A">
        <w:rPr>
          <w:rFonts w:ascii="Times New Roman" w:hAnsi="Times New Roman"/>
          <w:sz w:val="24"/>
          <w:szCs w:val="24"/>
        </w:rPr>
        <w:t>.</w:t>
      </w:r>
    </w:p>
    <w:p w:rsidR="003C790A" w:rsidRDefault="003C790A" w:rsidP="00B1115E">
      <w:pPr>
        <w:pStyle w:val="PlainText"/>
        <w:rPr>
          <w:rFonts w:ascii="Times New Roman" w:hAnsi="Times New Roman"/>
          <w:sz w:val="24"/>
          <w:szCs w:val="24"/>
        </w:rPr>
      </w:pPr>
    </w:p>
    <w:p w:rsidR="00BF46DA" w:rsidRPr="00BF46DA" w:rsidRDefault="00BF46DA" w:rsidP="00B1115E">
      <w:pPr>
        <w:pStyle w:val="PlainText"/>
        <w:rPr>
          <w:rFonts w:ascii="Times New Roman" w:hAnsi="Times New Roman"/>
          <w:sz w:val="24"/>
          <w:szCs w:val="24"/>
        </w:rPr>
      </w:pPr>
      <w:r w:rsidRPr="00BF46DA">
        <w:rPr>
          <w:rFonts w:ascii="Times New Roman" w:hAnsi="Times New Roman"/>
          <w:sz w:val="24"/>
          <w:szCs w:val="24"/>
        </w:rPr>
        <w:t>The project collected</w:t>
      </w:r>
      <w:r>
        <w:rPr>
          <w:rFonts w:ascii="Times New Roman" w:hAnsi="Times New Roman"/>
          <w:sz w:val="24"/>
          <w:szCs w:val="24"/>
        </w:rPr>
        <w:t xml:space="preserve"> and aggregated</w:t>
      </w:r>
      <w:r w:rsidRPr="00BF46DA">
        <w:rPr>
          <w:rFonts w:ascii="Times New Roman" w:hAnsi="Times New Roman"/>
          <w:sz w:val="24"/>
          <w:szCs w:val="24"/>
        </w:rPr>
        <w:t xml:space="preserve"> data from USAspending.gov and other sources and built a searchable database of</w:t>
      </w:r>
      <w:r w:rsidR="00455213">
        <w:rPr>
          <w:rFonts w:ascii="Times New Roman" w:hAnsi="Times New Roman"/>
          <w:sz w:val="24"/>
          <w:szCs w:val="24"/>
        </w:rPr>
        <w:t xml:space="preserve"> federal</w:t>
      </w:r>
      <w:r w:rsidRPr="00BF46DA">
        <w:rPr>
          <w:rFonts w:ascii="Times New Roman" w:hAnsi="Times New Roman"/>
          <w:sz w:val="24"/>
          <w:szCs w:val="24"/>
        </w:rPr>
        <w:t xml:space="preserve"> transportation spending; users can query by grant recipient, state, government program and many other parameters.</w:t>
      </w:r>
      <w:r>
        <w:rPr>
          <w:rFonts w:ascii="Times New Roman" w:hAnsi="Times New Roman"/>
          <w:sz w:val="24"/>
          <w:szCs w:val="24"/>
        </w:rPr>
        <w:t xml:space="preserve">  The database includes information from </w:t>
      </w:r>
      <w:r w:rsidR="00BD0F73">
        <w:rPr>
          <w:rFonts w:ascii="Times New Roman" w:hAnsi="Times New Roman"/>
          <w:sz w:val="24"/>
          <w:szCs w:val="24"/>
        </w:rPr>
        <w:t>2000-2008</w:t>
      </w:r>
      <w:r>
        <w:rPr>
          <w:rFonts w:ascii="Times New Roman" w:hAnsi="Times New Roman"/>
          <w:sz w:val="24"/>
          <w:szCs w:val="24"/>
        </w:rPr>
        <w:t>.</w:t>
      </w:r>
      <w:r w:rsidRPr="00BF46DA">
        <w:rPr>
          <w:rFonts w:ascii="Times New Roman" w:hAnsi="Times New Roman"/>
          <w:sz w:val="24"/>
          <w:szCs w:val="24"/>
        </w:rPr>
        <w:t xml:space="preserve"> </w:t>
      </w:r>
    </w:p>
    <w:p w:rsidR="00BF46DA" w:rsidRDefault="00BF46DA" w:rsidP="00B1115E">
      <w:pPr>
        <w:pStyle w:val="PlainText"/>
      </w:pPr>
    </w:p>
    <w:p w:rsidR="003C790A" w:rsidRDefault="003C790A" w:rsidP="003C790A">
      <w:r>
        <w:t>“</w:t>
      </w:r>
      <w:r w:rsidRPr="00817FAC">
        <w:t xml:space="preserve">Federal </w:t>
      </w:r>
      <w:r>
        <w:t xml:space="preserve">transportation </w:t>
      </w:r>
      <w:r w:rsidRPr="00817FAC">
        <w:t>subsidies cost</w:t>
      </w:r>
      <w:r w:rsidR="00BF46DA">
        <w:t xml:space="preserve"> taxpayers</w:t>
      </w:r>
      <w:r w:rsidRPr="00817FAC">
        <w:t xml:space="preserve"> </w:t>
      </w:r>
      <w:r>
        <w:t>tens of</w:t>
      </w:r>
      <w:r w:rsidRPr="00817FAC">
        <w:t xml:space="preserve"> </w:t>
      </w:r>
      <w:r>
        <w:t xml:space="preserve">billions of dollars each year and are surprisingly hard to uncover,” said Subsidyscope project director Marcus Peacock.  “At a time when lawmakers are concerned about the growing budget deficit, this information will </w:t>
      </w:r>
      <w:r w:rsidR="00BF46DA">
        <w:t>help</w:t>
      </w:r>
      <w:r>
        <w:t xml:space="preserve"> </w:t>
      </w:r>
      <w:r w:rsidR="00BF46DA">
        <w:t>leaders</w:t>
      </w:r>
      <w:r>
        <w:t xml:space="preserve"> </w:t>
      </w:r>
      <w:r w:rsidR="00BF46DA">
        <w:t>make</w:t>
      </w:r>
      <w:r>
        <w:t xml:space="preserve"> informed choices </w:t>
      </w:r>
      <w:r w:rsidR="00BF46DA">
        <w:t>and set</w:t>
      </w:r>
      <w:r>
        <w:t xml:space="preserve"> spending priorities.” </w:t>
      </w:r>
    </w:p>
    <w:p w:rsidR="00CB7567" w:rsidRDefault="00CB7567" w:rsidP="003C790A"/>
    <w:p w:rsidR="00CB7567" w:rsidRDefault="00C8460A" w:rsidP="003C790A">
      <w:r>
        <w:t xml:space="preserve">In addition to creating the public database, </w:t>
      </w:r>
      <w:proofErr w:type="spellStart"/>
      <w:r>
        <w:t>Subsidyscope</w:t>
      </w:r>
      <w:proofErr w:type="spellEnd"/>
      <w:r>
        <w:t xml:space="preserve"> has produced several analyses of the sector. </w:t>
      </w:r>
      <w:r w:rsidR="00106CE6">
        <w:t xml:space="preserve">Some of the </w:t>
      </w:r>
      <w:r>
        <w:t xml:space="preserve">findings </w:t>
      </w:r>
      <w:r w:rsidR="00106CE6">
        <w:t>include:</w:t>
      </w:r>
    </w:p>
    <w:p w:rsidR="00BF46DA" w:rsidRDefault="00BF46DA" w:rsidP="003C790A"/>
    <w:p w:rsidR="00BF46DA" w:rsidRDefault="00455213" w:rsidP="00BF46DA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---More than $45 billion of federal transportation spending in FY2008 was directed to </w:t>
      </w:r>
      <w:r w:rsidR="00BD0F73">
        <w:rPr>
          <w:rFonts w:ascii="Times New Roman" w:hAnsi="Times New Roman"/>
          <w:sz w:val="24"/>
          <w:szCs w:val="24"/>
        </w:rPr>
        <w:t>programs that contain subsidies</w:t>
      </w:r>
      <w:r w:rsidR="00CF238D">
        <w:rPr>
          <w:rFonts w:ascii="Times New Roman" w:hAnsi="Times New Roman"/>
          <w:sz w:val="24"/>
          <w:szCs w:val="24"/>
        </w:rPr>
        <w:t>, an increase of around 20 percent since FY2000.</w:t>
      </w:r>
      <w:r>
        <w:rPr>
          <w:rFonts w:ascii="Times New Roman" w:hAnsi="Times New Roman"/>
          <w:sz w:val="24"/>
          <w:szCs w:val="24"/>
        </w:rPr>
        <w:t xml:space="preserve"> The types of subsidies can be broken down into four categories: direct expenditures; tax expenditures; risk transfers; and contracts.  </w:t>
      </w:r>
      <w:r w:rsidR="00BF46DA" w:rsidRPr="003C790A">
        <w:rPr>
          <w:rFonts w:ascii="Times New Roman" w:hAnsi="Times New Roman"/>
          <w:sz w:val="24"/>
          <w:szCs w:val="24"/>
        </w:rPr>
        <w:t xml:space="preserve">Comparing </w:t>
      </w:r>
      <w:r w:rsidR="00BF46DA">
        <w:rPr>
          <w:rFonts w:ascii="Times New Roman" w:hAnsi="Times New Roman"/>
          <w:sz w:val="24"/>
          <w:szCs w:val="24"/>
        </w:rPr>
        <w:t xml:space="preserve">direct expenditures </w:t>
      </w:r>
      <w:r w:rsidR="00BF46DA" w:rsidRPr="003C790A">
        <w:rPr>
          <w:rFonts w:ascii="Times New Roman" w:hAnsi="Times New Roman"/>
          <w:sz w:val="24"/>
          <w:szCs w:val="24"/>
        </w:rPr>
        <w:t>by</w:t>
      </w:r>
      <w:r w:rsidR="00BF46DA">
        <w:rPr>
          <w:rFonts w:ascii="Times New Roman" w:hAnsi="Times New Roman"/>
          <w:sz w:val="24"/>
          <w:szCs w:val="24"/>
        </w:rPr>
        <w:t xml:space="preserve"> transportation</w:t>
      </w:r>
      <w:r w:rsidR="00BF46DA" w:rsidRPr="003C790A">
        <w:rPr>
          <w:rFonts w:ascii="Times New Roman" w:hAnsi="Times New Roman"/>
          <w:sz w:val="24"/>
          <w:szCs w:val="24"/>
        </w:rPr>
        <w:t xml:space="preserve"> mode, in </w:t>
      </w:r>
      <w:r>
        <w:rPr>
          <w:rFonts w:ascii="Times New Roman" w:hAnsi="Times New Roman"/>
          <w:sz w:val="24"/>
          <w:szCs w:val="24"/>
        </w:rPr>
        <w:t>FY</w:t>
      </w:r>
      <w:r w:rsidR="00BF46DA" w:rsidRPr="003C790A">
        <w:rPr>
          <w:rFonts w:ascii="Times New Roman" w:hAnsi="Times New Roman"/>
          <w:sz w:val="24"/>
          <w:szCs w:val="24"/>
        </w:rPr>
        <w:t>2008</w:t>
      </w:r>
      <w:r w:rsidR="00BF46DA">
        <w:rPr>
          <w:rFonts w:ascii="Times New Roman" w:hAnsi="Times New Roman"/>
          <w:sz w:val="24"/>
          <w:szCs w:val="24"/>
        </w:rPr>
        <w:t>,</w:t>
      </w:r>
      <w:r w:rsidR="00BF46DA" w:rsidRPr="003C790A">
        <w:rPr>
          <w:rFonts w:ascii="Times New Roman" w:hAnsi="Times New Roman"/>
          <w:sz w:val="24"/>
          <w:szCs w:val="24"/>
        </w:rPr>
        <w:t xml:space="preserve"> $30</w:t>
      </w:r>
      <w:r w:rsidR="00BF46DA">
        <w:rPr>
          <w:rFonts w:ascii="Times New Roman" w:hAnsi="Times New Roman"/>
          <w:sz w:val="24"/>
          <w:szCs w:val="24"/>
        </w:rPr>
        <w:t xml:space="preserve"> </w:t>
      </w:r>
      <w:r w:rsidR="00BF46DA" w:rsidRPr="003C790A">
        <w:rPr>
          <w:rFonts w:ascii="Times New Roman" w:hAnsi="Times New Roman"/>
          <w:sz w:val="24"/>
          <w:szCs w:val="24"/>
        </w:rPr>
        <w:t xml:space="preserve">billion was spent on highways, </w:t>
      </w:r>
      <w:r w:rsidR="00BF46DA">
        <w:rPr>
          <w:rFonts w:ascii="Times New Roman" w:hAnsi="Times New Roman"/>
          <w:sz w:val="24"/>
          <w:szCs w:val="24"/>
        </w:rPr>
        <w:t xml:space="preserve">nearly </w:t>
      </w:r>
      <w:r w:rsidR="00BF46DA" w:rsidRPr="003C790A">
        <w:rPr>
          <w:rFonts w:ascii="Times New Roman" w:hAnsi="Times New Roman"/>
          <w:sz w:val="24"/>
          <w:szCs w:val="24"/>
        </w:rPr>
        <w:t>$</w:t>
      </w:r>
      <w:r w:rsidR="00BF46DA">
        <w:rPr>
          <w:rFonts w:ascii="Times New Roman" w:hAnsi="Times New Roman"/>
          <w:sz w:val="24"/>
          <w:szCs w:val="24"/>
        </w:rPr>
        <w:t>9</w:t>
      </w:r>
      <w:r w:rsidR="00BF46DA" w:rsidRPr="003C790A">
        <w:rPr>
          <w:rFonts w:ascii="Times New Roman" w:hAnsi="Times New Roman"/>
          <w:sz w:val="24"/>
          <w:szCs w:val="24"/>
        </w:rPr>
        <w:t xml:space="preserve"> billion on mass transit, </w:t>
      </w:r>
      <w:r w:rsidR="00BF46DA">
        <w:rPr>
          <w:rFonts w:ascii="Times New Roman" w:hAnsi="Times New Roman"/>
          <w:sz w:val="24"/>
          <w:szCs w:val="24"/>
        </w:rPr>
        <w:t xml:space="preserve">nearly </w:t>
      </w:r>
      <w:r w:rsidR="00BF46DA" w:rsidRPr="003C790A">
        <w:rPr>
          <w:rFonts w:ascii="Times New Roman" w:hAnsi="Times New Roman"/>
          <w:sz w:val="24"/>
          <w:szCs w:val="24"/>
        </w:rPr>
        <w:t>$</w:t>
      </w:r>
      <w:r w:rsidR="00BF46DA">
        <w:rPr>
          <w:rFonts w:ascii="Times New Roman" w:hAnsi="Times New Roman"/>
          <w:sz w:val="24"/>
          <w:szCs w:val="24"/>
        </w:rPr>
        <w:t>3</w:t>
      </w:r>
      <w:r w:rsidR="00BF46DA" w:rsidRPr="003C790A">
        <w:rPr>
          <w:rFonts w:ascii="Times New Roman" w:hAnsi="Times New Roman"/>
          <w:sz w:val="24"/>
          <w:szCs w:val="24"/>
        </w:rPr>
        <w:t xml:space="preserve"> billion on aviation, $</w:t>
      </w:r>
      <w:r w:rsidR="00BF46DA">
        <w:rPr>
          <w:rFonts w:ascii="Times New Roman" w:hAnsi="Times New Roman"/>
          <w:sz w:val="24"/>
          <w:szCs w:val="24"/>
        </w:rPr>
        <w:t>1 b</w:t>
      </w:r>
      <w:r w:rsidR="00BF46DA" w:rsidRPr="003C790A">
        <w:rPr>
          <w:rFonts w:ascii="Times New Roman" w:hAnsi="Times New Roman"/>
          <w:sz w:val="24"/>
          <w:szCs w:val="24"/>
        </w:rPr>
        <w:t>illion on rail, $</w:t>
      </w:r>
      <w:r w:rsidR="00BF46DA">
        <w:rPr>
          <w:rFonts w:ascii="Times New Roman" w:hAnsi="Times New Roman"/>
          <w:sz w:val="24"/>
          <w:szCs w:val="24"/>
        </w:rPr>
        <w:t>387</w:t>
      </w:r>
      <w:r w:rsidR="00BF46DA" w:rsidRPr="003C790A">
        <w:rPr>
          <w:rFonts w:ascii="Times New Roman" w:hAnsi="Times New Roman"/>
          <w:sz w:val="24"/>
          <w:szCs w:val="24"/>
        </w:rPr>
        <w:t xml:space="preserve"> million on maritime</w:t>
      </w:r>
      <w:r w:rsidR="00BF46DA">
        <w:rPr>
          <w:rFonts w:ascii="Times New Roman" w:hAnsi="Times New Roman"/>
          <w:sz w:val="24"/>
          <w:szCs w:val="24"/>
        </w:rPr>
        <w:t xml:space="preserve"> </w:t>
      </w:r>
      <w:r w:rsidR="00BF46DA" w:rsidRPr="003C790A">
        <w:rPr>
          <w:rFonts w:ascii="Times New Roman" w:hAnsi="Times New Roman"/>
          <w:sz w:val="24"/>
          <w:szCs w:val="24"/>
        </w:rPr>
        <w:t>and $126 million was spent on other programs such as pipelines and recreational trails.</w:t>
      </w:r>
      <w:r w:rsidR="00BF46DA">
        <w:rPr>
          <w:rFonts w:ascii="Times New Roman" w:hAnsi="Times New Roman"/>
          <w:sz w:val="24"/>
          <w:szCs w:val="24"/>
        </w:rPr>
        <w:t xml:space="preserve"> Spending on tax expenditures and risk transfers totaled less than $4 billion.  </w:t>
      </w:r>
    </w:p>
    <w:p w:rsidR="00106CE6" w:rsidRDefault="00106CE6" w:rsidP="003C790A"/>
    <w:p w:rsidR="00106CE6" w:rsidRDefault="00106CE6" w:rsidP="003C790A">
      <w:r>
        <w:t>---</w:t>
      </w:r>
      <w:r w:rsidRPr="00106CE6">
        <w:t xml:space="preserve"> </w:t>
      </w:r>
      <w:r>
        <w:t>From fiscal years 2000 through 2008, California received the mo</w:t>
      </w:r>
      <w:r w:rsidR="00A1622C">
        <w:t>st</w:t>
      </w:r>
      <w:r w:rsidR="00455213">
        <w:t xml:space="preserve"> transportation</w:t>
      </w:r>
      <w:r w:rsidR="00A1622C">
        <w:t xml:space="preserve"> funding of any state – more than $</w:t>
      </w:r>
      <w:r w:rsidR="00C35747">
        <w:t>38</w:t>
      </w:r>
      <w:r w:rsidR="00A1622C">
        <w:t xml:space="preserve"> billion</w:t>
      </w:r>
      <w:r>
        <w:t>.  Ve</w:t>
      </w:r>
      <w:r w:rsidR="00A1622C">
        <w:t>rmont received the least, $1.</w:t>
      </w:r>
      <w:r w:rsidR="00C35747">
        <w:t>5</w:t>
      </w:r>
      <w:r w:rsidR="007D14D4">
        <w:t xml:space="preserve"> billion</w:t>
      </w:r>
      <w:r>
        <w:t>.  However, California received the least transport</w:t>
      </w:r>
      <w:r w:rsidR="00C35747">
        <w:t>ation aid per resident -- $1,038</w:t>
      </w:r>
      <w:r>
        <w:t>.  Alaska recei</w:t>
      </w:r>
      <w:r w:rsidR="00A1622C">
        <w:t>ved the most money per capita, $8,1</w:t>
      </w:r>
      <w:r w:rsidR="00C35747">
        <w:t>83</w:t>
      </w:r>
      <w:r>
        <w:t>, almost eight times higher than California.</w:t>
      </w:r>
    </w:p>
    <w:p w:rsidR="00A1622C" w:rsidRDefault="00A1622C" w:rsidP="003C790A"/>
    <w:p w:rsidR="00A1622C" w:rsidRDefault="00A1622C" w:rsidP="003C790A">
      <w:r>
        <w:t>---</w:t>
      </w:r>
      <w:r w:rsidRPr="00A1622C">
        <w:t xml:space="preserve"> </w:t>
      </w:r>
      <w:r>
        <w:t>The biggest transportation tax break is to employees for parking costs.  In fiscal year 1998 the government lost an estimated $1.5 billion in revenue</w:t>
      </w:r>
      <w:r w:rsidR="007D14D4">
        <w:t xml:space="preserve"> through this benefit</w:t>
      </w:r>
      <w:r>
        <w:t>. By fiscal year 2008, the number almost doubled to nearly $3 billion. By fiscal year 2014, it’s expected to reach almost $4 billion.</w:t>
      </w:r>
    </w:p>
    <w:p w:rsidR="00A1622C" w:rsidRDefault="00A1622C" w:rsidP="003C790A"/>
    <w:p w:rsidR="00A1622C" w:rsidRDefault="00A1622C" w:rsidP="003C790A">
      <w:r>
        <w:t>Over the next several months, Subsidyscope will release spending and subsidy information on additional transportation-related programs, many of which</w:t>
      </w:r>
      <w:r w:rsidR="007D14D4">
        <w:t xml:space="preserve"> </w:t>
      </w:r>
      <w:r w:rsidR="00455213">
        <w:t>have received</w:t>
      </w:r>
      <w:r>
        <w:t xml:space="preserve"> little public scrutiny.</w:t>
      </w:r>
    </w:p>
    <w:p w:rsidR="00A26B27" w:rsidRDefault="00A26B27" w:rsidP="003C790A"/>
    <w:p w:rsidR="00A26B27" w:rsidRDefault="00A26B27" w:rsidP="00A26B27">
      <w:r>
        <w:lastRenderedPageBreak/>
        <w:t xml:space="preserve">Please visit </w:t>
      </w:r>
      <w:hyperlink r:id="rId8" w:history="1">
        <w:r w:rsidRPr="00810A9E">
          <w:rPr>
            <w:rStyle w:val="Hyperlink"/>
          </w:rPr>
          <w:t>www.subsidyscope.org</w:t>
        </w:r>
      </w:hyperlink>
      <w:r>
        <w:t xml:space="preserve"> for access to all available databases as well as further information on federal subsidies.</w:t>
      </w:r>
    </w:p>
    <w:p w:rsidR="00A26B27" w:rsidRDefault="00A26B27" w:rsidP="00A26B27"/>
    <w:p w:rsidR="00A26B27" w:rsidRPr="00E52814" w:rsidRDefault="00A26B27" w:rsidP="00A26B27">
      <w:pPr>
        <w:rPr>
          <w:i/>
          <w:iCs/>
        </w:rPr>
      </w:pPr>
      <w:r w:rsidRPr="00E52814">
        <w:rPr>
          <w:i/>
          <w:iCs/>
        </w:rPr>
        <w:t xml:space="preserve">Subsidyscope is an initiative of Pew’s Economic Policy </w:t>
      </w:r>
      <w:r>
        <w:rPr>
          <w:i/>
          <w:iCs/>
        </w:rPr>
        <w:t>Group</w:t>
      </w:r>
      <w:r w:rsidR="00C35747">
        <w:rPr>
          <w:i/>
          <w:iCs/>
        </w:rPr>
        <w:t>. The project</w:t>
      </w:r>
      <w:r w:rsidRPr="00E52814">
        <w:rPr>
          <w:i/>
          <w:iCs/>
        </w:rPr>
        <w:t xml:space="preserve"> aggregates information on federal subsidies from multiple sources </w:t>
      </w:r>
      <w:r w:rsidR="00C35747">
        <w:rPr>
          <w:i/>
          <w:iCs/>
        </w:rPr>
        <w:t>and offers a</w:t>
      </w:r>
      <w:r w:rsidR="0092561F">
        <w:rPr>
          <w:i/>
          <w:iCs/>
        </w:rPr>
        <w:t xml:space="preserve"> </w:t>
      </w:r>
      <w:r w:rsidRPr="00E52814">
        <w:rPr>
          <w:i/>
          <w:iCs/>
        </w:rPr>
        <w:t>comprehensive, searchable, open-source database</w:t>
      </w:r>
      <w:r w:rsidR="00C35747">
        <w:rPr>
          <w:i/>
          <w:iCs/>
        </w:rPr>
        <w:t xml:space="preserve"> of direct expenditures</w:t>
      </w:r>
      <w:r w:rsidR="0092561F">
        <w:rPr>
          <w:i/>
          <w:iCs/>
        </w:rPr>
        <w:t>, which serve</w:t>
      </w:r>
      <w:r w:rsidR="00C35747">
        <w:rPr>
          <w:i/>
          <w:iCs/>
        </w:rPr>
        <w:t>s</w:t>
      </w:r>
      <w:r w:rsidRPr="00E52814">
        <w:rPr>
          <w:i/>
          <w:iCs/>
        </w:rPr>
        <w:t xml:space="preserve"> as a gateway for press, policymakers, advocates and the public. The project is guided by a broad and bipartisan advisory board of budget, fiscal and transparency experts and is assisted by its technology partner, the Sunlight Foundation.</w:t>
      </w:r>
    </w:p>
    <w:p w:rsidR="00A26B27" w:rsidRDefault="00A26B27" w:rsidP="003C790A"/>
    <w:p w:rsidR="00A45402" w:rsidRPr="00C64024" w:rsidRDefault="00A45402" w:rsidP="00C64024">
      <w:pPr>
        <w:pStyle w:val="PlainText"/>
        <w:sectPr w:rsidR="00A45402" w:rsidRPr="00C64024" w:rsidSect="00B1115E">
          <w:headerReference w:type="first" r:id="rId9"/>
          <w:pgSz w:w="12240" w:h="15840"/>
          <w:pgMar w:top="360" w:right="1440" w:bottom="576" w:left="1440" w:header="720" w:footer="720" w:gutter="0"/>
          <w:cols w:space="720"/>
          <w:titlePg/>
        </w:sectPr>
      </w:pPr>
    </w:p>
    <w:p w:rsidR="00312A88" w:rsidRDefault="00316CFD">
      <w:pPr>
        <w:jc w:val="both"/>
        <w:rPr>
          <w:i/>
        </w:rPr>
      </w:pPr>
      <w:r w:rsidRPr="00D76FBC">
        <w:rPr>
          <w:i/>
        </w:rPr>
        <w:lastRenderedPageBreak/>
        <w:t>The Pew Charitable Trusts (www.pewtrusts.org) is driven by the power of knowledge to solve today’s most challenging problems. Pew applies a rigorous, analytical approach to improve public policy, inform the public and stimulate civic life. We partner with a diverse range of donors, public and private organizations and concerned citizens who share our commitment to fact-based solutions and goal-driven investments to improve society.</w:t>
      </w:r>
    </w:p>
    <w:p w:rsidR="0084022E" w:rsidRDefault="0084022E">
      <w:pPr>
        <w:jc w:val="both"/>
        <w:rPr>
          <w:i/>
        </w:rPr>
      </w:pPr>
    </w:p>
    <w:p w:rsidR="0084022E" w:rsidRDefault="0084022E">
      <w:pPr>
        <w:jc w:val="both"/>
        <w:rPr>
          <w:b/>
          <w:bCs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3034BA">
        <w:rPr>
          <w:i/>
        </w:rPr>
        <w:t xml:space="preserve">     </w:t>
      </w:r>
      <w:r>
        <w:rPr>
          <w:i/>
        </w:rPr>
        <w:t>###</w:t>
      </w:r>
    </w:p>
    <w:sectPr w:rsidR="0084022E" w:rsidSect="00A45402">
      <w:type w:val="continuous"/>
      <w:pgSz w:w="12240" w:h="15840"/>
      <w:pgMar w:top="360" w:right="1440" w:bottom="720" w:left="144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16F" w:rsidRDefault="00D7416F">
      <w:r>
        <w:separator/>
      </w:r>
    </w:p>
  </w:endnote>
  <w:endnote w:type="continuationSeparator" w:id="0">
    <w:p w:rsidR="00D7416F" w:rsidRDefault="00D741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16F" w:rsidRDefault="00D7416F">
      <w:r>
        <w:separator/>
      </w:r>
    </w:p>
  </w:footnote>
  <w:footnote w:type="continuationSeparator" w:id="0">
    <w:p w:rsidR="00D7416F" w:rsidRDefault="00D741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16F" w:rsidRPr="00777150" w:rsidRDefault="00D7416F" w:rsidP="001F00F8">
    <w:pPr>
      <w:spacing w:line="480" w:lineRule="exact"/>
      <w:jc w:val="both"/>
      <w:rPr>
        <w:color w:val="5EB4F6"/>
        <w:sz w:val="60"/>
      </w:rPr>
    </w:pPr>
    <w:r w:rsidRPr="00F1425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359.55pt;margin-top:-8.8pt;width:143.95pt;height:56.3pt;z-index:251657728" stroked="f">
          <v:textbox style="mso-next-textbox:#_x0000_s2049">
            <w:txbxContent>
              <w:p w:rsidR="00D7416F" w:rsidRDefault="00D7416F">
                <w:r>
                  <w:rPr>
                    <w:noProof/>
                  </w:rPr>
                  <w:drawing>
                    <wp:inline distT="0" distB="0" distL="0" distR="0">
                      <wp:extent cx="1628775" cy="619125"/>
                      <wp:effectExtent l="19050" t="0" r="9525" b="0"/>
                      <wp:docPr id="1" name="Picture 2" descr="pew_logo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pew_logo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28775" cy="619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proofErr w:type="gramStart"/>
    <w:r w:rsidRPr="00777150">
      <w:rPr>
        <w:color w:val="5EB4F6"/>
        <w:sz w:val="60"/>
      </w:rPr>
      <w:t>news</w:t>
    </w:r>
    <w:proofErr w:type="gramEnd"/>
  </w:p>
  <w:p w:rsidR="00D7416F" w:rsidRDefault="00D7416F" w:rsidP="008C2DBF">
    <w:pPr>
      <w:jc w:val="both"/>
      <w:rPr>
        <w:rFonts w:ascii="Arial" w:hAnsi="Arial"/>
        <w:color w:val="5EB4F6"/>
        <w:spacing w:val="15"/>
        <w:sz w:val="16"/>
      </w:rPr>
    </w:pPr>
  </w:p>
  <w:p w:rsidR="00D7416F" w:rsidRDefault="00D7416F" w:rsidP="008C2DBF">
    <w:pPr>
      <w:jc w:val="both"/>
      <w:rPr>
        <w:rFonts w:ascii="Arial" w:hAnsi="Arial"/>
        <w:color w:val="5EB4F6"/>
        <w:spacing w:val="15"/>
        <w:sz w:val="16"/>
      </w:rPr>
    </w:pPr>
    <w:r w:rsidRPr="00777150">
      <w:rPr>
        <w:rFonts w:ascii="Arial" w:hAnsi="Arial"/>
        <w:color w:val="5EB4F6"/>
        <w:spacing w:val="15"/>
        <w:sz w:val="16"/>
      </w:rPr>
      <w:t xml:space="preserve">CONTACT: </w:t>
    </w:r>
    <w:r>
      <w:rPr>
        <w:rFonts w:ascii="Arial" w:hAnsi="Arial"/>
        <w:color w:val="5EB4F6"/>
        <w:spacing w:val="15"/>
        <w:sz w:val="16"/>
      </w:rPr>
      <w:t>JEREMY RATNER</w:t>
    </w:r>
    <w:r w:rsidRPr="00777150">
      <w:rPr>
        <w:rFonts w:ascii="Arial" w:hAnsi="Arial"/>
        <w:color w:val="5EB4F6"/>
        <w:spacing w:val="15"/>
        <w:sz w:val="16"/>
      </w:rPr>
      <w:t xml:space="preserve">, </w:t>
    </w:r>
    <w:r>
      <w:rPr>
        <w:rFonts w:ascii="Arial" w:hAnsi="Arial"/>
        <w:color w:val="5EB4F6"/>
        <w:spacing w:val="15"/>
        <w:sz w:val="16"/>
      </w:rPr>
      <w:t>Communications</w:t>
    </w:r>
  </w:p>
  <w:p w:rsidR="00D7416F" w:rsidRDefault="00D7416F" w:rsidP="008C2DBF">
    <w:pPr>
      <w:jc w:val="both"/>
      <w:rPr>
        <w:rFonts w:ascii="Arial" w:hAnsi="Arial"/>
        <w:color w:val="5EB4F6"/>
        <w:spacing w:val="15"/>
        <w:sz w:val="16"/>
      </w:rPr>
    </w:pPr>
    <w:r w:rsidRPr="00777150">
      <w:rPr>
        <w:rFonts w:ascii="Arial" w:hAnsi="Arial"/>
        <w:color w:val="5EB4F6"/>
        <w:spacing w:val="15"/>
        <w:sz w:val="16"/>
      </w:rPr>
      <w:t>202-</w:t>
    </w:r>
    <w:r>
      <w:rPr>
        <w:rFonts w:ascii="Arial" w:hAnsi="Arial"/>
        <w:color w:val="5EB4F6"/>
        <w:spacing w:val="15"/>
        <w:sz w:val="16"/>
      </w:rPr>
      <w:t xml:space="preserve">552-2137 | </w:t>
    </w:r>
    <w:r w:rsidRPr="00043DE1">
      <w:rPr>
        <w:rFonts w:ascii="Arial" w:hAnsi="Arial"/>
        <w:color w:val="5EB4F6"/>
        <w:spacing w:val="15"/>
        <w:sz w:val="16"/>
      </w:rPr>
      <w:t>jratner@pewtrusts.org</w:t>
    </w:r>
  </w:p>
  <w:p w:rsidR="00D7416F" w:rsidRDefault="00D7416F" w:rsidP="008C2DBF">
    <w:pPr>
      <w:jc w:val="both"/>
      <w:rPr>
        <w:rFonts w:ascii="Arial" w:hAnsi="Arial"/>
        <w:b/>
        <w:color w:val="5EB4F6"/>
        <w:spacing w:val="15"/>
        <w:sz w:val="18"/>
        <w:szCs w:val="18"/>
      </w:rPr>
    </w:pPr>
    <w:r>
      <w:rPr>
        <w:rFonts w:ascii="Arial" w:hAnsi="Arial"/>
        <w:b/>
        <w:color w:val="5EB4F6"/>
        <w:spacing w:val="15"/>
        <w:sz w:val="18"/>
        <w:szCs w:val="18"/>
      </w:rPr>
      <w:t>FOR IMMEDIATE RELEASE</w:t>
    </w:r>
  </w:p>
  <w:p w:rsidR="00D7416F" w:rsidRPr="00696989" w:rsidRDefault="00D7416F" w:rsidP="008C2DBF">
    <w:pPr>
      <w:jc w:val="both"/>
      <w:rPr>
        <w:rFonts w:ascii="Arial" w:hAnsi="Arial"/>
        <w:b/>
        <w:color w:val="5EB4F6"/>
        <w:spacing w:val="15"/>
        <w:sz w:val="18"/>
        <w:szCs w:val="18"/>
      </w:rPr>
    </w:pPr>
    <w:r>
      <w:rPr>
        <w:rFonts w:ascii="Arial" w:hAnsi="Arial"/>
        <w:b/>
        <w:color w:val="5EB4F6"/>
        <w:spacing w:val="15"/>
        <w:sz w:val="18"/>
        <w:szCs w:val="18"/>
      </w:rPr>
      <w:t>September 28, 2009</w:t>
    </w:r>
  </w:p>
  <w:p w:rsidR="00D7416F" w:rsidRPr="003814E4" w:rsidRDefault="00D7416F" w:rsidP="00853003">
    <w:pPr>
      <w:rPr>
        <w:i/>
        <w:color w:val="1F497D"/>
        <w:sz w:val="20"/>
        <w:szCs w:val="20"/>
      </w:rPr>
    </w:pPr>
  </w:p>
  <w:p w:rsidR="00D7416F" w:rsidRDefault="00D7416F" w:rsidP="004658CD">
    <w:pPr>
      <w:pStyle w:val="PlainText"/>
      <w:jc w:val="center"/>
      <w:rPr>
        <w:rFonts w:ascii="Times New Roman" w:hAnsi="Times New Roman"/>
        <w:i/>
        <w:color w:val="1F497D" w:themeColor="text2"/>
        <w:sz w:val="32"/>
        <w:szCs w:val="32"/>
      </w:rPr>
    </w:pPr>
    <w:r>
      <w:rPr>
        <w:rFonts w:ascii="Times New Roman" w:hAnsi="Times New Roman"/>
        <w:i/>
        <w:color w:val="1F497D" w:themeColor="text2"/>
        <w:sz w:val="32"/>
        <w:szCs w:val="32"/>
      </w:rPr>
      <w:t xml:space="preserve">Pew Unveils Comprehensive, Aggregated Data on </w:t>
    </w:r>
  </w:p>
  <w:p w:rsidR="00D7416F" w:rsidRDefault="00D7416F" w:rsidP="004658CD">
    <w:pPr>
      <w:pStyle w:val="PlainText"/>
      <w:jc w:val="center"/>
      <w:rPr>
        <w:rFonts w:ascii="Times New Roman" w:hAnsi="Times New Roman"/>
        <w:i/>
        <w:color w:val="1F497D" w:themeColor="text2"/>
        <w:sz w:val="32"/>
        <w:szCs w:val="32"/>
      </w:rPr>
    </w:pPr>
    <w:r>
      <w:rPr>
        <w:rFonts w:ascii="Times New Roman" w:hAnsi="Times New Roman"/>
        <w:i/>
        <w:color w:val="1F497D" w:themeColor="text2"/>
        <w:sz w:val="32"/>
        <w:szCs w:val="32"/>
      </w:rPr>
      <w:t>Subsidies in the Transportation Sector</w:t>
    </w:r>
  </w:p>
  <w:p w:rsidR="00D7416F" w:rsidRPr="003814E4" w:rsidRDefault="00D7416F" w:rsidP="00B1115E">
    <w:pPr>
      <w:rPr>
        <w:color w:val="1F497D"/>
        <w:sz w:val="26"/>
        <w:szCs w:val="26"/>
      </w:rPr>
    </w:pPr>
  </w:p>
  <w:p w:rsidR="00D7416F" w:rsidRPr="00072C19" w:rsidRDefault="00D7416F" w:rsidP="0085300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A3FFB"/>
    <w:multiLevelType w:val="multilevel"/>
    <w:tmpl w:val="22406616"/>
    <w:lvl w:ilvl="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DB13D3"/>
    <w:multiLevelType w:val="multilevel"/>
    <w:tmpl w:val="6882E220"/>
    <w:lvl w:ilvl="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224"/>
        </w:tabs>
        <w:ind w:left="1224" w:hanging="144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111851"/>
    <w:multiLevelType w:val="hybridMultilevel"/>
    <w:tmpl w:val="0A049798"/>
    <w:lvl w:ilvl="0" w:tplc="BCD0A1E8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 w:tplc="B2F868F4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AC5060"/>
    <w:multiLevelType w:val="hybridMultilevel"/>
    <w:tmpl w:val="6882E220"/>
    <w:lvl w:ilvl="0" w:tplc="BCD0A1E8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 w:tplc="BCD0A1E8">
      <w:start w:val="1"/>
      <w:numFmt w:val="bullet"/>
      <w:lvlText w:val=""/>
      <w:lvlJc w:val="left"/>
      <w:pPr>
        <w:tabs>
          <w:tab w:val="num" w:pos="1224"/>
        </w:tabs>
        <w:ind w:left="1224" w:hanging="144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D85A97"/>
    <w:multiLevelType w:val="hybridMultilevel"/>
    <w:tmpl w:val="22406616"/>
    <w:lvl w:ilvl="0" w:tplc="BCD0A1E8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F00F8"/>
    <w:rsid w:val="0001048A"/>
    <w:rsid w:val="00011189"/>
    <w:rsid w:val="000231A3"/>
    <w:rsid w:val="00030CDA"/>
    <w:rsid w:val="00033F3E"/>
    <w:rsid w:val="00043DE1"/>
    <w:rsid w:val="00065109"/>
    <w:rsid w:val="00065D3F"/>
    <w:rsid w:val="00071D72"/>
    <w:rsid w:val="00072C19"/>
    <w:rsid w:val="00084737"/>
    <w:rsid w:val="00084795"/>
    <w:rsid w:val="00097D71"/>
    <w:rsid w:val="000A6BDE"/>
    <w:rsid w:val="000C4840"/>
    <w:rsid w:val="000E6AED"/>
    <w:rsid w:val="000F3086"/>
    <w:rsid w:val="000F3A70"/>
    <w:rsid w:val="000F71CD"/>
    <w:rsid w:val="0010281D"/>
    <w:rsid w:val="001053C1"/>
    <w:rsid w:val="00106CE6"/>
    <w:rsid w:val="001204AD"/>
    <w:rsid w:val="00130B86"/>
    <w:rsid w:val="00131ECF"/>
    <w:rsid w:val="00140CD4"/>
    <w:rsid w:val="0014351D"/>
    <w:rsid w:val="0014602E"/>
    <w:rsid w:val="001478D8"/>
    <w:rsid w:val="0015561B"/>
    <w:rsid w:val="00163AB7"/>
    <w:rsid w:val="00185ADD"/>
    <w:rsid w:val="00195F32"/>
    <w:rsid w:val="001969B4"/>
    <w:rsid w:val="00197E3E"/>
    <w:rsid w:val="001A2D84"/>
    <w:rsid w:val="001C7034"/>
    <w:rsid w:val="001C7DFB"/>
    <w:rsid w:val="001E1098"/>
    <w:rsid w:val="001F00F8"/>
    <w:rsid w:val="00206799"/>
    <w:rsid w:val="00214045"/>
    <w:rsid w:val="0021792E"/>
    <w:rsid w:val="00243D1E"/>
    <w:rsid w:val="00251EDF"/>
    <w:rsid w:val="00254BA9"/>
    <w:rsid w:val="00281268"/>
    <w:rsid w:val="00292FEA"/>
    <w:rsid w:val="002A2BFE"/>
    <w:rsid w:val="002B27E2"/>
    <w:rsid w:val="002C17EC"/>
    <w:rsid w:val="002C2939"/>
    <w:rsid w:val="002C5870"/>
    <w:rsid w:val="002C7284"/>
    <w:rsid w:val="002E3FB1"/>
    <w:rsid w:val="002E477E"/>
    <w:rsid w:val="003034BA"/>
    <w:rsid w:val="00307E78"/>
    <w:rsid w:val="00312A88"/>
    <w:rsid w:val="00316CFD"/>
    <w:rsid w:val="00322D72"/>
    <w:rsid w:val="00324950"/>
    <w:rsid w:val="003277DA"/>
    <w:rsid w:val="00327816"/>
    <w:rsid w:val="00335EC1"/>
    <w:rsid w:val="00335FA0"/>
    <w:rsid w:val="00337401"/>
    <w:rsid w:val="00342315"/>
    <w:rsid w:val="0037143B"/>
    <w:rsid w:val="0037367F"/>
    <w:rsid w:val="003812FD"/>
    <w:rsid w:val="003814E4"/>
    <w:rsid w:val="00383A60"/>
    <w:rsid w:val="00384193"/>
    <w:rsid w:val="00395326"/>
    <w:rsid w:val="003C790A"/>
    <w:rsid w:val="003D4E26"/>
    <w:rsid w:val="003E792B"/>
    <w:rsid w:val="00407C33"/>
    <w:rsid w:val="00410AAB"/>
    <w:rsid w:val="00410FD0"/>
    <w:rsid w:val="00414E9C"/>
    <w:rsid w:val="00416016"/>
    <w:rsid w:val="0041792D"/>
    <w:rsid w:val="0042198E"/>
    <w:rsid w:val="00431CF3"/>
    <w:rsid w:val="0043222E"/>
    <w:rsid w:val="00433292"/>
    <w:rsid w:val="00444D8C"/>
    <w:rsid w:val="00455213"/>
    <w:rsid w:val="004552A0"/>
    <w:rsid w:val="004575DB"/>
    <w:rsid w:val="00461A7C"/>
    <w:rsid w:val="004658CD"/>
    <w:rsid w:val="00467879"/>
    <w:rsid w:val="00467BB9"/>
    <w:rsid w:val="00471D7C"/>
    <w:rsid w:val="00473A9D"/>
    <w:rsid w:val="00476422"/>
    <w:rsid w:val="00480B42"/>
    <w:rsid w:val="00482E0E"/>
    <w:rsid w:val="004830A2"/>
    <w:rsid w:val="004932B7"/>
    <w:rsid w:val="004A400D"/>
    <w:rsid w:val="004A75CB"/>
    <w:rsid w:val="004B7FD4"/>
    <w:rsid w:val="004C49AB"/>
    <w:rsid w:val="004D541B"/>
    <w:rsid w:val="004E7C1C"/>
    <w:rsid w:val="00514AF7"/>
    <w:rsid w:val="00514B47"/>
    <w:rsid w:val="005178A4"/>
    <w:rsid w:val="00524664"/>
    <w:rsid w:val="00533545"/>
    <w:rsid w:val="005341BA"/>
    <w:rsid w:val="00546BFB"/>
    <w:rsid w:val="00547389"/>
    <w:rsid w:val="0055069C"/>
    <w:rsid w:val="00570F20"/>
    <w:rsid w:val="00576687"/>
    <w:rsid w:val="00581184"/>
    <w:rsid w:val="00586042"/>
    <w:rsid w:val="00590238"/>
    <w:rsid w:val="005A1BDF"/>
    <w:rsid w:val="005B43FA"/>
    <w:rsid w:val="005B61CF"/>
    <w:rsid w:val="005C5D9D"/>
    <w:rsid w:val="005C6E31"/>
    <w:rsid w:val="005D330F"/>
    <w:rsid w:val="005E484C"/>
    <w:rsid w:val="005F29CC"/>
    <w:rsid w:val="005F33F9"/>
    <w:rsid w:val="005F3A75"/>
    <w:rsid w:val="005F4AE0"/>
    <w:rsid w:val="00606E5D"/>
    <w:rsid w:val="00610FE3"/>
    <w:rsid w:val="00613399"/>
    <w:rsid w:val="00613A4D"/>
    <w:rsid w:val="00625183"/>
    <w:rsid w:val="00627CBB"/>
    <w:rsid w:val="00650C1D"/>
    <w:rsid w:val="00653456"/>
    <w:rsid w:val="00655691"/>
    <w:rsid w:val="00656A96"/>
    <w:rsid w:val="00664220"/>
    <w:rsid w:val="0067520F"/>
    <w:rsid w:val="0069301E"/>
    <w:rsid w:val="00696989"/>
    <w:rsid w:val="006A3197"/>
    <w:rsid w:val="006B22D4"/>
    <w:rsid w:val="006C207B"/>
    <w:rsid w:val="006C293A"/>
    <w:rsid w:val="006D2F13"/>
    <w:rsid w:val="006E0E0B"/>
    <w:rsid w:val="006F4769"/>
    <w:rsid w:val="006F6BF0"/>
    <w:rsid w:val="007024BC"/>
    <w:rsid w:val="0070330E"/>
    <w:rsid w:val="00706E77"/>
    <w:rsid w:val="00720D61"/>
    <w:rsid w:val="00720F49"/>
    <w:rsid w:val="00735BC9"/>
    <w:rsid w:val="007400C4"/>
    <w:rsid w:val="00751896"/>
    <w:rsid w:val="007670F6"/>
    <w:rsid w:val="00770E20"/>
    <w:rsid w:val="00776A95"/>
    <w:rsid w:val="00776D4D"/>
    <w:rsid w:val="00777150"/>
    <w:rsid w:val="00777E7A"/>
    <w:rsid w:val="007A0032"/>
    <w:rsid w:val="007A37DF"/>
    <w:rsid w:val="007C3E62"/>
    <w:rsid w:val="007D14D4"/>
    <w:rsid w:val="007D1A71"/>
    <w:rsid w:val="007D5864"/>
    <w:rsid w:val="007E451E"/>
    <w:rsid w:val="007E6EBD"/>
    <w:rsid w:val="007F5E4B"/>
    <w:rsid w:val="0080246B"/>
    <w:rsid w:val="00814893"/>
    <w:rsid w:val="0082562D"/>
    <w:rsid w:val="008266C3"/>
    <w:rsid w:val="00834448"/>
    <w:rsid w:val="00836335"/>
    <w:rsid w:val="0084022E"/>
    <w:rsid w:val="00840977"/>
    <w:rsid w:val="00844BA4"/>
    <w:rsid w:val="008466F5"/>
    <w:rsid w:val="00853003"/>
    <w:rsid w:val="00855F76"/>
    <w:rsid w:val="00857D4D"/>
    <w:rsid w:val="00875660"/>
    <w:rsid w:val="008A5CE1"/>
    <w:rsid w:val="008B4111"/>
    <w:rsid w:val="008C2C7C"/>
    <w:rsid w:val="008C2DBF"/>
    <w:rsid w:val="008F4008"/>
    <w:rsid w:val="00906553"/>
    <w:rsid w:val="00923F98"/>
    <w:rsid w:val="0092561F"/>
    <w:rsid w:val="009300CD"/>
    <w:rsid w:val="009341C0"/>
    <w:rsid w:val="0094216F"/>
    <w:rsid w:val="0095096B"/>
    <w:rsid w:val="00954F6D"/>
    <w:rsid w:val="00956C38"/>
    <w:rsid w:val="00986582"/>
    <w:rsid w:val="0098684C"/>
    <w:rsid w:val="00995B82"/>
    <w:rsid w:val="009A0A93"/>
    <w:rsid w:val="009A229A"/>
    <w:rsid w:val="009B0702"/>
    <w:rsid w:val="009B1B5B"/>
    <w:rsid w:val="009C1736"/>
    <w:rsid w:val="009C29F5"/>
    <w:rsid w:val="009C464D"/>
    <w:rsid w:val="009D2415"/>
    <w:rsid w:val="009D25C5"/>
    <w:rsid w:val="009D4EDC"/>
    <w:rsid w:val="009F610D"/>
    <w:rsid w:val="009F7D0C"/>
    <w:rsid w:val="00A10DD1"/>
    <w:rsid w:val="00A1622C"/>
    <w:rsid w:val="00A2652C"/>
    <w:rsid w:val="00A26B27"/>
    <w:rsid w:val="00A318EC"/>
    <w:rsid w:val="00A357C1"/>
    <w:rsid w:val="00A365EC"/>
    <w:rsid w:val="00A45402"/>
    <w:rsid w:val="00A47D67"/>
    <w:rsid w:val="00A57608"/>
    <w:rsid w:val="00A57A09"/>
    <w:rsid w:val="00A61006"/>
    <w:rsid w:val="00A63981"/>
    <w:rsid w:val="00A67377"/>
    <w:rsid w:val="00A71A6B"/>
    <w:rsid w:val="00A73F1B"/>
    <w:rsid w:val="00A74566"/>
    <w:rsid w:val="00A74E7D"/>
    <w:rsid w:val="00A8026F"/>
    <w:rsid w:val="00A81DEA"/>
    <w:rsid w:val="00A94C51"/>
    <w:rsid w:val="00AA6604"/>
    <w:rsid w:val="00AB527B"/>
    <w:rsid w:val="00AC02A2"/>
    <w:rsid w:val="00AC22A2"/>
    <w:rsid w:val="00AC2EDC"/>
    <w:rsid w:val="00B01838"/>
    <w:rsid w:val="00B07F3E"/>
    <w:rsid w:val="00B1115E"/>
    <w:rsid w:val="00B33397"/>
    <w:rsid w:val="00B50B87"/>
    <w:rsid w:val="00B545D9"/>
    <w:rsid w:val="00B60EE2"/>
    <w:rsid w:val="00B74FEE"/>
    <w:rsid w:val="00B83CFD"/>
    <w:rsid w:val="00B85306"/>
    <w:rsid w:val="00B91945"/>
    <w:rsid w:val="00B96E0C"/>
    <w:rsid w:val="00BB2AEE"/>
    <w:rsid w:val="00BC1892"/>
    <w:rsid w:val="00BC5D7A"/>
    <w:rsid w:val="00BD0F73"/>
    <w:rsid w:val="00BD38BB"/>
    <w:rsid w:val="00BD38BE"/>
    <w:rsid w:val="00BD3B11"/>
    <w:rsid w:val="00BD4A51"/>
    <w:rsid w:val="00BF46DA"/>
    <w:rsid w:val="00BF497A"/>
    <w:rsid w:val="00C074A2"/>
    <w:rsid w:val="00C122E9"/>
    <w:rsid w:val="00C1255B"/>
    <w:rsid w:val="00C12CD8"/>
    <w:rsid w:val="00C20610"/>
    <w:rsid w:val="00C23006"/>
    <w:rsid w:val="00C2510C"/>
    <w:rsid w:val="00C35747"/>
    <w:rsid w:val="00C466B0"/>
    <w:rsid w:val="00C4718F"/>
    <w:rsid w:val="00C57D36"/>
    <w:rsid w:val="00C64024"/>
    <w:rsid w:val="00C71983"/>
    <w:rsid w:val="00C76F11"/>
    <w:rsid w:val="00C8460A"/>
    <w:rsid w:val="00CB0F15"/>
    <w:rsid w:val="00CB5A01"/>
    <w:rsid w:val="00CB7567"/>
    <w:rsid w:val="00CD5E73"/>
    <w:rsid w:val="00CD79DC"/>
    <w:rsid w:val="00CE36A1"/>
    <w:rsid w:val="00CF238D"/>
    <w:rsid w:val="00CF6B3C"/>
    <w:rsid w:val="00D00AA0"/>
    <w:rsid w:val="00D00D17"/>
    <w:rsid w:val="00D0739E"/>
    <w:rsid w:val="00D07797"/>
    <w:rsid w:val="00D37AF1"/>
    <w:rsid w:val="00D46DFF"/>
    <w:rsid w:val="00D50F6C"/>
    <w:rsid w:val="00D715B6"/>
    <w:rsid w:val="00D7416F"/>
    <w:rsid w:val="00D76FBC"/>
    <w:rsid w:val="00D80C1B"/>
    <w:rsid w:val="00D81AE0"/>
    <w:rsid w:val="00D85F1C"/>
    <w:rsid w:val="00D900AF"/>
    <w:rsid w:val="00D91396"/>
    <w:rsid w:val="00D93A99"/>
    <w:rsid w:val="00DB0B07"/>
    <w:rsid w:val="00DC4D10"/>
    <w:rsid w:val="00DD03AB"/>
    <w:rsid w:val="00DD08DA"/>
    <w:rsid w:val="00DD09B1"/>
    <w:rsid w:val="00DD14C3"/>
    <w:rsid w:val="00DD1FDD"/>
    <w:rsid w:val="00DE35C2"/>
    <w:rsid w:val="00DF0BA3"/>
    <w:rsid w:val="00E043C9"/>
    <w:rsid w:val="00E0713C"/>
    <w:rsid w:val="00E208CC"/>
    <w:rsid w:val="00E212FC"/>
    <w:rsid w:val="00E23205"/>
    <w:rsid w:val="00E362BE"/>
    <w:rsid w:val="00E611B6"/>
    <w:rsid w:val="00E650E5"/>
    <w:rsid w:val="00E6796A"/>
    <w:rsid w:val="00E80117"/>
    <w:rsid w:val="00E85EC4"/>
    <w:rsid w:val="00E903BF"/>
    <w:rsid w:val="00E93246"/>
    <w:rsid w:val="00E94E25"/>
    <w:rsid w:val="00EA6868"/>
    <w:rsid w:val="00EB3588"/>
    <w:rsid w:val="00ED0374"/>
    <w:rsid w:val="00ED388D"/>
    <w:rsid w:val="00EE4288"/>
    <w:rsid w:val="00F14251"/>
    <w:rsid w:val="00F20812"/>
    <w:rsid w:val="00F332BA"/>
    <w:rsid w:val="00F407AD"/>
    <w:rsid w:val="00F452E8"/>
    <w:rsid w:val="00F45578"/>
    <w:rsid w:val="00F466A9"/>
    <w:rsid w:val="00F511B1"/>
    <w:rsid w:val="00F55FC1"/>
    <w:rsid w:val="00F626D5"/>
    <w:rsid w:val="00F63F6C"/>
    <w:rsid w:val="00F81D8E"/>
    <w:rsid w:val="00F837D5"/>
    <w:rsid w:val="00F93874"/>
    <w:rsid w:val="00FA1CE6"/>
    <w:rsid w:val="00FA23BD"/>
    <w:rsid w:val="00FA541F"/>
    <w:rsid w:val="00FB20A1"/>
    <w:rsid w:val="00FC48B1"/>
    <w:rsid w:val="00FD007B"/>
    <w:rsid w:val="00FE13CA"/>
    <w:rsid w:val="00FF149A"/>
    <w:rsid w:val="00FF5A7A"/>
    <w:rsid w:val="00FF7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in Text" w:locked="1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7D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F6B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178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178A4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178A4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rsid w:val="00BD3B1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BD3B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locked/>
    <w:rsid w:val="00BD3B11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rsid w:val="00BD3B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locked/>
    <w:rsid w:val="00BD3B11"/>
    <w:rPr>
      <w:b/>
      <w:bCs/>
    </w:rPr>
  </w:style>
  <w:style w:type="paragraph" w:styleId="PlainText">
    <w:name w:val="Plain Text"/>
    <w:basedOn w:val="Normal"/>
    <w:link w:val="PlainTextChar"/>
    <w:uiPriority w:val="99"/>
    <w:rsid w:val="00C122E9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22E9"/>
    <w:rPr>
      <w:rFonts w:ascii="Consolas" w:eastAsia="Times New Roman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bsidyscope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ew_Press%20Rele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FE32C-1217-4ECD-961D-1E1270C3F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Pew_Press Release.dot</Template>
  <TotalTime>89</TotalTime>
  <Pages>2</Pages>
  <Words>535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October 3, 2006</vt:lpstr>
    </vt:vector>
  </TitlesOfParts>
  <Company>SS+K</Company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3, 2006</dc:title>
  <dc:subject/>
  <dc:creator>jriordan</dc:creator>
  <cp:keywords/>
  <dc:description/>
  <cp:lastModifiedBy>jratner</cp:lastModifiedBy>
  <cp:revision>3</cp:revision>
  <cp:lastPrinted>2009-09-25T18:17:00Z</cp:lastPrinted>
  <dcterms:created xsi:type="dcterms:W3CDTF">2009-09-25T19:04:00Z</dcterms:created>
  <dcterms:modified xsi:type="dcterms:W3CDTF">2009-09-28T21:01:00Z</dcterms:modified>
</cp:coreProperties>
</file>