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8D2C3">
      <w:pPr>
        <w:pStyle w:val="5"/>
        <w:spacing w:before="0" w:after="160" w:line="276" w:lineRule="auto"/>
        <w:jc w:val="both"/>
      </w:pPr>
      <w:bookmarkStart w:id="0" w:name="_GoBack"/>
      <w:bookmarkEnd w:id="0"/>
      <w:r>
        <w:rPr>
          <w:rFonts w:ascii="Arial" w:hAnsi="Arial" w:eastAsia="Arial"/>
          <w:b/>
          <w:bCs/>
          <w:color w:val="0F1720"/>
          <w:sz w:val="40"/>
          <w:szCs w:val="40"/>
        </w:rPr>
        <w:t>Task 2 - Values Audit</w:t>
      </w:r>
    </w:p>
    <w:p w14:paraId="6B3E32B4">
      <w:pPr>
        <w:pStyle w:val="2"/>
        <w:spacing w:before="240" w:after="100" w:line="276" w:lineRule="auto"/>
      </w:pPr>
      <w:r>
        <w:rPr>
          <w:rFonts w:ascii="Arial" w:hAnsi="Arial" w:eastAsia="Arial"/>
          <w:b/>
          <w:bCs/>
          <w:color w:val="0F1720"/>
          <w:sz w:val="28"/>
          <w:szCs w:val="28"/>
        </w:rPr>
        <w:t>1. Company Background and Mission</w:t>
      </w:r>
    </w:p>
    <w:p w14:paraId="3222153B">
      <w:pPr>
        <w:spacing w:before="0" w:after="120" w:line="276" w:lineRule="auto"/>
      </w:pPr>
      <w:r>
        <w:rPr>
          <w:rFonts w:ascii="Arial" w:hAnsi="Arial" w:eastAsia="Arial"/>
          <w:color w:val="1F2933"/>
          <w:sz w:val="22"/>
          <w:szCs w:val="22"/>
        </w:rPr>
        <w:t>This project assumes a small RegTech company called RegLens AI that builds AI governance tools for banks using machine learning in retail lending. The company does not develop credit models itself. Its role is to monitor models after deployment and help compliance teams see when a model starts behaving differently from what was expected.</w:t>
      </w:r>
    </w:p>
    <w:p w14:paraId="04ED9017">
      <w:pPr>
        <w:spacing w:before="0" w:after="120" w:line="276" w:lineRule="auto"/>
      </w:pPr>
      <w:r>
        <w:rPr>
          <w:rFonts w:ascii="Arial" w:hAnsi="Arial" w:eastAsia="Arial"/>
          <w:color w:val="1F2933"/>
          <w:sz w:val="22"/>
          <w:szCs w:val="22"/>
        </w:rPr>
        <w:t>RegLens AI's mission is to make AI use in lending more accountable without pretending that compliance can be fully automated. The company focuses on practical monitoring: model drift, approval disparities, fairness indicators, governance escalation, and jurisdiction-specific compliance alerts.</w:t>
      </w:r>
    </w:p>
    <w:p w14:paraId="7D9310B6">
      <w:pPr>
        <w:spacing w:before="0" w:after="120" w:line="276" w:lineRule="auto"/>
      </w:pPr>
      <w:r>
        <w:rPr>
          <w:rFonts w:ascii="Arial" w:hAnsi="Arial" w:eastAsia="Arial"/>
          <w:color w:val="1F2933"/>
          <w:sz w:val="22"/>
          <w:szCs w:val="22"/>
        </w:rPr>
        <w:t>The target customers are multinational banks that operate across different regulatory regimes. These banks may use similar credit scoring models across markets, but the compliance concerns are not always the same. This is where a jurisdiction-aware monitoring layer becomes useful.</w:t>
      </w:r>
    </w:p>
    <w:tbl>
      <w:tblPr>
        <w:tblStyle w:val="6"/>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80" w:type="dxa"/>
          <w:left w:w="120" w:type="dxa"/>
          <w:bottom w:w="80" w:type="dxa"/>
          <w:right w:w="120" w:type="dxa"/>
        </w:tblCellMar>
      </w:tblPr>
      <w:tblGrid>
        <w:gridCol w:w="4673"/>
        <w:gridCol w:w="4687"/>
      </w:tblGrid>
      <w:tr w14:paraId="4B4C573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shd w:val="clear" w:color="auto" w:fill="F2F4F6"/>
            <w:vAlign w:val="center"/>
          </w:tcPr>
          <w:p w14:paraId="48DC9680">
            <w:pPr>
              <w:spacing w:before="0" w:after="80" w:line="240" w:lineRule="auto"/>
            </w:pPr>
            <w:r>
              <w:rPr>
                <w:rFonts w:ascii="Arial" w:hAnsi="Arial" w:eastAsia="Arial"/>
                <w:b/>
                <w:bCs/>
                <w:color w:val="1F2933"/>
                <w:sz w:val="20"/>
                <w:szCs w:val="20"/>
              </w:rPr>
              <w:t>Company Aspect</w:t>
            </w:r>
          </w:p>
        </w:tc>
        <w:tc>
          <w:tcPr>
            <w:tcW w:w="4896" w:type="dxa"/>
            <w:shd w:val="clear" w:color="auto" w:fill="F2F4F6"/>
            <w:vAlign w:val="center"/>
          </w:tcPr>
          <w:p w14:paraId="68B4E317">
            <w:pPr>
              <w:spacing w:before="0" w:after="80" w:line="240" w:lineRule="auto"/>
            </w:pPr>
            <w:r>
              <w:rPr>
                <w:rFonts w:ascii="Arial" w:hAnsi="Arial" w:eastAsia="Arial"/>
                <w:b/>
                <w:bCs/>
                <w:color w:val="1F2933"/>
                <w:sz w:val="20"/>
                <w:szCs w:val="20"/>
              </w:rPr>
              <w:t>Project Assumption</w:t>
            </w:r>
          </w:p>
        </w:tc>
      </w:tr>
      <w:tr w14:paraId="5EB07D3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137E0B24">
            <w:pPr>
              <w:spacing w:before="0" w:after="80" w:line="240" w:lineRule="auto"/>
            </w:pPr>
            <w:r>
              <w:rPr>
                <w:rFonts w:ascii="Arial" w:hAnsi="Arial" w:eastAsia="Arial"/>
                <w:b w:val="0"/>
                <w:color w:val="1F2933"/>
                <w:sz w:val="20"/>
                <w:szCs w:val="20"/>
              </w:rPr>
              <w:t>Industry</w:t>
            </w:r>
          </w:p>
        </w:tc>
        <w:tc>
          <w:tcPr>
            <w:tcW w:w="4896" w:type="dxa"/>
            <w:vAlign w:val="center"/>
          </w:tcPr>
          <w:p w14:paraId="1E8823EE">
            <w:pPr>
              <w:spacing w:before="0" w:after="80" w:line="240" w:lineRule="auto"/>
            </w:pPr>
            <w:r>
              <w:rPr>
                <w:rFonts w:ascii="Arial" w:hAnsi="Arial" w:eastAsia="Arial"/>
                <w:b w:val="0"/>
                <w:color w:val="1F2933"/>
                <w:sz w:val="20"/>
                <w:szCs w:val="20"/>
              </w:rPr>
              <w:t>RegTech / AI governance</w:t>
            </w:r>
          </w:p>
        </w:tc>
      </w:tr>
      <w:tr w14:paraId="58A918D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56EC5A60">
            <w:pPr>
              <w:spacing w:before="0" w:after="80" w:line="240" w:lineRule="auto"/>
            </w:pPr>
            <w:r>
              <w:rPr>
                <w:rFonts w:ascii="Arial" w:hAnsi="Arial" w:eastAsia="Arial"/>
                <w:b w:val="0"/>
                <w:color w:val="1F2933"/>
                <w:sz w:val="20"/>
                <w:szCs w:val="20"/>
              </w:rPr>
              <w:t>Main product</w:t>
            </w:r>
          </w:p>
        </w:tc>
        <w:tc>
          <w:tcPr>
            <w:tcW w:w="4896" w:type="dxa"/>
            <w:vAlign w:val="center"/>
          </w:tcPr>
          <w:p w14:paraId="020067B9">
            <w:pPr>
              <w:spacing w:before="0" w:after="80" w:line="240" w:lineRule="auto"/>
            </w:pPr>
            <w:r>
              <w:rPr>
                <w:rFonts w:ascii="Arial" w:hAnsi="Arial" w:eastAsia="Arial"/>
                <w:b w:val="0"/>
                <w:color w:val="1F2933"/>
                <w:sz w:val="20"/>
                <w:szCs w:val="20"/>
              </w:rPr>
              <w:t>Post-deployment monitoring tool</w:t>
            </w:r>
          </w:p>
        </w:tc>
      </w:tr>
      <w:tr w14:paraId="6EED660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059B9E4E">
            <w:pPr>
              <w:spacing w:before="0" w:after="80" w:line="240" w:lineRule="auto"/>
            </w:pPr>
            <w:r>
              <w:rPr>
                <w:rFonts w:ascii="Arial" w:hAnsi="Arial" w:eastAsia="Arial"/>
                <w:b w:val="0"/>
                <w:color w:val="1F2933"/>
                <w:sz w:val="20"/>
                <w:szCs w:val="20"/>
              </w:rPr>
              <w:t>Target clients</w:t>
            </w:r>
          </w:p>
        </w:tc>
        <w:tc>
          <w:tcPr>
            <w:tcW w:w="4896" w:type="dxa"/>
            <w:vAlign w:val="center"/>
          </w:tcPr>
          <w:p w14:paraId="240F34DE">
            <w:pPr>
              <w:spacing w:before="0" w:after="80" w:line="240" w:lineRule="auto"/>
            </w:pPr>
            <w:r>
              <w:rPr>
                <w:rFonts w:ascii="Arial" w:hAnsi="Arial" w:eastAsia="Arial"/>
                <w:b w:val="0"/>
                <w:color w:val="1F2933"/>
                <w:sz w:val="20"/>
                <w:szCs w:val="20"/>
              </w:rPr>
              <w:t>Multinational banks</w:t>
            </w:r>
          </w:p>
        </w:tc>
      </w:tr>
      <w:tr w14:paraId="7B740DF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34E44002">
            <w:pPr>
              <w:spacing w:before="0" w:after="80" w:line="240" w:lineRule="auto"/>
            </w:pPr>
            <w:r>
              <w:rPr>
                <w:rFonts w:ascii="Arial" w:hAnsi="Arial" w:eastAsia="Arial"/>
                <w:b w:val="0"/>
                <w:color w:val="1F2933"/>
                <w:sz w:val="20"/>
                <w:szCs w:val="20"/>
              </w:rPr>
              <w:t>Core use case</w:t>
            </w:r>
          </w:p>
        </w:tc>
        <w:tc>
          <w:tcPr>
            <w:tcW w:w="4896" w:type="dxa"/>
            <w:vAlign w:val="center"/>
          </w:tcPr>
          <w:p w14:paraId="71CA9B66">
            <w:pPr>
              <w:spacing w:before="0" w:after="80" w:line="240" w:lineRule="auto"/>
            </w:pPr>
            <w:r>
              <w:rPr>
                <w:rFonts w:ascii="Arial" w:hAnsi="Arial" w:eastAsia="Arial"/>
                <w:b w:val="0"/>
                <w:color w:val="1F2933"/>
                <w:sz w:val="20"/>
                <w:szCs w:val="20"/>
              </w:rPr>
              <w:t>Retail credit scoring compliance</w:t>
            </w:r>
          </w:p>
        </w:tc>
      </w:tr>
      <w:tr w14:paraId="1BC1422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599989D3">
            <w:pPr>
              <w:spacing w:before="0" w:after="80" w:line="240" w:lineRule="auto"/>
            </w:pPr>
            <w:r>
              <w:rPr>
                <w:rFonts w:ascii="Arial" w:hAnsi="Arial" w:eastAsia="Arial"/>
                <w:b w:val="0"/>
                <w:color w:val="1F2933"/>
                <w:sz w:val="20"/>
                <w:szCs w:val="20"/>
              </w:rPr>
              <w:t>Main value</w:t>
            </w:r>
          </w:p>
        </w:tc>
        <w:tc>
          <w:tcPr>
            <w:tcW w:w="4896" w:type="dxa"/>
            <w:vAlign w:val="center"/>
          </w:tcPr>
          <w:p w14:paraId="5EAFB79D">
            <w:pPr>
              <w:spacing w:before="0" w:after="80" w:line="240" w:lineRule="auto"/>
            </w:pPr>
            <w:r>
              <w:rPr>
                <w:rFonts w:ascii="Arial" w:hAnsi="Arial" w:eastAsia="Arial"/>
                <w:b w:val="0"/>
                <w:color w:val="1F2933"/>
                <w:sz w:val="20"/>
                <w:szCs w:val="20"/>
              </w:rPr>
              <w:t>Early warning for drift, fairness, and governance risks</w:t>
            </w:r>
          </w:p>
        </w:tc>
      </w:tr>
    </w:tbl>
    <w:p w14:paraId="3C2AF050">
      <w:pPr>
        <w:pStyle w:val="2"/>
        <w:spacing w:before="240" w:after="100" w:line="276" w:lineRule="auto"/>
      </w:pPr>
      <w:r>
        <w:rPr>
          <w:rFonts w:ascii="Arial" w:hAnsi="Arial" w:eastAsia="Arial"/>
          <w:b/>
          <w:bCs/>
          <w:color w:val="0F1720"/>
          <w:sz w:val="28"/>
          <w:szCs w:val="28"/>
        </w:rPr>
        <w:t>2. Stakeholder Perspective</w:t>
      </w:r>
    </w:p>
    <w:p w14:paraId="7E0A4987">
      <w:pPr>
        <w:spacing w:before="0" w:after="120" w:line="276" w:lineRule="auto"/>
      </w:pPr>
      <w:r>
        <w:rPr>
          <w:rFonts w:ascii="Arial" w:hAnsi="Arial" w:eastAsia="Arial"/>
          <w:color w:val="1F2933"/>
          <w:sz w:val="22"/>
          <w:szCs w:val="22"/>
        </w:rPr>
        <w:t>RegLens AI mainly serves bank compliance teams and model risk management teams. These teams are responsible for ensuring that lending models remain reliable and defensible after deployment. The tool also indirectly serves regulators and consumers because better monitoring reduces the chance of unfair or poorly governed lending decisions.</w:t>
      </w:r>
    </w:p>
    <w:p w14:paraId="3706582B">
      <w:pPr>
        <w:spacing w:before="0" w:after="120" w:line="276" w:lineRule="auto"/>
      </w:pPr>
      <w:r>
        <w:rPr>
          <w:rFonts w:ascii="Arial" w:hAnsi="Arial" w:eastAsia="Arial"/>
          <w:color w:val="1F2933"/>
          <w:sz w:val="22"/>
          <w:szCs w:val="22"/>
        </w:rPr>
        <w:t>There is a real tension between the stakeholders. Bank management wants efficiency and profitable lending. Regulators want fairness, transparency, and accountability. Consumers want fair access to credit. These goals overlap, but they are not identical.</w:t>
      </w:r>
    </w:p>
    <w:p w14:paraId="7C6BC0D2">
      <w:pPr>
        <w:spacing w:before="0" w:after="120" w:line="276" w:lineRule="auto"/>
      </w:pPr>
      <w:r>
        <w:rPr>
          <w:rFonts w:ascii="Arial" w:hAnsi="Arial" w:eastAsia="Arial"/>
          <w:color w:val="1F2933"/>
          <w:sz w:val="22"/>
          <w:szCs w:val="22"/>
        </w:rPr>
        <w:t>For that reason, this project does not design a fully automated approval engine. It designs a monitoring and escalation tool. The tool can identify risky patterns, but human judgement is still needed when deciding whether a model should be adjusted, paused, or reviewed.</w:t>
      </w:r>
    </w:p>
    <w:tbl>
      <w:tblPr>
        <w:tblStyle w:val="6"/>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80" w:type="dxa"/>
          <w:left w:w="120" w:type="dxa"/>
          <w:bottom w:w="80" w:type="dxa"/>
          <w:right w:w="120" w:type="dxa"/>
        </w:tblCellMar>
      </w:tblPr>
      <w:tblGrid>
        <w:gridCol w:w="4673"/>
        <w:gridCol w:w="4687"/>
      </w:tblGrid>
      <w:tr w14:paraId="0FCAB8A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shd w:val="clear" w:color="auto" w:fill="F2F4F6"/>
            <w:vAlign w:val="center"/>
          </w:tcPr>
          <w:p w14:paraId="4C7953E4">
            <w:pPr>
              <w:spacing w:before="0" w:after="80" w:line="240" w:lineRule="auto"/>
            </w:pPr>
            <w:r>
              <w:rPr>
                <w:rFonts w:ascii="Arial" w:hAnsi="Arial" w:eastAsia="Arial"/>
                <w:b/>
                <w:bCs/>
                <w:color w:val="1F2933"/>
                <w:sz w:val="20"/>
                <w:szCs w:val="20"/>
              </w:rPr>
              <w:t>Stakeholder</w:t>
            </w:r>
          </w:p>
        </w:tc>
        <w:tc>
          <w:tcPr>
            <w:tcW w:w="4896" w:type="dxa"/>
            <w:shd w:val="clear" w:color="auto" w:fill="F2F4F6"/>
            <w:vAlign w:val="center"/>
          </w:tcPr>
          <w:p w14:paraId="322BAFB3">
            <w:pPr>
              <w:spacing w:before="0" w:after="80" w:line="240" w:lineRule="auto"/>
            </w:pPr>
            <w:r>
              <w:rPr>
                <w:rFonts w:ascii="Arial" w:hAnsi="Arial" w:eastAsia="Arial"/>
                <w:b/>
                <w:bCs/>
                <w:color w:val="1F2933"/>
                <w:sz w:val="20"/>
                <w:szCs w:val="20"/>
              </w:rPr>
              <w:t>Main Concern</w:t>
            </w:r>
          </w:p>
        </w:tc>
      </w:tr>
      <w:tr w14:paraId="3B8FFB1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1CFEF9A2">
            <w:pPr>
              <w:spacing w:before="0" w:after="80" w:line="240" w:lineRule="auto"/>
            </w:pPr>
            <w:r>
              <w:rPr>
                <w:rFonts w:ascii="Arial" w:hAnsi="Arial" w:eastAsia="Arial"/>
                <w:b w:val="0"/>
                <w:color w:val="1F2933"/>
                <w:sz w:val="20"/>
                <w:szCs w:val="20"/>
              </w:rPr>
              <w:t>Bank management</w:t>
            </w:r>
          </w:p>
        </w:tc>
        <w:tc>
          <w:tcPr>
            <w:tcW w:w="4896" w:type="dxa"/>
            <w:vAlign w:val="center"/>
          </w:tcPr>
          <w:p w14:paraId="5CC72100">
            <w:pPr>
              <w:spacing w:before="0" w:after="80" w:line="240" w:lineRule="auto"/>
            </w:pPr>
            <w:r>
              <w:rPr>
                <w:rFonts w:ascii="Arial" w:hAnsi="Arial" w:eastAsia="Arial"/>
                <w:b w:val="0"/>
                <w:color w:val="1F2933"/>
                <w:sz w:val="20"/>
                <w:szCs w:val="20"/>
              </w:rPr>
              <w:t>Efficiency, profitability, and portfolio quality</w:t>
            </w:r>
          </w:p>
        </w:tc>
      </w:tr>
      <w:tr w14:paraId="34DA825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451FD589">
            <w:pPr>
              <w:spacing w:before="0" w:after="80" w:line="240" w:lineRule="auto"/>
            </w:pPr>
            <w:r>
              <w:rPr>
                <w:rFonts w:ascii="Arial" w:hAnsi="Arial" w:eastAsia="Arial"/>
                <w:b w:val="0"/>
                <w:color w:val="1F2933"/>
                <w:sz w:val="20"/>
                <w:szCs w:val="20"/>
              </w:rPr>
              <w:t>Compliance team</w:t>
            </w:r>
          </w:p>
        </w:tc>
        <w:tc>
          <w:tcPr>
            <w:tcW w:w="4896" w:type="dxa"/>
            <w:vAlign w:val="center"/>
          </w:tcPr>
          <w:p w14:paraId="6D069106">
            <w:pPr>
              <w:spacing w:before="0" w:after="80" w:line="240" w:lineRule="auto"/>
            </w:pPr>
            <w:r>
              <w:rPr>
                <w:rFonts w:ascii="Arial" w:hAnsi="Arial" w:eastAsia="Arial"/>
                <w:b w:val="0"/>
                <w:color w:val="1F2933"/>
                <w:sz w:val="20"/>
                <w:szCs w:val="20"/>
              </w:rPr>
              <w:t>Regulatory defensibility and audit readiness</w:t>
            </w:r>
          </w:p>
        </w:tc>
      </w:tr>
      <w:tr w14:paraId="5EACDFCA">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1B35411F">
            <w:pPr>
              <w:spacing w:before="0" w:after="80" w:line="240" w:lineRule="auto"/>
            </w:pPr>
            <w:r>
              <w:rPr>
                <w:rFonts w:ascii="Arial" w:hAnsi="Arial" w:eastAsia="Arial"/>
                <w:b w:val="0"/>
                <w:color w:val="1F2933"/>
                <w:sz w:val="20"/>
                <w:szCs w:val="20"/>
              </w:rPr>
              <w:t>Model risk team</w:t>
            </w:r>
          </w:p>
        </w:tc>
        <w:tc>
          <w:tcPr>
            <w:tcW w:w="4896" w:type="dxa"/>
            <w:vAlign w:val="center"/>
          </w:tcPr>
          <w:p w14:paraId="1B2EFF2E">
            <w:pPr>
              <w:spacing w:before="0" w:after="80" w:line="240" w:lineRule="auto"/>
            </w:pPr>
            <w:r>
              <w:rPr>
                <w:rFonts w:ascii="Arial" w:hAnsi="Arial" w:eastAsia="Arial"/>
                <w:b w:val="0"/>
                <w:color w:val="1F2933"/>
                <w:sz w:val="20"/>
                <w:szCs w:val="20"/>
              </w:rPr>
              <w:t>Model stability, drift, and performance deterioration</w:t>
            </w:r>
          </w:p>
        </w:tc>
      </w:tr>
      <w:tr w14:paraId="3724D95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3654BF62">
            <w:pPr>
              <w:spacing w:before="0" w:after="80" w:line="240" w:lineRule="auto"/>
            </w:pPr>
            <w:r>
              <w:rPr>
                <w:rFonts w:ascii="Arial" w:hAnsi="Arial" w:eastAsia="Arial"/>
                <w:b w:val="0"/>
                <w:color w:val="1F2933"/>
                <w:sz w:val="20"/>
                <w:szCs w:val="20"/>
              </w:rPr>
              <w:t>Regulators</w:t>
            </w:r>
          </w:p>
        </w:tc>
        <w:tc>
          <w:tcPr>
            <w:tcW w:w="4896" w:type="dxa"/>
            <w:vAlign w:val="center"/>
          </w:tcPr>
          <w:p w14:paraId="7C702874">
            <w:pPr>
              <w:spacing w:before="0" w:after="80" w:line="240" w:lineRule="auto"/>
            </w:pPr>
            <w:r>
              <w:rPr>
                <w:rFonts w:ascii="Arial" w:hAnsi="Arial" w:eastAsia="Arial"/>
                <w:b w:val="0"/>
                <w:color w:val="1F2933"/>
                <w:sz w:val="20"/>
                <w:szCs w:val="20"/>
              </w:rPr>
              <w:t>Fair treatment, governance, and accountability</w:t>
            </w:r>
          </w:p>
        </w:tc>
      </w:tr>
      <w:tr w14:paraId="0507446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4086DE60">
            <w:pPr>
              <w:spacing w:before="0" w:after="80" w:line="240" w:lineRule="auto"/>
            </w:pPr>
            <w:r>
              <w:rPr>
                <w:rFonts w:ascii="Arial" w:hAnsi="Arial" w:eastAsia="Arial"/>
                <w:b w:val="0"/>
                <w:color w:val="1F2933"/>
                <w:sz w:val="20"/>
                <w:szCs w:val="20"/>
              </w:rPr>
              <w:t>Consumers</w:t>
            </w:r>
          </w:p>
        </w:tc>
        <w:tc>
          <w:tcPr>
            <w:tcW w:w="4896" w:type="dxa"/>
            <w:vAlign w:val="center"/>
          </w:tcPr>
          <w:p w14:paraId="45010CD0">
            <w:pPr>
              <w:spacing w:before="0" w:after="80" w:line="240" w:lineRule="auto"/>
            </w:pPr>
            <w:r>
              <w:rPr>
                <w:rFonts w:ascii="Arial" w:hAnsi="Arial" w:eastAsia="Arial"/>
                <w:b w:val="0"/>
                <w:color w:val="1F2933"/>
                <w:sz w:val="20"/>
                <w:szCs w:val="20"/>
              </w:rPr>
              <w:t>Fair access to credit and understandable decisions</w:t>
            </w:r>
          </w:p>
        </w:tc>
      </w:tr>
    </w:tbl>
    <w:p w14:paraId="75E56C79">
      <w:pPr>
        <w:pStyle w:val="2"/>
        <w:spacing w:before="240" w:after="100" w:line="276" w:lineRule="auto"/>
      </w:pPr>
      <w:r>
        <w:rPr>
          <w:rFonts w:ascii="Arial" w:hAnsi="Arial" w:eastAsia="Arial"/>
          <w:b/>
          <w:bCs/>
          <w:color w:val="0F1720"/>
          <w:sz w:val="28"/>
          <w:szCs w:val="28"/>
        </w:rPr>
        <w:t>3. Governance Approach and Risk Monitoring</w:t>
      </w:r>
    </w:p>
    <w:p w14:paraId="4986305C">
      <w:pPr>
        <w:spacing w:before="0" w:after="120" w:line="276" w:lineRule="auto"/>
      </w:pPr>
      <w:r>
        <w:rPr>
          <w:rFonts w:ascii="Arial" w:hAnsi="Arial" w:eastAsia="Arial"/>
          <w:color w:val="1F2933"/>
          <w:sz w:val="22"/>
          <w:szCs w:val="22"/>
        </w:rPr>
        <w:t>RegLens AI is designed to measure genuine risk, not just produce compliance paperwork. A static policy document may show that governance exists, but it may not reveal that a live credit model is drifting because borrowers, income levels, loan sizes, or default behaviour have changed.</w:t>
      </w:r>
    </w:p>
    <w:p w14:paraId="1797C0D9">
      <w:pPr>
        <w:spacing w:before="0" w:after="120" w:line="276" w:lineRule="auto"/>
      </w:pPr>
      <w:r>
        <w:rPr>
          <w:rFonts w:ascii="Arial" w:hAnsi="Arial" w:eastAsia="Arial"/>
          <w:color w:val="1F2933"/>
          <w:sz w:val="22"/>
          <w:szCs w:val="22"/>
        </w:rPr>
        <w:t>The main design choice is therefore continuous comparison between the training environment and the live deployment environment. If the live data no longer resembles the training data, the tool should flag this as a governance issue before it becomes a larger credit or regulatory problem.</w:t>
      </w:r>
    </w:p>
    <w:p w14:paraId="18BC0209">
      <w:pPr>
        <w:spacing w:before="0" w:after="120" w:line="276" w:lineRule="auto"/>
      </w:pPr>
      <w:r>
        <w:rPr>
          <w:rFonts w:ascii="Arial" w:hAnsi="Arial" w:eastAsia="Arial"/>
          <w:color w:val="1F2933"/>
          <w:sz w:val="22"/>
          <w:szCs w:val="22"/>
        </w:rPr>
        <w:t>The project deliberately avoids automatic loan approval recommendations. This boundary is important because the purpose of the tool is monitoring, not decision replacement. In regulated lending, automation should support accountability rather than hide it.</w:t>
      </w:r>
    </w:p>
    <w:tbl>
      <w:tblPr>
        <w:tblStyle w:val="6"/>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80" w:type="dxa"/>
          <w:left w:w="120" w:type="dxa"/>
          <w:bottom w:w="80" w:type="dxa"/>
          <w:right w:w="120" w:type="dxa"/>
        </w:tblCellMar>
      </w:tblPr>
      <w:tblGrid>
        <w:gridCol w:w="4679"/>
        <w:gridCol w:w="4681"/>
      </w:tblGrid>
      <w:tr w14:paraId="7B38A21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shd w:val="clear" w:color="auto" w:fill="F2F4F6"/>
            <w:vAlign w:val="center"/>
          </w:tcPr>
          <w:p w14:paraId="5EEE0397">
            <w:pPr>
              <w:spacing w:before="0" w:after="80" w:line="240" w:lineRule="auto"/>
            </w:pPr>
            <w:r>
              <w:rPr>
                <w:rFonts w:ascii="Arial" w:hAnsi="Arial" w:eastAsia="Arial"/>
                <w:b/>
                <w:bCs/>
                <w:color w:val="1F2933"/>
                <w:sz w:val="20"/>
                <w:szCs w:val="20"/>
              </w:rPr>
              <w:t>Monitoring Area</w:t>
            </w:r>
          </w:p>
        </w:tc>
        <w:tc>
          <w:tcPr>
            <w:tcW w:w="4896" w:type="dxa"/>
            <w:shd w:val="clear" w:color="auto" w:fill="F2F4F6"/>
            <w:vAlign w:val="center"/>
          </w:tcPr>
          <w:p w14:paraId="7FB68ADF">
            <w:pPr>
              <w:spacing w:before="0" w:after="80" w:line="240" w:lineRule="auto"/>
            </w:pPr>
            <w:r>
              <w:rPr>
                <w:rFonts w:ascii="Arial" w:hAnsi="Arial" w:eastAsia="Arial"/>
                <w:b/>
                <w:bCs/>
                <w:color w:val="1F2933"/>
                <w:sz w:val="20"/>
                <w:szCs w:val="20"/>
              </w:rPr>
              <w:t>Purpose</w:t>
            </w:r>
          </w:p>
        </w:tc>
      </w:tr>
      <w:tr w14:paraId="2CE6C2A5">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050ACFF6">
            <w:pPr>
              <w:spacing w:before="0" w:after="80" w:line="240" w:lineRule="auto"/>
            </w:pPr>
            <w:r>
              <w:rPr>
                <w:rFonts w:ascii="Arial" w:hAnsi="Arial" w:eastAsia="Arial"/>
                <w:b w:val="0"/>
                <w:color w:val="1F2933"/>
                <w:sz w:val="20"/>
                <w:szCs w:val="20"/>
              </w:rPr>
              <w:t>Distribution drift</w:t>
            </w:r>
          </w:p>
        </w:tc>
        <w:tc>
          <w:tcPr>
            <w:tcW w:w="4896" w:type="dxa"/>
            <w:vAlign w:val="center"/>
          </w:tcPr>
          <w:p w14:paraId="7850AD96">
            <w:pPr>
              <w:spacing w:before="0" w:after="80" w:line="240" w:lineRule="auto"/>
            </w:pPr>
            <w:r>
              <w:rPr>
                <w:rFonts w:ascii="Arial" w:hAnsi="Arial" w:eastAsia="Arial"/>
                <w:b w:val="0"/>
                <w:color w:val="1F2933"/>
                <w:sz w:val="20"/>
                <w:szCs w:val="20"/>
              </w:rPr>
              <w:t>Detect whether live applicants differ from the training population</w:t>
            </w:r>
          </w:p>
        </w:tc>
      </w:tr>
      <w:tr w14:paraId="616D058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3A50EE06">
            <w:pPr>
              <w:spacing w:before="0" w:after="80" w:line="240" w:lineRule="auto"/>
            </w:pPr>
            <w:r>
              <w:rPr>
                <w:rFonts w:ascii="Arial" w:hAnsi="Arial" w:eastAsia="Arial"/>
                <w:b w:val="0"/>
                <w:color w:val="1F2933"/>
                <w:sz w:val="20"/>
                <w:szCs w:val="20"/>
              </w:rPr>
              <w:t>Approval monitoring</w:t>
            </w:r>
          </w:p>
        </w:tc>
        <w:tc>
          <w:tcPr>
            <w:tcW w:w="4896" w:type="dxa"/>
            <w:vAlign w:val="center"/>
          </w:tcPr>
          <w:p w14:paraId="15A38E4A">
            <w:pPr>
              <w:spacing w:before="0" w:after="80" w:line="240" w:lineRule="auto"/>
            </w:pPr>
            <w:r>
              <w:rPr>
                <w:rFonts w:ascii="Arial" w:hAnsi="Arial" w:eastAsia="Arial"/>
                <w:b w:val="0"/>
                <w:color w:val="1F2933"/>
                <w:sz w:val="20"/>
                <w:szCs w:val="20"/>
              </w:rPr>
              <w:t>Identify shifts in approval outcomes</w:t>
            </w:r>
          </w:p>
        </w:tc>
      </w:tr>
      <w:tr w14:paraId="1FACD17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0834D484">
            <w:pPr>
              <w:spacing w:before="0" w:after="80" w:line="240" w:lineRule="auto"/>
            </w:pPr>
            <w:r>
              <w:rPr>
                <w:rFonts w:ascii="Arial" w:hAnsi="Arial" w:eastAsia="Arial"/>
                <w:b w:val="0"/>
                <w:color w:val="1F2933"/>
                <w:sz w:val="20"/>
                <w:szCs w:val="20"/>
              </w:rPr>
              <w:t>Fairness analysis</w:t>
            </w:r>
          </w:p>
        </w:tc>
        <w:tc>
          <w:tcPr>
            <w:tcW w:w="4896" w:type="dxa"/>
            <w:vAlign w:val="center"/>
          </w:tcPr>
          <w:p w14:paraId="4A2FD770">
            <w:pPr>
              <w:spacing w:before="0" w:after="80" w:line="240" w:lineRule="auto"/>
            </w:pPr>
            <w:r>
              <w:rPr>
                <w:rFonts w:ascii="Arial" w:hAnsi="Arial" w:eastAsia="Arial"/>
                <w:b w:val="0"/>
                <w:color w:val="1F2933"/>
                <w:sz w:val="20"/>
                <w:szCs w:val="20"/>
              </w:rPr>
              <w:t>Track demographic outcome differences that may need review</w:t>
            </w:r>
          </w:p>
        </w:tc>
      </w:tr>
      <w:tr w14:paraId="4AF20AB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59B4C405">
            <w:pPr>
              <w:spacing w:before="0" w:after="80" w:line="240" w:lineRule="auto"/>
            </w:pPr>
            <w:r>
              <w:rPr>
                <w:rFonts w:ascii="Arial" w:hAnsi="Arial" w:eastAsia="Arial"/>
                <w:b w:val="0"/>
                <w:color w:val="1F2933"/>
                <w:sz w:val="20"/>
                <w:szCs w:val="20"/>
              </w:rPr>
              <w:t>Model performance</w:t>
            </w:r>
          </w:p>
        </w:tc>
        <w:tc>
          <w:tcPr>
            <w:tcW w:w="4896" w:type="dxa"/>
            <w:vAlign w:val="center"/>
          </w:tcPr>
          <w:p w14:paraId="0D7A1E5B">
            <w:pPr>
              <w:spacing w:before="0" w:after="80" w:line="240" w:lineRule="auto"/>
            </w:pPr>
            <w:r>
              <w:rPr>
                <w:rFonts w:ascii="Arial" w:hAnsi="Arial" w:eastAsia="Arial"/>
                <w:b w:val="0"/>
                <w:color w:val="1F2933"/>
                <w:sz w:val="20"/>
                <w:szCs w:val="20"/>
              </w:rPr>
              <w:t>Monitor whether default outcomes suggest deterioration</w:t>
            </w:r>
          </w:p>
        </w:tc>
      </w:tr>
      <w:tr w14:paraId="2DD69814">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4896" w:type="dxa"/>
            <w:vAlign w:val="center"/>
          </w:tcPr>
          <w:p w14:paraId="61936840">
            <w:pPr>
              <w:spacing w:before="0" w:after="80" w:line="240" w:lineRule="auto"/>
            </w:pPr>
            <w:r>
              <w:rPr>
                <w:rFonts w:ascii="Arial" w:hAnsi="Arial" w:eastAsia="Arial"/>
                <w:b w:val="0"/>
                <w:color w:val="1F2933"/>
                <w:sz w:val="20"/>
                <w:szCs w:val="20"/>
              </w:rPr>
              <w:t>Jurisdiction logic</w:t>
            </w:r>
          </w:p>
        </w:tc>
        <w:tc>
          <w:tcPr>
            <w:tcW w:w="4896" w:type="dxa"/>
            <w:vAlign w:val="center"/>
          </w:tcPr>
          <w:p w14:paraId="7CC598D6">
            <w:pPr>
              <w:spacing w:before="0" w:after="80" w:line="240" w:lineRule="auto"/>
            </w:pPr>
            <w:r>
              <w:rPr>
                <w:rFonts w:ascii="Arial" w:hAnsi="Arial" w:eastAsia="Arial"/>
                <w:b w:val="0"/>
                <w:color w:val="1F2933"/>
                <w:sz w:val="20"/>
                <w:szCs w:val="20"/>
              </w:rPr>
              <w:t>Apply different compliance thresholds for OCC and MAS contexts</w:t>
            </w:r>
          </w:p>
        </w:tc>
      </w:tr>
    </w:tbl>
    <w:p w14:paraId="214D1019">
      <w:pPr>
        <w:pStyle w:val="2"/>
        <w:spacing w:before="240" w:after="100" w:line="276" w:lineRule="auto"/>
      </w:pPr>
      <w:r>
        <w:rPr>
          <w:rFonts w:ascii="Arial" w:hAnsi="Arial" w:eastAsia="Arial"/>
          <w:b/>
          <w:bCs/>
          <w:color w:val="0F1720"/>
          <w:sz w:val="28"/>
          <w:szCs w:val="28"/>
        </w:rPr>
        <w:t>4. Risk and Failure Impact</w:t>
      </w:r>
    </w:p>
    <w:p w14:paraId="68147571">
      <w:pPr>
        <w:spacing w:before="0" w:after="120" w:line="276" w:lineRule="auto"/>
      </w:pPr>
      <w:r>
        <w:rPr>
          <w:rFonts w:ascii="Arial" w:hAnsi="Arial" w:eastAsia="Arial"/>
          <w:color w:val="1F2933"/>
          <w:sz w:val="22"/>
          <w:szCs w:val="22"/>
        </w:rPr>
        <w:t>If the tool gets something wrong, the harm is not evenly distributed. A false alarm may create extra review work for the bank, but a missed warning can be more serious. It may allow a deteriorating model to remain in production or allow unfair outcomes to continue unnoticed.</w:t>
      </w:r>
    </w:p>
    <w:p w14:paraId="00FFCC29">
      <w:pPr>
        <w:spacing w:before="0" w:after="120" w:line="276" w:lineRule="auto"/>
      </w:pPr>
      <w:r>
        <w:rPr>
          <w:rFonts w:ascii="Arial" w:hAnsi="Arial" w:eastAsia="Arial"/>
          <w:color w:val="1F2933"/>
          <w:sz w:val="22"/>
          <w:szCs w:val="22"/>
        </w:rPr>
        <w:t>Consumers are most directly affected when low-risk applicants are wrongly rejected or when explanations are weak. Banks are affected when high-risk borrowers are approved at scale or when regulators question the quality of AI governance. A jurisdictional error can also create a false sense of compliance if the tool applies the wrong rule set to the wrong market.</w:t>
      </w:r>
    </w:p>
    <w:p w14:paraId="2A614927">
      <w:pPr>
        <w:spacing w:before="0" w:after="120" w:line="276" w:lineRule="auto"/>
      </w:pPr>
      <w:r>
        <w:rPr>
          <w:rFonts w:ascii="Arial" w:hAnsi="Arial" w:eastAsia="Arial"/>
          <w:color w:val="1F2933"/>
          <w:sz w:val="22"/>
          <w:szCs w:val="22"/>
        </w:rPr>
        <w:t>For this reason, the tool should not be treated as a final decision-maker. It should be treated as an early-warning system that helps humans decide when investigation is needed.</w:t>
      </w:r>
    </w:p>
    <w:tbl>
      <w:tblPr>
        <w:tblStyle w:val="6"/>
        <w:tblW w:w="9360" w:type="dxa"/>
        <w:jc w:val="center"/>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80" w:type="dxa"/>
          <w:left w:w="120" w:type="dxa"/>
          <w:bottom w:w="80" w:type="dxa"/>
          <w:right w:w="120" w:type="dxa"/>
        </w:tblCellMar>
      </w:tblPr>
      <w:tblGrid>
        <w:gridCol w:w="3136"/>
        <w:gridCol w:w="3113"/>
        <w:gridCol w:w="3111"/>
      </w:tblGrid>
      <w:tr w14:paraId="0C611F0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3264" w:type="dxa"/>
            <w:shd w:val="clear" w:color="auto" w:fill="F2F4F6"/>
            <w:vAlign w:val="center"/>
          </w:tcPr>
          <w:p w14:paraId="0506A5D2">
            <w:pPr>
              <w:spacing w:before="0" w:after="80" w:line="240" w:lineRule="auto"/>
            </w:pPr>
            <w:r>
              <w:rPr>
                <w:rFonts w:ascii="Arial" w:hAnsi="Arial" w:eastAsia="Arial"/>
                <w:b/>
                <w:bCs/>
                <w:color w:val="1F2933"/>
                <w:sz w:val="20"/>
                <w:szCs w:val="20"/>
              </w:rPr>
              <w:t>Failure Type</w:t>
            </w:r>
          </w:p>
        </w:tc>
        <w:tc>
          <w:tcPr>
            <w:tcW w:w="3264" w:type="dxa"/>
            <w:shd w:val="clear" w:color="auto" w:fill="F2F4F6"/>
            <w:vAlign w:val="center"/>
          </w:tcPr>
          <w:p w14:paraId="65080D1E">
            <w:pPr>
              <w:spacing w:before="0" w:after="80" w:line="240" w:lineRule="auto"/>
            </w:pPr>
            <w:r>
              <w:rPr>
                <w:rFonts w:ascii="Arial" w:hAnsi="Arial" w:eastAsia="Arial"/>
                <w:b/>
                <w:bCs/>
                <w:color w:val="1F2933"/>
                <w:sz w:val="20"/>
                <w:szCs w:val="20"/>
              </w:rPr>
              <w:t>Main Harm</w:t>
            </w:r>
          </w:p>
        </w:tc>
        <w:tc>
          <w:tcPr>
            <w:tcW w:w="3264" w:type="dxa"/>
            <w:shd w:val="clear" w:color="auto" w:fill="F2F4F6"/>
            <w:vAlign w:val="center"/>
          </w:tcPr>
          <w:p w14:paraId="3F91F1C7">
            <w:pPr>
              <w:spacing w:before="0" w:after="80" w:line="240" w:lineRule="auto"/>
            </w:pPr>
            <w:r>
              <w:rPr>
                <w:rFonts w:ascii="Arial" w:hAnsi="Arial" w:eastAsia="Arial"/>
                <w:b/>
                <w:bCs/>
                <w:color w:val="1F2933"/>
                <w:sz w:val="20"/>
                <w:szCs w:val="20"/>
              </w:rPr>
              <w:t>Most Affected Stakeholder</w:t>
            </w:r>
          </w:p>
        </w:tc>
      </w:tr>
      <w:tr w14:paraId="28159C4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3264" w:type="dxa"/>
            <w:vAlign w:val="center"/>
          </w:tcPr>
          <w:p w14:paraId="56ADEA31">
            <w:pPr>
              <w:spacing w:before="0" w:after="80" w:line="240" w:lineRule="auto"/>
            </w:pPr>
            <w:r>
              <w:rPr>
                <w:rFonts w:ascii="Arial" w:hAnsi="Arial" w:eastAsia="Arial"/>
                <w:b w:val="0"/>
                <w:color w:val="1F2933"/>
                <w:sz w:val="20"/>
                <w:szCs w:val="20"/>
              </w:rPr>
              <w:t>False positive alert</w:t>
            </w:r>
          </w:p>
        </w:tc>
        <w:tc>
          <w:tcPr>
            <w:tcW w:w="3264" w:type="dxa"/>
            <w:vAlign w:val="center"/>
          </w:tcPr>
          <w:p w14:paraId="034FE6D7">
            <w:pPr>
              <w:spacing w:before="0" w:after="80" w:line="240" w:lineRule="auto"/>
            </w:pPr>
            <w:r>
              <w:rPr>
                <w:rFonts w:ascii="Arial" w:hAnsi="Arial" w:eastAsia="Arial"/>
                <w:b w:val="0"/>
                <w:color w:val="1F2933"/>
                <w:sz w:val="20"/>
                <w:szCs w:val="20"/>
              </w:rPr>
              <w:t>Unnecessary investigation and delayed decisions</w:t>
            </w:r>
          </w:p>
        </w:tc>
        <w:tc>
          <w:tcPr>
            <w:tcW w:w="3264" w:type="dxa"/>
            <w:vAlign w:val="center"/>
          </w:tcPr>
          <w:p w14:paraId="60C127E4">
            <w:pPr>
              <w:spacing w:before="0" w:after="80" w:line="240" w:lineRule="auto"/>
            </w:pPr>
            <w:r>
              <w:rPr>
                <w:rFonts w:ascii="Arial" w:hAnsi="Arial" w:eastAsia="Arial"/>
                <w:b w:val="0"/>
                <w:color w:val="1F2933"/>
                <w:sz w:val="20"/>
                <w:szCs w:val="20"/>
              </w:rPr>
              <w:t>Bank staff and applicants</w:t>
            </w:r>
          </w:p>
        </w:tc>
      </w:tr>
      <w:tr w14:paraId="17A8A3D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3264" w:type="dxa"/>
            <w:vAlign w:val="center"/>
          </w:tcPr>
          <w:p w14:paraId="0D257798">
            <w:pPr>
              <w:spacing w:before="0" w:after="80" w:line="240" w:lineRule="auto"/>
            </w:pPr>
            <w:r>
              <w:rPr>
                <w:rFonts w:ascii="Arial" w:hAnsi="Arial" w:eastAsia="Arial"/>
                <w:b w:val="0"/>
                <w:color w:val="1F2933"/>
                <w:sz w:val="20"/>
                <w:szCs w:val="20"/>
              </w:rPr>
              <w:t>False negative</w:t>
            </w:r>
          </w:p>
        </w:tc>
        <w:tc>
          <w:tcPr>
            <w:tcW w:w="3264" w:type="dxa"/>
            <w:vAlign w:val="center"/>
          </w:tcPr>
          <w:p w14:paraId="323E1E32">
            <w:pPr>
              <w:spacing w:before="0" w:after="80" w:line="240" w:lineRule="auto"/>
            </w:pPr>
            <w:r>
              <w:rPr>
                <w:rFonts w:ascii="Arial" w:hAnsi="Arial" w:eastAsia="Arial"/>
                <w:b w:val="0"/>
                <w:color w:val="1F2933"/>
                <w:sz w:val="20"/>
                <w:szCs w:val="20"/>
              </w:rPr>
              <w:t>Risky model behaviour remains unnoticed</w:t>
            </w:r>
          </w:p>
        </w:tc>
        <w:tc>
          <w:tcPr>
            <w:tcW w:w="3264" w:type="dxa"/>
            <w:vAlign w:val="center"/>
          </w:tcPr>
          <w:p w14:paraId="345FE1A0">
            <w:pPr>
              <w:spacing w:before="0" w:after="80" w:line="240" w:lineRule="auto"/>
            </w:pPr>
            <w:r>
              <w:rPr>
                <w:rFonts w:ascii="Arial" w:hAnsi="Arial" w:eastAsia="Arial"/>
                <w:b w:val="0"/>
                <w:color w:val="1F2933"/>
                <w:sz w:val="20"/>
                <w:szCs w:val="20"/>
              </w:rPr>
              <w:t>Bank and consumers</w:t>
            </w:r>
          </w:p>
        </w:tc>
      </w:tr>
      <w:tr w14:paraId="146B3BA8">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3264" w:type="dxa"/>
            <w:vAlign w:val="center"/>
          </w:tcPr>
          <w:p w14:paraId="673058A4">
            <w:pPr>
              <w:spacing w:before="0" w:after="80" w:line="240" w:lineRule="auto"/>
            </w:pPr>
            <w:r>
              <w:rPr>
                <w:rFonts w:ascii="Arial" w:hAnsi="Arial" w:eastAsia="Arial"/>
                <w:b w:val="0"/>
                <w:color w:val="1F2933"/>
                <w:sz w:val="20"/>
                <w:szCs w:val="20"/>
              </w:rPr>
              <w:t>Drift not detected</w:t>
            </w:r>
          </w:p>
        </w:tc>
        <w:tc>
          <w:tcPr>
            <w:tcW w:w="3264" w:type="dxa"/>
            <w:vAlign w:val="center"/>
          </w:tcPr>
          <w:p w14:paraId="3E4656CD">
            <w:pPr>
              <w:spacing w:before="0" w:after="80" w:line="240" w:lineRule="auto"/>
            </w:pPr>
            <w:r>
              <w:rPr>
                <w:rFonts w:ascii="Arial" w:hAnsi="Arial" w:eastAsia="Arial"/>
                <w:b w:val="0"/>
                <w:color w:val="1F2933"/>
                <w:sz w:val="20"/>
                <w:szCs w:val="20"/>
              </w:rPr>
              <w:t>Model continues operating in a changed environment</w:t>
            </w:r>
          </w:p>
        </w:tc>
        <w:tc>
          <w:tcPr>
            <w:tcW w:w="3264" w:type="dxa"/>
            <w:vAlign w:val="center"/>
          </w:tcPr>
          <w:p w14:paraId="11DB99DC">
            <w:pPr>
              <w:spacing w:before="0" w:after="80" w:line="240" w:lineRule="auto"/>
            </w:pPr>
            <w:r>
              <w:rPr>
                <w:rFonts w:ascii="Arial" w:hAnsi="Arial" w:eastAsia="Arial"/>
                <w:b w:val="0"/>
                <w:color w:val="1F2933"/>
                <w:sz w:val="20"/>
                <w:szCs w:val="20"/>
              </w:rPr>
              <w:t>Bank and regulators</w:t>
            </w:r>
          </w:p>
        </w:tc>
      </w:tr>
      <w:tr w14:paraId="566F83C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3264" w:type="dxa"/>
            <w:vAlign w:val="center"/>
          </w:tcPr>
          <w:p w14:paraId="55214123">
            <w:pPr>
              <w:spacing w:before="0" w:after="80" w:line="240" w:lineRule="auto"/>
            </w:pPr>
            <w:r>
              <w:rPr>
                <w:rFonts w:ascii="Arial" w:hAnsi="Arial" w:eastAsia="Arial"/>
                <w:b w:val="0"/>
                <w:color w:val="1F2933"/>
                <w:sz w:val="20"/>
                <w:szCs w:val="20"/>
              </w:rPr>
              <w:t>Fairness issue missed</w:t>
            </w:r>
          </w:p>
        </w:tc>
        <w:tc>
          <w:tcPr>
            <w:tcW w:w="3264" w:type="dxa"/>
            <w:vAlign w:val="center"/>
          </w:tcPr>
          <w:p w14:paraId="4ECDF263">
            <w:pPr>
              <w:spacing w:before="0" w:after="80" w:line="240" w:lineRule="auto"/>
            </w:pPr>
            <w:r>
              <w:rPr>
                <w:rFonts w:ascii="Arial" w:hAnsi="Arial" w:eastAsia="Arial"/>
                <w:b w:val="0"/>
                <w:color w:val="1F2933"/>
                <w:sz w:val="20"/>
                <w:szCs w:val="20"/>
              </w:rPr>
              <w:t>Unequal credit access may continue</w:t>
            </w:r>
          </w:p>
        </w:tc>
        <w:tc>
          <w:tcPr>
            <w:tcW w:w="3264" w:type="dxa"/>
            <w:vAlign w:val="center"/>
          </w:tcPr>
          <w:p w14:paraId="3BF8D726">
            <w:pPr>
              <w:spacing w:before="0" w:after="80" w:line="240" w:lineRule="auto"/>
            </w:pPr>
            <w:r>
              <w:rPr>
                <w:rFonts w:ascii="Arial" w:hAnsi="Arial" w:eastAsia="Arial"/>
                <w:b w:val="0"/>
                <w:color w:val="1F2933"/>
                <w:sz w:val="20"/>
                <w:szCs w:val="20"/>
              </w:rPr>
              <w:t>Consumers</w:t>
            </w:r>
          </w:p>
        </w:tc>
      </w:tr>
      <w:tr w14:paraId="111DF3D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rPr>
          <w:jc w:val="center"/>
        </w:trPr>
        <w:tc>
          <w:tcPr>
            <w:tcW w:w="3264" w:type="dxa"/>
            <w:vAlign w:val="center"/>
          </w:tcPr>
          <w:p w14:paraId="2B427443">
            <w:pPr>
              <w:spacing w:before="0" w:after="80" w:line="240" w:lineRule="auto"/>
            </w:pPr>
            <w:r>
              <w:rPr>
                <w:rFonts w:ascii="Arial" w:hAnsi="Arial" w:eastAsia="Arial"/>
                <w:b w:val="0"/>
                <w:color w:val="1F2933"/>
                <w:sz w:val="20"/>
                <w:szCs w:val="20"/>
              </w:rPr>
              <w:t>Jurisdiction misconfiguration</w:t>
            </w:r>
          </w:p>
        </w:tc>
        <w:tc>
          <w:tcPr>
            <w:tcW w:w="3264" w:type="dxa"/>
            <w:vAlign w:val="center"/>
          </w:tcPr>
          <w:p w14:paraId="7ECCD1DC">
            <w:pPr>
              <w:spacing w:before="0" w:after="80" w:line="240" w:lineRule="auto"/>
            </w:pPr>
            <w:r>
              <w:rPr>
                <w:rFonts w:ascii="Arial" w:hAnsi="Arial" w:eastAsia="Arial"/>
                <w:b w:val="0"/>
                <w:color w:val="1F2933"/>
                <w:sz w:val="20"/>
                <w:szCs w:val="20"/>
              </w:rPr>
              <w:t>Wrong compliance interpretation</w:t>
            </w:r>
          </w:p>
        </w:tc>
        <w:tc>
          <w:tcPr>
            <w:tcW w:w="3264" w:type="dxa"/>
            <w:vAlign w:val="center"/>
          </w:tcPr>
          <w:p w14:paraId="66F01429">
            <w:pPr>
              <w:spacing w:before="0" w:after="80" w:line="240" w:lineRule="auto"/>
            </w:pPr>
            <w:r>
              <w:rPr>
                <w:rFonts w:ascii="Arial" w:hAnsi="Arial" w:eastAsia="Arial"/>
                <w:b w:val="0"/>
                <w:color w:val="1F2933"/>
                <w:sz w:val="20"/>
                <w:szCs w:val="20"/>
              </w:rPr>
              <w:t>Bank and regulators</w:t>
            </w:r>
          </w:p>
        </w:tc>
      </w:tr>
    </w:tbl>
    <w:p w14:paraId="40A4E6F8">
      <w:pPr>
        <w:pStyle w:val="2"/>
        <w:spacing w:before="240" w:after="100" w:line="276" w:lineRule="auto"/>
      </w:pPr>
      <w:r>
        <w:rPr>
          <w:rFonts w:ascii="Arial" w:hAnsi="Arial" w:eastAsia="Arial"/>
          <w:b/>
          <w:bCs/>
          <w:color w:val="0F1720"/>
          <w:sz w:val="28"/>
          <w:szCs w:val="28"/>
        </w:rPr>
        <w:t>Conclusion</w:t>
      </w:r>
    </w:p>
    <w:p w14:paraId="1B023029">
      <w:pPr>
        <w:spacing w:before="0" w:after="120" w:line="276" w:lineRule="auto"/>
      </w:pPr>
      <w:r>
        <w:rPr>
          <w:rFonts w:ascii="Arial" w:hAnsi="Arial" w:eastAsia="Arial"/>
          <w:color w:val="1F2933"/>
          <w:sz w:val="22"/>
          <w:szCs w:val="22"/>
        </w:rPr>
        <w:t>This project treats AI governance in lending as an operational problem, not just a technical one. A credit model can be accurate at launch and still become risky later if the environment changes. The proposed tool addresses this gap by combining drift monitoring, fairness analysis, and jurisdiction-specific compliance logic.</w:t>
      </w:r>
    </w:p>
    <w:p w14:paraId="3957BD89">
      <w:pPr>
        <w:spacing w:before="0" w:after="120" w:line="276" w:lineRule="auto"/>
      </w:pPr>
      <w:r>
        <w:rPr>
          <w:rFonts w:ascii="Arial" w:hAnsi="Arial" w:eastAsia="Arial"/>
          <w:color w:val="1F2933"/>
          <w:sz w:val="22"/>
          <w:szCs w:val="22"/>
        </w:rPr>
        <w:t>The main value of RegLens AI is not that it replaces judgement, but that it makes emerging risks visible earlier. This is especially important for multinational banks because the same model result may trigger different concerns under OCC and MAS expectations.</w:t>
      </w:r>
    </w:p>
    <w:p w14:paraId="4A3A3877">
      <w:pPr>
        <w:pStyle w:val="2"/>
        <w:spacing w:before="240" w:after="100" w:line="276" w:lineRule="auto"/>
      </w:pPr>
      <w:r>
        <w:rPr>
          <w:rFonts w:ascii="Arial" w:hAnsi="Arial" w:eastAsia="Arial"/>
          <w:b/>
          <w:bCs/>
          <w:color w:val="0F1720"/>
          <w:sz w:val="28"/>
          <w:szCs w:val="28"/>
        </w:rPr>
        <w:t>References</w:t>
      </w:r>
    </w:p>
    <w:p w14:paraId="0D464440">
      <w:pPr>
        <w:pStyle w:val="8"/>
        <w:spacing w:before="0" w:after="80" w:line="240" w:lineRule="auto"/>
        <w:ind w:left="360" w:hanging="360"/>
      </w:pPr>
      <w:r>
        <w:rPr>
          <w:rFonts w:ascii="Arial" w:hAnsi="Arial" w:eastAsia="Arial"/>
          <w:color w:val="1F2933"/>
          <w:sz w:val="20"/>
          <w:szCs w:val="20"/>
        </w:rPr>
        <w:t>Monetary Authority of Singapore. FEAT Principles. https://www.mas.gov.sg/publications/monographs-or-information-paper/2018/feat</w:t>
      </w:r>
    </w:p>
    <w:p w14:paraId="29D2E364">
      <w:pPr>
        <w:pStyle w:val="8"/>
        <w:spacing w:before="0" w:after="80" w:line="240" w:lineRule="auto"/>
        <w:ind w:left="360" w:hanging="360"/>
      </w:pPr>
      <w:r>
        <w:rPr>
          <w:rFonts w:ascii="Arial" w:hAnsi="Arial" w:eastAsia="Arial"/>
          <w:color w:val="1F2933"/>
          <w:sz w:val="20"/>
          <w:szCs w:val="20"/>
        </w:rPr>
        <w:t>Monetary Authority of Singapore. Responsible AI and Data Analytics. https://www.mas.gov.sg/development/fintech/responsible-ai-and-data-analytics</w:t>
      </w:r>
    </w:p>
    <w:p w14:paraId="550F2CA4">
      <w:pPr>
        <w:pStyle w:val="8"/>
        <w:spacing w:before="0" w:after="80" w:line="240" w:lineRule="auto"/>
        <w:ind w:left="360" w:hanging="360"/>
      </w:pPr>
      <w:r>
        <w:rPr>
          <w:rFonts w:ascii="Arial" w:hAnsi="Arial" w:eastAsia="Arial"/>
          <w:color w:val="1F2933"/>
          <w:sz w:val="20"/>
          <w:szCs w:val="20"/>
        </w:rPr>
        <w:t>Office of the Comptroller of the Currency. Model Risk Management: Revised Guidance, OCC Bulletin 2026-13. https://www.occ.treas.gov/news-issuances/bulletins/2026/bulletin-2026-13.html</w:t>
      </w:r>
    </w:p>
    <w:p w14:paraId="0B1533DD">
      <w:pPr>
        <w:pStyle w:val="8"/>
        <w:spacing w:before="0" w:after="80" w:line="240" w:lineRule="auto"/>
        <w:ind w:left="360" w:hanging="360"/>
      </w:pPr>
      <w:r>
        <w:rPr>
          <w:rFonts w:ascii="Arial" w:hAnsi="Arial" w:eastAsia="Arial"/>
          <w:color w:val="1F2933"/>
          <w:sz w:val="20"/>
          <w:szCs w:val="20"/>
        </w:rPr>
        <w:t>Consumer Financial Protection Bureau. Guidance on credit denials by lenders using artificial intelligence. https://www.consumerfinance.gov/about-us/newsroom/cfpb-issues-guidance-on-credit-denials-by-lenders-using-artificial-intelligence/</w:t>
      </w:r>
    </w:p>
    <w:p w14:paraId="5C64E46D">
      <w:pPr>
        <w:pStyle w:val="8"/>
        <w:spacing w:before="0" w:after="80" w:line="240" w:lineRule="auto"/>
        <w:ind w:left="360" w:hanging="360"/>
      </w:pPr>
      <w:r>
        <w:rPr>
          <w:rFonts w:ascii="Arial" w:hAnsi="Arial" w:eastAsia="Arial"/>
          <w:color w:val="1F2933"/>
          <w:sz w:val="20"/>
          <w:szCs w:val="20"/>
        </w:rPr>
        <w:t>Standard Chartered. Official website. https://www.sc.com/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E36C03"/>
    <w:rsid w:val="3B9247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Arial" w:cstheme="minorBidi"/>
      <w:color w:val="1F2933"/>
      <w:sz w:val="22"/>
    </w:rPr>
  </w:style>
  <w:style w:type="paragraph" w:styleId="2">
    <w:name w:val="heading 1"/>
    <w:basedOn w:val="1"/>
    <w:uiPriority w:val="0"/>
    <w:pPr>
      <w:spacing w:before="240" w:after="100"/>
      <w:outlineLvl w:val="0"/>
    </w:pPr>
    <w:rPr>
      <w:rFonts w:ascii="Arial" w:hAnsi="Arial" w:eastAsia="Arial"/>
      <w:b/>
      <w:color w:val="0F1720"/>
      <w:sz w:val="28"/>
    </w:rPr>
  </w:style>
  <w:style w:type="paragraph" w:styleId="3">
    <w:name w:val="heading 2"/>
    <w:basedOn w:val="1"/>
    <w:uiPriority w:val="0"/>
    <w:pPr>
      <w:spacing w:before="200" w:after="80"/>
      <w:outlineLvl w:val="1"/>
    </w:pPr>
    <w:rPr>
      <w:rFonts w:ascii="Arial" w:hAnsi="Arial" w:eastAsia="Arial"/>
      <w:b/>
      <w:color w:val="0F1720"/>
      <w:sz w:val="24"/>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Subtitle"/>
    <w:basedOn w:val="1"/>
    <w:qFormat/>
    <w:uiPriority w:val="0"/>
    <w:pPr>
      <w:spacing w:after="240"/>
    </w:pPr>
    <w:rPr>
      <w:rFonts w:ascii="Arial" w:hAnsi="Arial" w:eastAsia="Arial"/>
      <w:color w:val="475569"/>
      <w:sz w:val="24"/>
    </w:rPr>
  </w:style>
  <w:style w:type="paragraph" w:styleId="5">
    <w:name w:val="Title"/>
    <w:basedOn w:val="1"/>
    <w:qFormat/>
    <w:uiPriority w:val="0"/>
    <w:pPr>
      <w:spacing w:after="160"/>
    </w:pPr>
    <w:rPr>
      <w:rFonts w:ascii="Arial" w:hAnsi="Arial" w:eastAsia="Arial"/>
      <w:b/>
      <w:color w:val="0F1720"/>
      <w:sz w:val="40"/>
    </w:rPr>
  </w:style>
  <w:style w:type="paragraph" w:customStyle="1" w:styleId="8">
    <w:name w:val="Reference"/>
    <w:basedOn w:val="1"/>
    <w:uiPriority w:val="0"/>
    <w:pPr>
      <w:spacing w:after="80" w:line="240" w:lineRule="auto"/>
      <w:ind w:left="360" w:hanging="360"/>
    </w:pPr>
    <w:rPr>
      <w:rFonts w:ascii="Arial" w:hAnsi="Arial" w:eastAsia="Arial"/>
      <w:color w:val="1F2933"/>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869</Words>
  <Characters>5535</Characters>
  <Lines>0</Lines>
  <Paragraphs>0</Paragraphs>
  <TotalTime>1</TotalTime>
  <ScaleCrop>false</ScaleCrop>
  <LinksUpToDate>false</LinksUpToDate>
  <CharactersWithSpaces>6324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biubiubiu✌️</cp:lastModifiedBy>
  <dcterms:modified xsi:type="dcterms:W3CDTF">2026-05-23T11:41:55Z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eyJoZGlkIjoiYTAxNDlkMjI4NmQyNzhkYzU0MTVjZWM5YTBhNTVkNjAiLCJ1c2VySWQiOiI0MjEyOTYwNzQifQ==</vt:lpwstr>
  </property>
  <property fmtid="{D5CDD505-2E9C-101B-9397-08002B2CF9AE}" pid="3" name="KSOProductBuildVer">
    <vt:lpwstr>2052-12.1.0.25865</vt:lpwstr>
  </property>
  <property fmtid="{D5CDD505-2E9C-101B-9397-08002B2CF9AE}" pid="4" name="ICV">
    <vt:lpwstr>F6D6DDD262BE4FE1B7ACED02FB31961E_12</vt:lpwstr>
  </property>
</Properties>
</file>