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539398">
      <w:pPr>
        <w:pStyle w:val="4"/>
      </w:pPr>
      <w:r>
        <w:rPr>
          <w:rFonts w:ascii="Arial" w:hAnsi="Arial" w:eastAsia="Arial"/>
          <w:color w:val="1F2933"/>
        </w:rPr>
        <w:t>Assignment Summary</w:t>
      </w:r>
    </w:p>
    <w:p w14:paraId="2D1A4E51">
      <w:pPr>
        <w:pStyle w:val="3"/>
      </w:pPr>
      <w:r>
        <w:rPr>
          <w:rFonts w:ascii="Arial" w:hAnsi="Arial" w:eastAsia="Arial"/>
          <w:color w:val="1F2933"/>
        </w:rPr>
        <w:t>RegLens AI: Jurisdiction-Aware Monitoring for AI Credit Scoring</w:t>
      </w:r>
    </w:p>
    <w:p w14:paraId="1AD98959">
      <w:pPr>
        <w:pStyle w:val="2"/>
      </w:pPr>
      <w:r>
        <w:rPr>
          <w:rFonts w:ascii="Arial" w:hAnsi="Arial" w:eastAsia="Arial"/>
          <w:color w:val="1F2933"/>
        </w:rPr>
        <w:t>Overview</w:t>
      </w:r>
    </w:p>
    <w:p w14:paraId="67F15F26">
      <w:r>
        <w:rPr>
          <w:rFonts w:ascii="Arial" w:hAnsi="Arial" w:eastAsia="Arial"/>
          <w:color w:val="1F2933"/>
        </w:rPr>
        <w:t>This assignment designs RegLens AI, a hypothetical RegTech monitoring company that helps banks govern AI credit scoring models after deployment. The selected case is Standard Chartered Bank's SCB-CS-001 retail credit scoring model, trained on 2022-2023 loan applications and assessed against 2025-2026 live data. The central idea is that AI compliance is not only about whether a model was accurate at launch, but whether it remains reliable, fair and governable when the live environment changes.</w:t>
      </w:r>
    </w:p>
    <w:p w14:paraId="2C935160">
      <w:pPr>
        <w:pStyle w:val="2"/>
      </w:pPr>
      <w:r>
        <w:rPr>
          <w:rFonts w:ascii="Arial" w:hAnsi="Arial" w:eastAsia="Arial"/>
          <w:color w:val="1F2933"/>
        </w:rPr>
        <w:t>Work Completed Across the Three Tasks</w:t>
      </w:r>
    </w:p>
    <w:tbl>
      <w:tblPr>
        <w:tblStyle w:val="5"/>
        <w:tblW w:w="9360" w:type="dxa"/>
        <w:tblInd w:w="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80" w:type="dxa"/>
          <w:left w:w="120" w:type="dxa"/>
          <w:bottom w:w="80" w:type="dxa"/>
          <w:right w:w="120" w:type="dxa"/>
        </w:tblCellMar>
      </w:tblPr>
      <w:tblGrid>
        <w:gridCol w:w="3120"/>
        <w:gridCol w:w="3120"/>
        <w:gridCol w:w="3120"/>
      </w:tblGrid>
      <w:tr w14:paraId="66290EF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c>
          <w:tcPr>
            <w:tcW w:w="3120" w:type="dxa"/>
            <w:shd w:val="clear" w:color="auto" w:fill="F2F4F6"/>
          </w:tcPr>
          <w:p w14:paraId="65EE1738">
            <w:r>
              <w:rPr>
                <w:rFonts w:ascii="Arial" w:hAnsi="Arial" w:eastAsia="Arial"/>
                <w:b/>
                <w:bCs/>
                <w:color w:val="1F2933"/>
              </w:rPr>
              <w:t>Task</w:t>
            </w:r>
          </w:p>
        </w:tc>
        <w:tc>
          <w:tcPr>
            <w:tcW w:w="3120" w:type="dxa"/>
            <w:shd w:val="clear" w:color="auto" w:fill="F2F4F6"/>
          </w:tcPr>
          <w:p w14:paraId="718B12D1">
            <w:r>
              <w:rPr>
                <w:rFonts w:ascii="Arial" w:hAnsi="Arial" w:eastAsia="Arial"/>
                <w:b/>
                <w:bCs/>
                <w:color w:val="1F2933"/>
              </w:rPr>
              <w:t>Purpose</w:t>
            </w:r>
          </w:p>
        </w:tc>
        <w:tc>
          <w:tcPr>
            <w:tcW w:w="3120" w:type="dxa"/>
            <w:shd w:val="clear" w:color="auto" w:fill="F2F4F6"/>
          </w:tcPr>
          <w:p w14:paraId="3AFBE01F">
            <w:r>
              <w:rPr>
                <w:rFonts w:ascii="Arial" w:hAnsi="Arial" w:eastAsia="Arial"/>
                <w:b/>
                <w:bCs/>
                <w:color w:val="1F2933"/>
              </w:rPr>
              <w:t>Main Output</w:t>
            </w:r>
          </w:p>
        </w:tc>
      </w:tr>
      <w:tr w14:paraId="1D23D944">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c>
          <w:tcPr>
            <w:tcW w:w="3120" w:type="dxa"/>
          </w:tcPr>
          <w:p w14:paraId="174350F6">
            <w:r>
              <w:rPr>
                <w:rFonts w:ascii="Arial" w:hAnsi="Arial" w:eastAsia="Arial"/>
                <w:color w:val="1F2933"/>
              </w:rPr>
              <w:t>Task 1</w:t>
            </w:r>
          </w:p>
        </w:tc>
        <w:tc>
          <w:tcPr>
            <w:tcW w:w="3120" w:type="dxa"/>
          </w:tcPr>
          <w:p w14:paraId="0DC30179">
            <w:r>
              <w:rPr>
                <w:rFonts w:ascii="Arial" w:hAnsi="Arial" w:eastAsia="Arial"/>
                <w:color w:val="1F2933"/>
              </w:rPr>
              <w:t>Select the entity, domain and regulatory problem.</w:t>
            </w:r>
          </w:p>
        </w:tc>
        <w:tc>
          <w:tcPr>
            <w:tcW w:w="3120" w:type="dxa"/>
          </w:tcPr>
          <w:p w14:paraId="249022A5">
            <w:r>
              <w:rPr>
                <w:rFonts w:ascii="Arial" w:hAnsi="Arial" w:eastAsia="Arial"/>
                <w:color w:val="1F2933"/>
              </w:rPr>
              <w:t>SCB credit scoring was framed as a cross-border AI governance case involving OCC and MAS.</w:t>
            </w:r>
          </w:p>
        </w:tc>
      </w:tr>
      <w:tr w14:paraId="61B21E8D">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c>
          <w:tcPr>
            <w:tcW w:w="3120" w:type="dxa"/>
          </w:tcPr>
          <w:p w14:paraId="2F5CCACD">
            <w:r>
              <w:rPr>
                <w:rFonts w:ascii="Arial" w:hAnsi="Arial" w:eastAsia="Arial"/>
                <w:color w:val="1F2933"/>
              </w:rPr>
              <w:t>Task 2</w:t>
            </w:r>
          </w:p>
        </w:tc>
        <w:tc>
          <w:tcPr>
            <w:tcW w:w="3120" w:type="dxa"/>
          </w:tcPr>
          <w:p w14:paraId="6A905C1C">
            <w:r>
              <w:rPr>
                <w:rFonts w:ascii="Arial" w:hAnsi="Arial" w:eastAsia="Arial"/>
                <w:color w:val="1F2933"/>
              </w:rPr>
              <w:t>Audit the values and stakeholder risks behind the tool.</w:t>
            </w:r>
          </w:p>
        </w:tc>
        <w:tc>
          <w:tcPr>
            <w:tcW w:w="3120" w:type="dxa"/>
          </w:tcPr>
          <w:p w14:paraId="00EF73AB">
            <w:r>
              <w:rPr>
                <w:rFonts w:ascii="Arial" w:hAnsi="Arial" w:eastAsia="Arial"/>
                <w:color w:val="1F2933"/>
              </w:rPr>
              <w:t>RegLens AI was positioned as a monitoring and escalation tool, not an automatic loan approval system.</w:t>
            </w:r>
          </w:p>
        </w:tc>
      </w:tr>
      <w:tr w14:paraId="0D7FE239">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c>
          <w:tcPr>
            <w:tcW w:w="3120" w:type="dxa"/>
          </w:tcPr>
          <w:p w14:paraId="4DB71397">
            <w:r>
              <w:rPr>
                <w:rFonts w:ascii="Arial" w:hAnsi="Arial" w:eastAsia="Arial"/>
                <w:color w:val="1F2933"/>
              </w:rPr>
              <w:t>Task 3</w:t>
            </w:r>
          </w:p>
        </w:tc>
        <w:tc>
          <w:tcPr>
            <w:tcW w:w="3120" w:type="dxa"/>
          </w:tcPr>
          <w:p w14:paraId="4AB9D971">
            <w:r>
              <w:rPr>
                <w:rFonts w:ascii="Arial" w:hAnsi="Arial" w:eastAsia="Arial"/>
                <w:color w:val="1F2933"/>
              </w:rPr>
              <w:t>Use data to test model drift, fairness indicators and jurisdiction-specific alerts.</w:t>
            </w:r>
          </w:p>
        </w:tc>
        <w:tc>
          <w:tcPr>
            <w:tcW w:w="3120" w:type="dxa"/>
          </w:tcPr>
          <w:p w14:paraId="0D2A76EF">
            <w:r>
              <w:rPr>
                <w:rFonts w:ascii="Arial" w:hAnsi="Arial" w:eastAsia="Arial"/>
                <w:color w:val="1F2933"/>
              </w:rPr>
              <w:t>Training and live data were compared using default rate, approval rate, PSI, AUC and subgroup approval analysis.</w:t>
            </w:r>
          </w:p>
        </w:tc>
      </w:tr>
    </w:tbl>
    <w:p w14:paraId="0A028A44">
      <w:pPr>
        <w:pStyle w:val="2"/>
      </w:pPr>
      <w:r>
        <w:rPr>
          <w:rFonts w:ascii="Arial" w:hAnsi="Arial" w:eastAsia="Arial"/>
          <w:color w:val="1F2933"/>
        </w:rPr>
        <w:t>Key Evidence from Task 3</w:t>
      </w:r>
    </w:p>
    <w:p w14:paraId="3EB6866A">
      <w:pPr>
        <w:ind w:left="360"/>
      </w:pPr>
      <w:r>
        <w:rPr>
          <w:rFonts w:ascii="Arial" w:hAnsi="Arial" w:eastAsia="Arial"/>
          <w:b/>
          <w:bCs/>
          <w:color w:val="1F2933"/>
        </w:rPr>
        <w:t xml:space="preserve">Portfolio shift: </w:t>
      </w:r>
      <w:r>
        <w:rPr>
          <w:rFonts w:ascii="Arial" w:hAnsi="Arial" w:eastAsia="Arial"/>
          <w:color w:val="1F2933"/>
        </w:rPr>
        <w:t>The live portfolio became riskier: median income declined, average loan amount increased, unemployment rose and the realised default rate increased.</w:t>
      </w:r>
    </w:p>
    <w:p w14:paraId="18D19108">
      <w:pPr>
        <w:ind w:left="360"/>
      </w:pPr>
      <w:r>
        <w:rPr>
          <w:rFonts w:ascii="Arial" w:hAnsi="Arial" w:eastAsia="Arial"/>
          <w:b/>
          <w:bCs/>
          <w:color w:val="1F2933"/>
        </w:rPr>
        <w:t xml:space="preserve">Score distribution: </w:t>
      </w:r>
      <w:r>
        <w:rPr>
          <w:rFonts w:ascii="Arial" w:hAnsi="Arial" w:eastAsia="Arial"/>
          <w:color w:val="1F2933"/>
        </w:rPr>
        <w:t>The share of low-score applicants increased materially, showing that the model was being used on a different applicant population.</w:t>
      </w:r>
    </w:p>
    <w:p w14:paraId="1DA4CD2A">
      <w:pPr>
        <w:ind w:left="360"/>
      </w:pPr>
      <w:r>
        <w:rPr>
          <w:rFonts w:ascii="Arial" w:hAnsi="Arial" w:eastAsia="Arial"/>
          <w:b/>
          <w:bCs/>
          <w:color w:val="1F2933"/>
        </w:rPr>
        <w:t xml:space="preserve">PSI evidence: </w:t>
      </w:r>
      <w:r>
        <w:rPr>
          <w:rFonts w:ascii="Arial" w:hAnsi="Arial" w:eastAsia="Arial"/>
          <w:color w:val="1F2933"/>
        </w:rPr>
        <w:t>The strongest drift signal was the model-score PSI, which exceeded the usual significant-drift threshold of 0.25.</w:t>
      </w:r>
    </w:p>
    <w:p w14:paraId="1DF2C096">
      <w:pPr>
        <w:ind w:left="360"/>
      </w:pPr>
      <w:r>
        <w:rPr>
          <w:rFonts w:ascii="Arial" w:hAnsi="Arial" w:eastAsia="Arial"/>
          <w:b/>
          <w:bCs/>
          <w:color w:val="1F2933"/>
        </w:rPr>
        <w:t xml:space="preserve">Performance: </w:t>
      </w:r>
      <w:r>
        <w:rPr>
          <w:rFonts w:ascii="Arial" w:hAnsi="Arial" w:eastAsia="Arial"/>
          <w:color w:val="1F2933"/>
        </w:rPr>
        <w:t>AUC declined from 0.6312 to 0.6162, suggesting weaker separation between lower-risk and higher-risk applicants in live deployment.</w:t>
      </w:r>
    </w:p>
    <w:p w14:paraId="59768F51">
      <w:pPr>
        <w:ind w:left="360"/>
      </w:pPr>
      <w:bookmarkStart w:id="0" w:name="_GoBack"/>
      <w:r>
        <w:rPr>
          <w:rFonts w:ascii="Arial" w:hAnsi="Arial" w:eastAsia="Arial"/>
          <w:b/>
          <w:bCs/>
          <w:color w:val="1F2933"/>
        </w:rPr>
        <w:t xml:space="preserve">Fairness review: </w:t>
      </w:r>
      <w:r>
        <w:rPr>
          <w:rFonts w:ascii="Arial" w:hAnsi="Arial" w:eastAsia="Arial"/>
          <w:color w:val="1F2933"/>
        </w:rPr>
        <w:t xml:space="preserve">Gender and ethnicity approval gaps were relatively small, while </w:t>
      </w:r>
      <w:bookmarkEnd w:id="0"/>
      <w:r>
        <w:rPr>
          <w:rFonts w:ascii="Arial" w:hAnsi="Arial" w:eastAsia="Arial"/>
          <w:color w:val="1F2933"/>
        </w:rPr>
        <w:t>employment status showed a much larger approval difference that should be reviewed for explanation quality and proxy-risk concerns.</w:t>
      </w:r>
    </w:p>
    <w:p w14:paraId="3D6857B5">
      <w:pPr>
        <w:pStyle w:val="2"/>
      </w:pPr>
      <w:r>
        <w:rPr>
          <w:rFonts w:ascii="Arial" w:hAnsi="Arial" w:eastAsia="Arial"/>
          <w:color w:val="1F2933"/>
        </w:rPr>
        <w:t>Regulatory Interpretation</w:t>
      </w:r>
    </w:p>
    <w:tbl>
      <w:tblPr>
        <w:tblStyle w:val="5"/>
        <w:tblW w:w="9360" w:type="dxa"/>
        <w:tblInd w:w="0" w:type="dxa"/>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Layout w:type="autofit"/>
        <w:tblCellMar>
          <w:top w:w="80" w:type="dxa"/>
          <w:left w:w="120" w:type="dxa"/>
          <w:bottom w:w="80" w:type="dxa"/>
          <w:right w:w="120" w:type="dxa"/>
        </w:tblCellMar>
      </w:tblPr>
      <w:tblGrid>
        <w:gridCol w:w="3120"/>
        <w:gridCol w:w="3120"/>
        <w:gridCol w:w="3120"/>
      </w:tblGrid>
      <w:tr w14:paraId="1A02C701">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c>
          <w:tcPr>
            <w:tcW w:w="3120" w:type="dxa"/>
            <w:shd w:val="clear" w:color="auto" w:fill="F2F4F6"/>
          </w:tcPr>
          <w:p w14:paraId="6F5601F4">
            <w:r>
              <w:rPr>
                <w:rFonts w:ascii="Arial" w:hAnsi="Arial" w:eastAsia="Arial"/>
                <w:b/>
                <w:bCs/>
                <w:color w:val="1F2933"/>
              </w:rPr>
              <w:t>Jurisdiction</w:t>
            </w:r>
          </w:p>
        </w:tc>
        <w:tc>
          <w:tcPr>
            <w:tcW w:w="3120" w:type="dxa"/>
            <w:shd w:val="clear" w:color="auto" w:fill="F2F4F6"/>
          </w:tcPr>
          <w:p w14:paraId="0F0BEF93">
            <w:r>
              <w:rPr>
                <w:rFonts w:ascii="Arial" w:hAnsi="Arial" w:eastAsia="Arial"/>
                <w:b/>
                <w:bCs/>
                <w:color w:val="1F2933"/>
              </w:rPr>
              <w:t>Main Concern</w:t>
            </w:r>
          </w:p>
        </w:tc>
        <w:tc>
          <w:tcPr>
            <w:tcW w:w="3120" w:type="dxa"/>
            <w:shd w:val="clear" w:color="auto" w:fill="F2F4F6"/>
          </w:tcPr>
          <w:p w14:paraId="7C7C7947">
            <w:r>
              <w:rPr>
                <w:rFonts w:ascii="Arial" w:hAnsi="Arial" w:eastAsia="Arial"/>
                <w:b/>
                <w:bCs/>
                <w:color w:val="1F2933"/>
              </w:rPr>
              <w:t>Conclusion</w:t>
            </w:r>
          </w:p>
        </w:tc>
      </w:tr>
      <w:tr w14:paraId="7A6E745C">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c>
          <w:tcPr>
            <w:tcW w:w="3120" w:type="dxa"/>
          </w:tcPr>
          <w:p w14:paraId="06F31FF9">
            <w:r>
              <w:rPr>
                <w:rFonts w:ascii="Arial" w:hAnsi="Arial" w:eastAsia="Arial"/>
                <w:color w:val="1F2933"/>
              </w:rPr>
              <w:t>OCC / United States</w:t>
            </w:r>
          </w:p>
        </w:tc>
        <w:tc>
          <w:tcPr>
            <w:tcW w:w="3120" w:type="dxa"/>
          </w:tcPr>
          <w:p w14:paraId="49AC5938">
            <w:r>
              <w:rPr>
                <w:rFonts w:ascii="Arial" w:hAnsi="Arial" w:eastAsia="Arial"/>
                <w:color w:val="1F2933"/>
              </w:rPr>
              <w:t>Fair lending, consumer harm, adverse action explanations and possible proxy variables.</w:t>
            </w:r>
          </w:p>
        </w:tc>
        <w:tc>
          <w:tcPr>
            <w:tcW w:w="3120" w:type="dxa"/>
          </w:tcPr>
          <w:p w14:paraId="2F2F2FA2">
            <w:r>
              <w:rPr>
                <w:rFonts w:ascii="Arial" w:hAnsi="Arial" w:eastAsia="Arial"/>
                <w:color w:val="1F2933"/>
              </w:rPr>
              <w:t>Amber review: not an automatic fair-lending breach, but requiring adverse action and fairness review.</w:t>
            </w:r>
          </w:p>
        </w:tc>
      </w:tr>
      <w:tr w14:paraId="685914D3">
        <w:tblPrEx>
          <w:tblBorders>
            <w:top w:val="single" w:color="D0D7DE" w:sz="4" w:space="0"/>
            <w:left w:val="single" w:color="D0D7DE" w:sz="4" w:space="0"/>
            <w:bottom w:val="single" w:color="D0D7DE" w:sz="4" w:space="0"/>
            <w:right w:val="single" w:color="D0D7DE" w:sz="4" w:space="0"/>
            <w:insideH w:val="single" w:color="D0D7DE" w:sz="4" w:space="0"/>
            <w:insideV w:val="single" w:color="D0D7DE" w:sz="4" w:space="0"/>
          </w:tblBorders>
          <w:tblCellMar>
            <w:top w:w="80" w:type="dxa"/>
            <w:left w:w="120" w:type="dxa"/>
            <w:bottom w:w="80" w:type="dxa"/>
            <w:right w:w="120" w:type="dxa"/>
          </w:tblCellMar>
        </w:tblPrEx>
        <w:tc>
          <w:tcPr>
            <w:tcW w:w="3120" w:type="dxa"/>
          </w:tcPr>
          <w:p w14:paraId="53ACE72E">
            <w:r>
              <w:rPr>
                <w:rFonts w:ascii="Arial" w:hAnsi="Arial" w:eastAsia="Arial"/>
                <w:color w:val="1F2933"/>
              </w:rPr>
              <w:t>MAS / Singapore</w:t>
            </w:r>
          </w:p>
        </w:tc>
        <w:tc>
          <w:tcPr>
            <w:tcW w:w="3120" w:type="dxa"/>
          </w:tcPr>
          <w:p w14:paraId="71AD2F46">
            <w:r>
              <w:rPr>
                <w:rFonts w:ascii="Arial" w:hAnsi="Arial" w:eastAsia="Arial"/>
                <w:color w:val="1F2933"/>
              </w:rPr>
              <w:t>Responsible AI governance, model drift, validation, human oversight and escalation.</w:t>
            </w:r>
          </w:p>
        </w:tc>
        <w:tc>
          <w:tcPr>
            <w:tcW w:w="3120" w:type="dxa"/>
          </w:tcPr>
          <w:p w14:paraId="2F40AACE">
            <w:r>
              <w:rPr>
                <w:rFonts w:ascii="Arial" w:hAnsi="Arial" w:eastAsia="Arial"/>
                <w:color w:val="1F2933"/>
              </w:rPr>
              <w:t>Red governance escalation because model-score PSI and portfolio deterioration indicate significant post-deployment drift.</w:t>
            </w:r>
          </w:p>
        </w:tc>
      </w:tr>
    </w:tbl>
    <w:p w14:paraId="783E2CA1">
      <w:pPr>
        <w:pStyle w:val="2"/>
      </w:pPr>
      <w:r>
        <w:rPr>
          <w:rFonts w:ascii="Arial" w:hAnsi="Arial" w:eastAsia="Arial"/>
          <w:color w:val="1F2933"/>
        </w:rPr>
        <w:t>Overall Conclusion</w:t>
      </w:r>
    </w:p>
    <w:p w14:paraId="70761BBB">
      <w:r>
        <w:rPr>
          <w:rFonts w:ascii="Arial" w:hAnsi="Arial" w:eastAsia="Arial"/>
          <w:color w:val="1F2933"/>
        </w:rPr>
        <w:t>The assignment shows why a jurisdiction-aware RegTech tool is useful for multinational banks. The same model evidence does not always lead to the same compliance interpretation. Under the OCC lens, the main concern is whether the model causes unfair lending outcomes or weak explanations for rejected applicants. Under the MAS lens, the more important question is whether the bank has responsibly monitored and escalated a deteriorating AI model.</w:t>
      </w:r>
    </w:p>
    <w:p w14:paraId="38791896">
      <w:pPr>
        <w:rPr>
          <w:rFonts w:hint="eastAsia" w:eastAsia="宋体"/>
          <w:lang w:eastAsia="zh-CN"/>
        </w:rPr>
      </w:pPr>
    </w:p>
    <w:sectPr>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0CB24D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theme="minorBid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76" w:lineRule="auto"/>
    </w:pPr>
    <w:rPr>
      <w:rFonts w:ascii="Arial" w:hAnsi="Arial" w:eastAsia="Arial"/>
      <w:color w:val="1F2933"/>
      <w:sz w:val="22"/>
    </w:rPr>
  </w:style>
  <w:style w:type="paragraph" w:styleId="2">
    <w:name w:val="heading 1"/>
    <w:basedOn w:val="1"/>
    <w:uiPriority w:val="0"/>
    <w:pPr>
      <w:spacing w:before="220" w:after="90"/>
      <w:outlineLvl w:val="0"/>
    </w:pPr>
    <w:rPr>
      <w:rFonts w:ascii="Arial" w:hAnsi="Arial" w:eastAsia="Arial"/>
      <w:b/>
      <w:color w:val="0F1720"/>
      <w:sz w:val="28"/>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Subtitle"/>
    <w:basedOn w:val="1"/>
    <w:qFormat/>
    <w:uiPriority w:val="0"/>
    <w:pPr>
      <w:spacing w:after="240"/>
    </w:pPr>
    <w:rPr>
      <w:rFonts w:ascii="Arial" w:hAnsi="Arial" w:eastAsia="Arial"/>
      <w:color w:val="475569"/>
      <w:sz w:val="24"/>
    </w:rPr>
  </w:style>
  <w:style w:type="paragraph" w:styleId="4">
    <w:name w:val="Title"/>
    <w:basedOn w:val="1"/>
    <w:uiPriority w:val="0"/>
    <w:pPr>
      <w:spacing w:after="160"/>
    </w:pPr>
    <w:rPr>
      <w:rFonts w:ascii="Arial" w:hAnsi="Arial" w:eastAsia="Arial"/>
      <w:b/>
      <w:color w:val="0F1720"/>
      <w:sz w:val="4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477</Words>
  <Characters>2929</Characters>
  <TotalTime>2</TotalTime>
  <ScaleCrop>false</ScaleCrop>
  <LinksUpToDate>false</LinksUpToDate>
  <CharactersWithSpaces>3366</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2026-05-23T11:43:13Z</dcterms:created>
  <cp:lastModifiedBy>biubiubiu✌️</cp:lastModifiedBy>
  <dcterms:modified xsi:type="dcterms:W3CDTF">2026-05-23T11:45:36Z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eyJoZGlkIjoiYTAxNDlkMjI4NmQyNzhkYzU0MTVjZWM5YTBhNTVkNjAiLCJ1c2VySWQiOiI0MjEyOTYwNzQifQ==</vt:lpwstr>
  </property>
  <property fmtid="{D5CDD505-2E9C-101B-9397-08002B2CF9AE}" pid="3" name="KSOProductBuildVer">
    <vt:lpwstr>2052-12.1.0.25865</vt:lpwstr>
  </property>
  <property fmtid="{D5CDD505-2E9C-101B-9397-08002B2CF9AE}" pid="4" name="ICV">
    <vt:lpwstr>D5E6E83CCDC1483A903D1CC2060109F0_12</vt:lpwstr>
  </property>
</Properties>
</file>