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word/document.xml><?xml version="1.0" encoding="utf-8"?>
<w:document xmlns:w="http://schemas.openxmlformats.org/wordprocessingml/2006/main" xmlns:r="http://schemas.openxmlformats.org/officeDocument/2006/relationships">
  <w:body>
    <w:p>
      <w:pPr>
        <w:pStyle w:val="Title"/>
        <w:spacing w:before="0" w:after="160" w:line="276" w:lineRule="auto"/>
      </w:pPr>
      <w:r>
        <w:rPr>
          <w:rFonts w:ascii="Arial" w:hAnsi="Arial" w:eastAsia="Arial"/>
          <w:sz w:val="40"/>
          <w:szCs w:val="40"/>
          <w:color w:val="0F1720"/>
          <w:b/>
          <w:bCs/>
        </w:rPr>
        <w:t xml:space="preserve">Task 3 Report: Post-Deployment Monitoring of SCB-CS-001</w:t>
      </w:r>
    </w:p>
    <w:p>
      <w:pPr>
        <w:spacing w:before="0" w:after="120" w:line="276" w:lineRule="auto"/>
        <w:pStyle w:val="Normal"/>
      </w:pPr>
      <w:r>
        <w:rPr>
          <w:rFonts w:ascii="Arial" w:hAnsi="Arial" w:eastAsia="Arial"/>
          <w:sz w:val="22"/>
          <w:szCs w:val="22"/>
          <w:color w:val="1F2933"/>
        </w:rPr>
        <w:t xml:space="preserve">This report uses the Task 3 notebook outputs to assess whether the SCB-CS-001 retail credit scoring model remains reliable after deployment through RegLens AI, the proposed RegTech monitoring prototype. The analysis compares the 2022-2023 training data with the 2025-2026 live data, then interprets the same evidence through OCC and MAS compliance lenses.</w:t>
      </w:r>
    </w:p>
    <w:p>
      <w:pPr>
        <w:pStyle w:val="Heading1"/>
        <w:spacing w:before="240" w:after="100" w:line="276" w:lineRule="auto"/>
      </w:pPr>
      <w:r>
        <w:rPr>
          <w:rFonts w:ascii="Arial" w:hAnsi="Arial" w:eastAsia="Arial"/>
          <w:sz w:val="28"/>
          <w:szCs w:val="28"/>
          <w:color w:val="0F1720"/>
          <w:b/>
          <w:bCs/>
        </w:rPr>
        <w:t xml:space="preserve">1. Monitoring Question</w:t>
      </w:r>
    </w:p>
    <w:p>
      <w:pPr>
        <w:spacing w:before="0" w:after="120" w:line="276" w:lineRule="auto"/>
        <w:pStyle w:val="Normal"/>
      </w:pPr>
      <w:r>
        <w:rPr>
          <w:rFonts w:ascii="Arial" w:hAnsi="Arial" w:eastAsia="Arial"/>
          <w:sz w:val="22"/>
          <w:szCs w:val="22"/>
          <w:color w:val="1F2933"/>
        </w:rPr>
        <w:t xml:space="preserve">The central question is not simply whether the model still produces scores, but whether those scores are being used in a population that still resembles the training population. For a credit model, this matters because a shifted applicant base can change both portfolio risk and the fairness profile of approval decisions.</w:t>
      </w:r>
    </w:p>
    <w:p>
      <w:pPr>
        <w:pStyle w:val="Heading1"/>
        <w:spacing w:before="240" w:after="100" w:line="276" w:lineRule="auto"/>
      </w:pPr>
      <w:r>
        <w:rPr>
          <w:rFonts w:ascii="Arial" w:hAnsi="Arial" w:eastAsia="Arial"/>
          <w:sz w:val="28"/>
          <w:szCs w:val="28"/>
          <w:color w:val="0F1720"/>
          <w:b/>
          <w:bCs/>
        </w:rPr>
        <w:t xml:space="preserve">2. Data and Method</w:t>
      </w:r>
    </w:p>
    <w:p>
      <w:pPr>
        <w:spacing w:before="0" w:after="120" w:line="276" w:lineRule="auto"/>
        <w:pStyle w:val="Normal"/>
      </w:pPr>
      <w:r>
        <w:rPr>
          <w:rFonts w:ascii="Arial" w:hAnsi="Arial" w:eastAsia="Arial"/>
          <w:sz w:val="22"/>
          <w:szCs w:val="22"/>
          <w:color w:val="1F2933"/>
        </w:rPr>
        <w:t xml:space="preserve">RegLens AI compares 5,000 training-period applications and 3,000 live-period applications. Both files contain applicant characteristics, demographic fields, model score, approval outcome and actual default outcome. The monitoring method uses business drift metrics, PSI, AUC and subgroup approval rates.</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left w:w="120" w:type="dxa"/>
          <w:bottom w:w="80" w:type="dxa"/>
          <w:right w:w="120" w:type="dxa"/>
        </w:tblCellMar>
      </w:tblPr>
      <w:tr>
        <w:tc>
          <w:tcPr>
            <w:tcW w:w="2340" w:type="dxa"/>
            <w:shd w:fill="F2F4F6"/>
          </w:tcPr>
          <w:p>
            <w:pPr>
              <w:spacing w:before="0" w:after="80" w:line="240" w:lineRule="auto"/>
              <w:pStyle w:val="Normal"/>
            </w:pPr>
            <w:r>
              <w:rPr>
                <w:b/>
                <w:rFonts w:ascii="Arial" w:hAnsi="Arial" w:eastAsia="Arial"/>
                <w:sz w:val="20"/>
                <w:szCs w:val="20"/>
                <w:color w:val="1F2933"/>
                <w:bCs/>
              </w:rPr>
              <w:t xml:space="preserve">Metric</w:t>
            </w:r>
          </w:p>
        </w:tc>
        <w:tc>
          <w:tcPr>
            <w:tcW w:w="2340" w:type="dxa"/>
            <w:shd w:fill="F2F4F6"/>
          </w:tcPr>
          <w:p>
            <w:pPr>
              <w:spacing w:before="0" w:after="80" w:line="240" w:lineRule="auto"/>
              <w:pStyle w:val="Normal"/>
            </w:pPr>
            <w:r>
              <w:rPr>
                <w:b/>
                <w:rFonts w:ascii="Arial" w:hAnsi="Arial" w:eastAsia="Arial"/>
                <w:sz w:val="20"/>
                <w:szCs w:val="20"/>
                <w:color w:val="1F2933"/>
                <w:bCs/>
              </w:rPr>
              <w:t xml:space="preserve">Training</w:t>
            </w:r>
          </w:p>
        </w:tc>
        <w:tc>
          <w:tcPr>
            <w:tcW w:w="2340" w:type="dxa"/>
            <w:shd w:fill="F2F4F6"/>
          </w:tcPr>
          <w:p>
            <w:pPr>
              <w:spacing w:before="0" w:after="80" w:line="240" w:lineRule="auto"/>
              <w:pStyle w:val="Normal"/>
            </w:pPr>
            <w:r>
              <w:rPr>
                <w:b/>
                <w:rFonts w:ascii="Arial" w:hAnsi="Arial" w:eastAsia="Arial"/>
                <w:sz w:val="20"/>
                <w:szCs w:val="20"/>
                <w:color w:val="1F2933"/>
                <w:bCs/>
              </w:rPr>
              <w:t xml:space="preserve">Live</w:t>
            </w:r>
          </w:p>
        </w:tc>
        <w:tc>
          <w:tcPr>
            <w:tcW w:w="2340" w:type="dxa"/>
            <w:shd w:fill="F2F4F6"/>
          </w:tcPr>
          <w:p>
            <w:pPr>
              <w:spacing w:before="0" w:after="80" w:line="240" w:lineRule="auto"/>
              <w:pStyle w:val="Normal"/>
            </w:pPr>
            <w:r>
              <w:rPr>
                <w:b/>
                <w:rFonts w:ascii="Arial" w:hAnsi="Arial" w:eastAsia="Arial"/>
                <w:sz w:val="20"/>
                <w:szCs w:val="20"/>
                <w:color w:val="1F2933"/>
                <w:bCs/>
              </w:rPr>
              <w:t xml:space="preserve">Change</w:t>
            </w:r>
          </w:p>
        </w:tc>
      </w:tr>
      <w:tr>
        <w:tc>
          <w:tcPr>
            <w:tcW w:w="2340" w:type="dxa"/>
          </w:tcPr>
          <w:p>
            <w:pPr>
              <w:spacing w:before="0" w:after="80" w:line="240" w:lineRule="auto"/>
              <w:pStyle w:val="Normal"/>
            </w:pPr>
            <w:r>
              <w:rPr>
                <w:rFonts w:ascii="Arial" w:hAnsi="Arial" w:eastAsia="Arial"/>
                <w:sz w:val="20"/>
                <w:szCs w:val="20"/>
                <w:color w:val="1F2933"/>
              </w:rPr>
              <w:t xml:space="preserve">Median income</w:t>
            </w:r>
          </w:p>
        </w:tc>
        <w:tc>
          <w:tcPr>
            <w:tcW w:w="2340" w:type="dxa"/>
          </w:tcPr>
          <w:p>
            <w:pPr>
              <w:spacing w:before="0" w:after="80" w:line="240" w:lineRule="auto"/>
              <w:pStyle w:val="Normal"/>
            </w:pPr>
            <w:r>
              <w:rPr>
                <w:rFonts w:ascii="Arial" w:hAnsi="Arial" w:eastAsia="Arial"/>
                <w:sz w:val="20"/>
                <w:szCs w:val="20"/>
                <w:color w:val="1F2933"/>
              </w:rPr>
              <w:t xml:space="preserve">SGD 47,832</w:t>
            </w:r>
          </w:p>
        </w:tc>
        <w:tc>
          <w:tcPr>
            <w:tcW w:w="2340" w:type="dxa"/>
          </w:tcPr>
          <w:p>
            <w:pPr>
              <w:spacing w:before="0" w:after="80" w:line="240" w:lineRule="auto"/>
              <w:pStyle w:val="Normal"/>
            </w:pPr>
            <w:r>
              <w:rPr>
                <w:rFonts w:ascii="Arial" w:hAnsi="Arial" w:eastAsia="Arial"/>
                <w:sz w:val="20"/>
                <w:szCs w:val="20"/>
                <w:color w:val="1F2933"/>
              </w:rPr>
              <w:t xml:space="preserve">SGD 42,454</w:t>
            </w:r>
          </w:p>
        </w:tc>
        <w:tc>
          <w:tcPr>
            <w:tcW w:w="2340" w:type="dxa"/>
          </w:tcPr>
          <w:p>
            <w:pPr>
              <w:spacing w:before="0" w:after="80" w:line="240" w:lineRule="auto"/>
              <w:pStyle w:val="Normal"/>
            </w:pPr>
            <w:r>
              <w:rPr>
                <w:rFonts w:ascii="Arial" w:hAnsi="Arial" w:eastAsia="Arial"/>
                <w:sz w:val="20"/>
                <w:szCs w:val="20"/>
                <w:color w:val="1F2933"/>
              </w:rPr>
              <w:t xml:space="preserve">-11.2%</w:t>
            </w:r>
          </w:p>
        </w:tc>
      </w:tr>
      <w:tr>
        <w:tc>
          <w:tcPr>
            <w:tcW w:w="2340" w:type="dxa"/>
          </w:tcPr>
          <w:p>
            <w:pPr>
              <w:spacing w:before="0" w:after="80" w:line="240" w:lineRule="auto"/>
              <w:pStyle w:val="Normal"/>
            </w:pPr>
            <w:r>
              <w:rPr>
                <w:rFonts w:ascii="Arial" w:hAnsi="Arial" w:eastAsia="Arial"/>
                <w:sz w:val="20"/>
                <w:szCs w:val="20"/>
                <w:color w:val="1F2933"/>
              </w:rPr>
              <w:t xml:space="preserve">Average loan amount</w:t>
            </w:r>
          </w:p>
        </w:tc>
        <w:tc>
          <w:tcPr>
            <w:tcW w:w="2340" w:type="dxa"/>
          </w:tcPr>
          <w:p>
            <w:pPr>
              <w:spacing w:before="0" w:after="80" w:line="240" w:lineRule="auto"/>
              <w:pStyle w:val="Normal"/>
            </w:pPr>
            <w:r>
              <w:rPr>
                <w:rFonts w:ascii="Arial" w:hAnsi="Arial" w:eastAsia="Arial"/>
                <w:sz w:val="20"/>
                <w:szCs w:val="20"/>
                <w:color w:val="1F2933"/>
              </w:rPr>
              <w:t xml:space="preserve">SGD 77,580</w:t>
            </w:r>
          </w:p>
        </w:tc>
        <w:tc>
          <w:tcPr>
            <w:tcW w:w="2340" w:type="dxa"/>
          </w:tcPr>
          <w:p>
            <w:pPr>
              <w:spacing w:before="0" w:after="80" w:line="240" w:lineRule="auto"/>
              <w:pStyle w:val="Normal"/>
            </w:pPr>
            <w:r>
              <w:rPr>
                <w:rFonts w:ascii="Arial" w:hAnsi="Arial" w:eastAsia="Arial"/>
                <w:sz w:val="20"/>
                <w:szCs w:val="20"/>
                <w:color w:val="1F2933"/>
              </w:rPr>
              <w:t xml:space="preserve">SGD 92,349</w:t>
            </w:r>
          </w:p>
        </w:tc>
        <w:tc>
          <w:tcPr>
            <w:tcW w:w="2340" w:type="dxa"/>
          </w:tcPr>
          <w:p>
            <w:pPr>
              <w:spacing w:before="0" w:after="80" w:line="240" w:lineRule="auto"/>
              <w:pStyle w:val="Normal"/>
            </w:pPr>
            <w:r>
              <w:rPr>
                <w:rFonts w:ascii="Arial" w:hAnsi="Arial" w:eastAsia="Arial"/>
                <w:sz w:val="20"/>
                <w:szCs w:val="20"/>
                <w:color w:val="1F2933"/>
              </w:rPr>
              <w:t xml:space="preserve">+19.0%</w:t>
            </w:r>
          </w:p>
        </w:tc>
      </w:tr>
      <w:tr>
        <w:tc>
          <w:tcPr>
            <w:tcW w:w="2340" w:type="dxa"/>
          </w:tcPr>
          <w:p>
            <w:pPr>
              <w:spacing w:before="0" w:after="80" w:line="240" w:lineRule="auto"/>
              <w:pStyle w:val="Normal"/>
            </w:pPr>
            <w:r>
              <w:rPr>
                <w:rFonts w:ascii="Arial" w:hAnsi="Arial" w:eastAsia="Arial"/>
                <w:sz w:val="20"/>
                <w:szCs w:val="20"/>
                <w:color w:val="1F2933"/>
              </w:rPr>
              <w:t xml:space="preserve">Approval rate</w:t>
            </w:r>
          </w:p>
        </w:tc>
        <w:tc>
          <w:tcPr>
            <w:tcW w:w="2340" w:type="dxa"/>
          </w:tcPr>
          <w:p>
            <w:pPr>
              <w:spacing w:before="0" w:after="80" w:line="240" w:lineRule="auto"/>
              <w:pStyle w:val="Normal"/>
            </w:pPr>
            <w:r>
              <w:rPr>
                <w:rFonts w:ascii="Arial" w:hAnsi="Arial" w:eastAsia="Arial"/>
                <w:sz w:val="20"/>
                <w:szCs w:val="20"/>
                <w:color w:val="1F2933"/>
              </w:rPr>
              <w:t xml:space="preserve">98.48%</w:t>
            </w:r>
          </w:p>
        </w:tc>
        <w:tc>
          <w:tcPr>
            <w:tcW w:w="2340" w:type="dxa"/>
          </w:tcPr>
          <w:p>
            <w:pPr>
              <w:spacing w:before="0" w:after="80" w:line="240" w:lineRule="auto"/>
              <w:pStyle w:val="Normal"/>
            </w:pPr>
            <w:r>
              <w:rPr>
                <w:rFonts w:ascii="Arial" w:hAnsi="Arial" w:eastAsia="Arial"/>
                <w:sz w:val="20"/>
                <w:szCs w:val="20"/>
                <w:color w:val="1F2933"/>
              </w:rPr>
              <w:t xml:space="preserve">90.00%</w:t>
            </w:r>
          </w:p>
        </w:tc>
        <w:tc>
          <w:tcPr>
            <w:tcW w:w="2340" w:type="dxa"/>
          </w:tcPr>
          <w:p>
            <w:pPr>
              <w:spacing w:before="0" w:after="80" w:line="240" w:lineRule="auto"/>
              <w:pStyle w:val="Normal"/>
            </w:pPr>
            <w:r>
              <w:rPr>
                <w:rFonts w:ascii="Arial" w:hAnsi="Arial" w:eastAsia="Arial"/>
                <w:sz w:val="20"/>
                <w:szCs w:val="20"/>
                <w:color w:val="1F2933"/>
              </w:rPr>
              <w:t xml:space="preserve">-8.48 pp</w:t>
            </w:r>
          </w:p>
        </w:tc>
      </w:tr>
      <w:tr>
        <w:tc>
          <w:tcPr>
            <w:tcW w:w="2340" w:type="dxa"/>
          </w:tcPr>
          <w:p>
            <w:pPr>
              <w:spacing w:before="0" w:after="80" w:line="240" w:lineRule="auto"/>
              <w:pStyle w:val="Normal"/>
            </w:pPr>
            <w:r>
              <w:rPr>
                <w:rFonts w:ascii="Arial" w:hAnsi="Arial" w:eastAsia="Arial"/>
                <w:sz w:val="20"/>
                <w:szCs w:val="20"/>
                <w:color w:val="1F2933"/>
              </w:rPr>
              <w:t xml:space="preserve">Default rate</w:t>
            </w:r>
          </w:p>
        </w:tc>
        <w:tc>
          <w:tcPr>
            <w:tcW w:w="2340" w:type="dxa"/>
          </w:tcPr>
          <w:p>
            <w:pPr>
              <w:spacing w:before="0" w:after="80" w:line="240" w:lineRule="auto"/>
              <w:pStyle w:val="Normal"/>
            </w:pPr>
            <w:r>
              <w:rPr>
                <w:rFonts w:ascii="Arial" w:hAnsi="Arial" w:eastAsia="Arial"/>
                <w:sz w:val="20"/>
                <w:szCs w:val="20"/>
                <w:color w:val="1F2933"/>
              </w:rPr>
              <w:t xml:space="preserve">24.86%</w:t>
            </w:r>
          </w:p>
        </w:tc>
        <w:tc>
          <w:tcPr>
            <w:tcW w:w="2340" w:type="dxa"/>
          </w:tcPr>
          <w:p>
            <w:pPr>
              <w:spacing w:before="0" w:after="80" w:line="240" w:lineRule="auto"/>
              <w:pStyle w:val="Normal"/>
            </w:pPr>
            <w:r>
              <w:rPr>
                <w:rFonts w:ascii="Arial" w:hAnsi="Arial" w:eastAsia="Arial"/>
                <w:sz w:val="20"/>
                <w:szCs w:val="20"/>
                <w:color w:val="1F2933"/>
              </w:rPr>
              <w:t xml:space="preserve">34.63%</w:t>
            </w:r>
          </w:p>
        </w:tc>
        <w:tc>
          <w:tcPr>
            <w:tcW w:w="2340" w:type="dxa"/>
          </w:tcPr>
          <w:p>
            <w:pPr>
              <w:spacing w:before="0" w:after="80" w:line="240" w:lineRule="auto"/>
              <w:pStyle w:val="Normal"/>
            </w:pPr>
            <w:r>
              <w:rPr>
                <w:rFonts w:ascii="Arial" w:hAnsi="Arial" w:eastAsia="Arial"/>
                <w:sz w:val="20"/>
                <w:szCs w:val="20"/>
                <w:color w:val="1F2933"/>
              </w:rPr>
              <w:t xml:space="preserve">+9.77 pp</w:t>
            </w:r>
          </w:p>
        </w:tc>
      </w:tr>
      <w:tr>
        <w:tc>
          <w:tcPr>
            <w:tcW w:w="2340" w:type="dxa"/>
          </w:tcPr>
          <w:p>
            <w:pPr>
              <w:spacing w:before="0" w:after="80" w:line="240" w:lineRule="auto"/>
              <w:pStyle w:val="Normal"/>
            </w:pPr>
            <w:r>
              <w:rPr>
                <w:rFonts w:ascii="Arial" w:hAnsi="Arial" w:eastAsia="Arial"/>
                <w:sz w:val="20"/>
                <w:szCs w:val="20"/>
                <w:color w:val="1F2933"/>
              </w:rPr>
              <w:t xml:space="preserve">Unemployment rate</w:t>
            </w:r>
          </w:p>
        </w:tc>
        <w:tc>
          <w:tcPr>
            <w:tcW w:w="2340" w:type="dxa"/>
          </w:tcPr>
          <w:p>
            <w:pPr>
              <w:spacing w:before="0" w:after="80" w:line="240" w:lineRule="auto"/>
              <w:pStyle w:val="Normal"/>
            </w:pPr>
            <w:r>
              <w:rPr>
                <w:rFonts w:ascii="Arial" w:hAnsi="Arial" w:eastAsia="Arial"/>
                <w:sz w:val="20"/>
                <w:szCs w:val="20"/>
                <w:color w:val="1F2933"/>
              </w:rPr>
              <w:t xml:space="preserve">2.82%</w:t>
            </w:r>
          </w:p>
        </w:tc>
        <w:tc>
          <w:tcPr>
            <w:tcW w:w="2340" w:type="dxa"/>
          </w:tcPr>
          <w:p>
            <w:pPr>
              <w:spacing w:before="0" w:after="80" w:line="240" w:lineRule="auto"/>
              <w:pStyle w:val="Normal"/>
            </w:pPr>
            <w:r>
              <w:rPr>
                <w:rFonts w:ascii="Arial" w:hAnsi="Arial" w:eastAsia="Arial"/>
                <w:sz w:val="20"/>
                <w:szCs w:val="20"/>
                <w:color w:val="1F2933"/>
              </w:rPr>
              <w:t xml:space="preserve">6.67%</w:t>
            </w:r>
          </w:p>
        </w:tc>
        <w:tc>
          <w:tcPr>
            <w:tcW w:w="2340" w:type="dxa"/>
          </w:tcPr>
          <w:p>
            <w:pPr>
              <w:spacing w:before="0" w:after="80" w:line="240" w:lineRule="auto"/>
              <w:pStyle w:val="Normal"/>
            </w:pPr>
            <w:r>
              <w:rPr>
                <w:rFonts w:ascii="Arial" w:hAnsi="Arial" w:eastAsia="Arial"/>
                <w:sz w:val="20"/>
                <w:szCs w:val="20"/>
                <w:color w:val="1F2933"/>
              </w:rPr>
              <w:t xml:space="preserve">+3.85 pp</w:t>
            </w:r>
          </w:p>
        </w:tc>
      </w:tr>
      <w:tr>
        <w:tc>
          <w:tcPr>
            <w:tcW w:w="2340" w:type="dxa"/>
          </w:tcPr>
          <w:p>
            <w:pPr>
              <w:spacing w:before="0" w:after="80" w:line="240" w:lineRule="auto"/>
              <w:pStyle w:val="Normal"/>
            </w:pPr>
            <w:r>
              <w:rPr>
                <w:rFonts w:ascii="Arial" w:hAnsi="Arial" w:eastAsia="Arial"/>
                <w:sz w:val="20"/>
                <w:szCs w:val="20"/>
                <w:color w:val="1F2933"/>
              </w:rPr>
              <w:t xml:space="preserve">Low-score share</w:t>
            </w:r>
          </w:p>
        </w:tc>
        <w:tc>
          <w:tcPr>
            <w:tcW w:w="2340" w:type="dxa"/>
          </w:tcPr>
          <w:p>
            <w:pPr>
              <w:spacing w:before="0" w:after="80" w:line="240" w:lineRule="auto"/>
              <w:pStyle w:val="Normal"/>
            </w:pPr>
            <w:r>
              <w:rPr>
                <w:rFonts w:ascii="Arial" w:hAnsi="Arial" w:eastAsia="Arial"/>
                <w:sz w:val="20"/>
                <w:szCs w:val="20"/>
                <w:color w:val="1F2933"/>
              </w:rPr>
              <w:t xml:space="preserve">3.24%</w:t>
            </w:r>
          </w:p>
        </w:tc>
        <w:tc>
          <w:tcPr>
            <w:tcW w:w="2340" w:type="dxa"/>
          </w:tcPr>
          <w:p>
            <w:pPr>
              <w:spacing w:before="0" w:after="80" w:line="240" w:lineRule="auto"/>
              <w:pStyle w:val="Normal"/>
            </w:pPr>
            <w:r>
              <w:rPr>
                <w:rFonts w:ascii="Arial" w:hAnsi="Arial" w:eastAsia="Arial"/>
                <w:sz w:val="20"/>
                <w:szCs w:val="20"/>
                <w:color w:val="1F2933"/>
              </w:rPr>
              <w:t xml:space="preserve">16.13%</w:t>
            </w:r>
          </w:p>
        </w:tc>
        <w:tc>
          <w:tcPr>
            <w:tcW w:w="2340" w:type="dxa"/>
          </w:tcPr>
          <w:p>
            <w:pPr>
              <w:spacing w:before="0" w:after="80" w:line="240" w:lineRule="auto"/>
              <w:pStyle w:val="Normal"/>
            </w:pPr>
            <w:r>
              <w:rPr>
                <w:rFonts w:ascii="Arial" w:hAnsi="Arial" w:eastAsia="Arial"/>
                <w:sz w:val="20"/>
                <w:szCs w:val="20"/>
                <w:color w:val="1F2933"/>
              </w:rPr>
              <w:t xml:space="preserve">+12.89 pp</w:t>
            </w:r>
          </w:p>
        </w:tc>
      </w:tr>
      <w:tr>
        <w:tc>
          <w:tcPr>
            <w:tcW w:w="2340" w:type="dxa"/>
          </w:tcPr>
          <w:p>
            <w:pPr>
              <w:spacing w:before="0" w:after="80" w:line="240" w:lineRule="auto"/>
              <w:pStyle w:val="Normal"/>
            </w:pPr>
            <w:r>
              <w:rPr>
                <w:rFonts w:ascii="Arial" w:hAnsi="Arial" w:eastAsia="Arial"/>
                <w:sz w:val="20"/>
                <w:szCs w:val="20"/>
                <w:color w:val="1F2933"/>
              </w:rPr>
              <w:t xml:space="preserve">AUC</w:t>
            </w:r>
          </w:p>
        </w:tc>
        <w:tc>
          <w:tcPr>
            <w:tcW w:w="2340" w:type="dxa"/>
          </w:tcPr>
          <w:p>
            <w:pPr>
              <w:spacing w:before="0" w:after="80" w:line="240" w:lineRule="auto"/>
              <w:pStyle w:val="Normal"/>
            </w:pPr>
            <w:r>
              <w:rPr>
                <w:rFonts w:ascii="Arial" w:hAnsi="Arial" w:eastAsia="Arial"/>
                <w:sz w:val="20"/>
                <w:szCs w:val="20"/>
                <w:color w:val="1F2933"/>
              </w:rPr>
              <w:t xml:space="preserve">0.6312</w:t>
            </w:r>
          </w:p>
        </w:tc>
        <w:tc>
          <w:tcPr>
            <w:tcW w:w="2340" w:type="dxa"/>
          </w:tcPr>
          <w:p>
            <w:pPr>
              <w:spacing w:before="0" w:after="80" w:line="240" w:lineRule="auto"/>
              <w:pStyle w:val="Normal"/>
            </w:pPr>
            <w:r>
              <w:rPr>
                <w:rFonts w:ascii="Arial" w:hAnsi="Arial" w:eastAsia="Arial"/>
                <w:sz w:val="20"/>
                <w:szCs w:val="20"/>
                <w:color w:val="1F2933"/>
              </w:rPr>
              <w:t xml:space="preserve">0.6162</w:t>
            </w:r>
          </w:p>
        </w:tc>
        <w:tc>
          <w:tcPr>
            <w:tcW w:w="2340" w:type="dxa"/>
          </w:tcPr>
          <w:p>
            <w:pPr>
              <w:spacing w:before="0" w:after="80" w:line="240" w:lineRule="auto"/>
              <w:pStyle w:val="Normal"/>
            </w:pPr>
            <w:r>
              <w:rPr>
                <w:rFonts w:ascii="Arial" w:hAnsi="Arial" w:eastAsia="Arial"/>
                <w:sz w:val="20"/>
                <w:szCs w:val="20"/>
                <w:color w:val="1F2933"/>
              </w:rPr>
              <w:t xml:space="preserve">-0.0150</w:t>
            </w:r>
          </w:p>
        </w:tc>
      </w:tr>
    </w:tbl>
    <w:p>
      <w:pPr>
        <w:pStyle w:val="Heading1"/>
        <w:spacing w:before="240" w:after="100" w:line="276" w:lineRule="auto"/>
      </w:pPr>
      <w:r>
        <w:rPr>
          <w:rFonts w:ascii="Arial" w:hAnsi="Arial" w:eastAsia="Arial"/>
          <w:sz w:val="28"/>
          <w:szCs w:val="28"/>
          <w:color w:val="0F1720"/>
          <w:b/>
          <w:bCs/>
        </w:rPr>
        <w:t xml:space="preserve">3. Portfolio Drift</w:t>
      </w:r>
    </w:p>
    <w:p>
      <w:pPr>
        <w:spacing w:before="0" w:after="120" w:line="276" w:lineRule="auto"/>
        <w:pStyle w:val="Normal"/>
      </w:pPr>
      <w:r>
        <w:rPr>
          <w:rFonts w:ascii="Arial" w:hAnsi="Arial" w:eastAsia="Arial"/>
          <w:sz w:val="22"/>
          <w:szCs w:val="22"/>
          <w:color w:val="1F2933"/>
        </w:rPr>
        <w:t xml:space="preserve">The live portfolio is visibly weaker than the training-period portfolio. Median income is lower, average loan size is higher, unemployment is higher, and realised default has increased. This does not prove that the model is unfair, but it does show that the deployment environment has changed.</w:t>
      </w:r>
    </w:p>
    <w:p>
      <w:r>
        <w:drawing>
          <wp:inline xmlns:wp="http://schemas.openxmlformats.org/drawingml/2006/wordprocessingDrawing" distT="0" distB="0" distL="0" distR="0">
            <wp:extent cx="5486400" cy="3291840"/>
            <wp:effectExtent l="0" t="0" r="0" b="0"/>
            <wp:docPr id="1" name="Task3_Report_Key_Metric_Chan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eport_Key_Metric_Changes.png"/>
                    <pic:cNvPicPr/>
                  </pic:nvPicPr>
                  <pic:blipFill>
                    <a:blip xmlns:r="http://schemas.openxmlformats.org/officeDocument/2006/relationships" r:embed="rId1"/>
                    <a:stretch>
                      <a:fillRect/>
                    </a:stretch>
                  </pic:blipFill>
                  <pic:spPr>
                    <a:xfrm>
                      <a:off x="0" y="0"/>
                      <a:ext cx="5486400" cy="3291840"/>
                    </a:xfrm>
                    <a:prstGeom prst="rect">
                      <a:avLst/>
                    </a:prstGeom>
                  </pic:spPr>
                </pic:pic>
              </a:graphicData>
            </a:graphic>
          </wp:inline>
        </w:drawing>
      </w:r>
    </w:p>
    <w:p>
      <w:pPr>
        <w:pStyle w:val="Heading1"/>
        <w:spacing w:before="240" w:after="100" w:line="276" w:lineRule="auto"/>
      </w:pPr>
      <w:r>
        <w:rPr>
          <w:rFonts w:ascii="Arial" w:hAnsi="Arial" w:eastAsia="Arial"/>
          <w:sz w:val="28"/>
          <w:szCs w:val="28"/>
          <w:color w:val="0F1720"/>
          <w:b/>
          <w:bCs/>
        </w:rPr>
        <w:t xml:space="preserve">4. Distribution Shift Using PSI</w:t>
      </w:r>
    </w:p>
    <w:p>
      <w:pPr>
        <w:spacing w:before="0" w:after="120" w:line="276" w:lineRule="auto"/>
        <w:pStyle w:val="Normal"/>
      </w:pPr>
      <w:r>
        <w:rPr>
          <w:rFonts w:ascii="Arial" w:hAnsi="Arial" w:eastAsia="Arial"/>
          <w:sz w:val="22"/>
          <w:szCs w:val="22"/>
          <w:color w:val="1F2933"/>
        </w:rPr>
        <w:t xml:space="preserve">PSI gives a more formal view of distribution shift. The strongest signal is the model score distribution. A model-score PSI above 0.25 is normally treated as significant drift, so this is the clearest trigger for model review.</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left w:w="120" w:type="dxa"/>
          <w:bottom w:w="80" w:type="dxa"/>
          <w:right w:w="120" w:type="dxa"/>
        </w:tblCellMar>
      </w:tblPr>
      <w:tr>
        <w:tc>
          <w:tcPr>
            <w:tcW w:w="9360" w:type="dxa"/>
            <w:shd w:fill="F2F4F6"/>
          </w:tcPr>
          <w:p>
            <w:pPr>
              <w:spacing w:before="0" w:after="80" w:line="240" w:lineRule="auto"/>
              <w:pStyle w:val="Normal"/>
            </w:pPr>
            <w:r>
              <w:rPr>
                <w:b/>
                <w:rFonts w:ascii="Arial" w:hAnsi="Arial" w:eastAsia="Arial"/>
                <w:sz w:val="20"/>
                <w:szCs w:val="20"/>
                <w:color w:val="1F2933"/>
                <w:bCs/>
              </w:rPr>
              <w:t xml:space="preserve">V</w:t>
            </w:r>
          </w:p>
        </w:tc>
      </w:tr>
      <w:tr>
        <w:tc>
          <w:tcPr>
            <w:tcW w:w="9360" w:type="dxa"/>
          </w:tcPr>
          <w:p>
            <w:pPr>
              <w:spacing w:before="0" w:after="80" w:line="240" w:lineRule="auto"/>
              <w:pStyle w:val="Normal"/>
            </w:pPr>
            <w:r>
              <w:rPr>
                <w:rFonts w:ascii="Arial" w:hAnsi="Arial" w:eastAsia="Arial"/>
                <w:sz w:val="20"/>
                <w:szCs w:val="20"/>
                <w:color w:val="1F2933"/>
              </w:rPr>
              <w:t xml:space="preserve">P</w:t>
            </w:r>
          </w:p>
        </w:tc>
      </w:tr>
      <w:tr>
        <w:tc>
          <w:tcPr>
            <w:tcW w:w="9360" w:type="dxa"/>
          </w:tcPr>
          <w:p>
            <w:pPr>
              <w:spacing w:before="0" w:after="80" w:line="240" w:lineRule="auto"/>
              <w:pStyle w:val="Normal"/>
            </w:pPr>
            <w:r>
              <w:rPr>
                <w:rFonts w:ascii="Arial" w:hAnsi="Arial" w:eastAsia="Arial"/>
                <w:sz w:val="20"/>
                <w:szCs w:val="20"/>
                <w:color w:val="1F2933"/>
              </w:rPr>
              <w:t xml:space="preserve">I</w:t>
            </w:r>
          </w:p>
        </w:tc>
      </w:tr>
      <w:tr>
        <w:tc>
          <w:tcPr>
            <w:tcW w:w="3120" w:type="dxa"/>
          </w:tcPr>
          <w:p>
            <w:pPr>
              <w:spacing w:before="0" w:after="80" w:line="240" w:lineRule="auto"/>
              <w:pStyle w:val="Normal"/>
            </w:pPr>
            <w:r>
              <w:rPr>
                <w:rFonts w:ascii="Arial" w:hAnsi="Arial" w:eastAsia="Arial"/>
                <w:sz w:val="20"/>
                <w:szCs w:val="20"/>
                <w:color w:val="1F2933"/>
              </w:rPr>
              <w:t xml:space="preserve">model_score</w:t>
            </w:r>
          </w:p>
        </w:tc>
        <w:tc>
          <w:tcPr>
            <w:tcW w:w="3120" w:type="dxa"/>
          </w:tcPr>
          <w:p>
            <w:pPr>
              <w:spacing w:before="0" w:after="80" w:line="240" w:lineRule="auto"/>
              <w:pStyle w:val="Normal"/>
            </w:pPr>
            <w:r>
              <w:rPr>
                <w:rFonts w:ascii="Arial" w:hAnsi="Arial" w:eastAsia="Arial"/>
                <w:sz w:val="20"/>
                <w:szCs w:val="20"/>
                <w:color w:val="1F2933"/>
              </w:rPr>
              <w:t xml:space="preserve">0.4658</w:t>
            </w:r>
          </w:p>
        </w:tc>
        <w:tc>
          <w:tcPr>
            <w:tcW w:w="3120" w:type="dxa"/>
          </w:tcPr>
          <w:p>
            <w:pPr>
              <w:spacing w:before="0" w:after="80" w:line="240" w:lineRule="auto"/>
              <w:pStyle w:val="Normal"/>
            </w:pPr>
            <w:r>
              <w:rPr>
                <w:rFonts w:ascii="Arial" w:hAnsi="Arial" w:eastAsia="Arial"/>
                <w:sz w:val="20"/>
                <w:szCs w:val="20"/>
                <w:color w:val="1F2933"/>
              </w:rPr>
              <w:t xml:space="preserve">Significant drift</w:t>
            </w:r>
          </w:p>
        </w:tc>
      </w:tr>
      <w:tr>
        <w:tc>
          <w:tcPr>
            <w:tcW w:w="3120" w:type="dxa"/>
          </w:tcPr>
          <w:p>
            <w:pPr>
              <w:spacing w:before="0" w:after="80" w:line="240" w:lineRule="auto"/>
              <w:pStyle w:val="Normal"/>
            </w:pPr>
            <w:r>
              <w:rPr>
                <w:rFonts w:ascii="Arial" w:hAnsi="Arial" w:eastAsia="Arial"/>
                <w:sz w:val="20"/>
                <w:szCs w:val="20"/>
                <w:color w:val="1F2933"/>
              </w:rPr>
              <w:t xml:space="preserve">loan_amount_sgd</w:t>
            </w:r>
          </w:p>
        </w:tc>
        <w:tc>
          <w:tcPr>
            <w:tcW w:w="3120" w:type="dxa"/>
          </w:tcPr>
          <w:p>
            <w:pPr>
              <w:spacing w:before="0" w:after="80" w:line="240" w:lineRule="auto"/>
              <w:pStyle w:val="Normal"/>
            </w:pPr>
            <w:r>
              <w:rPr>
                <w:rFonts w:ascii="Arial" w:hAnsi="Arial" w:eastAsia="Arial"/>
                <w:sz w:val="20"/>
                <w:szCs w:val="20"/>
                <w:color w:val="1F2933"/>
              </w:rPr>
              <w:t xml:space="preserve">0.1716</w:t>
            </w:r>
          </w:p>
        </w:tc>
        <w:tc>
          <w:tcPr>
            <w:tcW w:w="3120" w:type="dxa"/>
          </w:tcPr>
          <w:p>
            <w:pPr>
              <w:spacing w:before="0" w:after="80" w:line="240" w:lineRule="auto"/>
              <w:pStyle w:val="Normal"/>
            </w:pPr>
            <w:r>
              <w:rPr>
                <w:rFonts w:ascii="Arial" w:hAnsi="Arial" w:eastAsia="Arial"/>
                <w:sz w:val="20"/>
                <w:szCs w:val="20"/>
                <w:color w:val="1F2933"/>
              </w:rPr>
              <w:t xml:space="preserve">Moderate drift</w:t>
            </w:r>
          </w:p>
        </w:tc>
      </w:tr>
      <w:tr>
        <w:tc>
          <w:tcPr>
            <w:tcW w:w="3120" w:type="dxa"/>
          </w:tcPr>
          <w:p>
            <w:pPr>
              <w:spacing w:before="0" w:after="80" w:line="240" w:lineRule="auto"/>
              <w:pStyle w:val="Normal"/>
            </w:pPr>
            <w:r>
              <w:rPr>
                <w:rFonts w:ascii="Arial" w:hAnsi="Arial" w:eastAsia="Arial"/>
                <w:sz w:val="20"/>
                <w:szCs w:val="20"/>
                <w:color w:val="1F2933"/>
              </w:rPr>
              <w:t xml:space="preserve">employment_status</w:t>
            </w:r>
          </w:p>
        </w:tc>
        <w:tc>
          <w:tcPr>
            <w:tcW w:w="3120" w:type="dxa"/>
          </w:tcPr>
          <w:p>
            <w:pPr>
              <w:spacing w:before="0" w:after="80" w:line="240" w:lineRule="auto"/>
              <w:pStyle w:val="Normal"/>
            </w:pPr>
            <w:r>
              <w:rPr>
                <w:rFonts w:ascii="Arial" w:hAnsi="Arial" w:eastAsia="Arial"/>
                <w:sz w:val="20"/>
                <w:szCs w:val="20"/>
                <w:color w:val="1F2933"/>
              </w:rPr>
              <w:t xml:space="preserve">0.0577</w:t>
            </w:r>
          </w:p>
        </w:tc>
        <w:tc>
          <w:tcPr>
            <w:tcW w:w="3120" w:type="dxa"/>
          </w:tcPr>
          <w:p>
            <w:pPr>
              <w:spacing w:before="0" w:after="80" w:line="240" w:lineRule="auto"/>
              <w:pStyle w:val="Normal"/>
            </w:pPr>
            <w:r>
              <w:rPr>
                <w:rFonts w:ascii="Arial" w:hAnsi="Arial" w:eastAsia="Arial"/>
                <w:sz w:val="20"/>
                <w:szCs w:val="20"/>
                <w:color w:val="1F2933"/>
              </w:rPr>
              <w:t xml:space="preserve">Low / no material drift</w:t>
            </w:r>
          </w:p>
        </w:tc>
      </w:tr>
      <w:tr>
        <w:tc>
          <w:tcPr>
            <w:tcW w:w="3120" w:type="dxa"/>
          </w:tcPr>
          <w:p>
            <w:pPr>
              <w:spacing w:before="0" w:after="80" w:line="240" w:lineRule="auto"/>
              <w:pStyle w:val="Normal"/>
            </w:pPr>
            <w:r>
              <w:rPr>
                <w:rFonts w:ascii="Arial" w:hAnsi="Arial" w:eastAsia="Arial"/>
                <w:sz w:val="20"/>
                <w:szCs w:val="20"/>
                <w:color w:val="1F2933"/>
              </w:rPr>
              <w:t xml:space="preserve">income_sgd</w:t>
            </w:r>
          </w:p>
        </w:tc>
        <w:tc>
          <w:tcPr>
            <w:tcW w:w="3120" w:type="dxa"/>
          </w:tcPr>
          <w:p>
            <w:pPr>
              <w:spacing w:before="0" w:after="80" w:line="240" w:lineRule="auto"/>
              <w:pStyle w:val="Normal"/>
            </w:pPr>
            <w:r>
              <w:rPr>
                <w:rFonts w:ascii="Arial" w:hAnsi="Arial" w:eastAsia="Arial"/>
                <w:sz w:val="20"/>
                <w:szCs w:val="20"/>
                <w:color w:val="1F2933"/>
              </w:rPr>
              <w:t xml:space="preserve">0.0511</w:t>
            </w:r>
          </w:p>
        </w:tc>
        <w:tc>
          <w:tcPr>
            <w:tcW w:w="3120" w:type="dxa"/>
          </w:tcPr>
          <w:p>
            <w:pPr>
              <w:spacing w:before="0" w:after="80" w:line="240" w:lineRule="auto"/>
              <w:pStyle w:val="Normal"/>
            </w:pPr>
            <w:r>
              <w:rPr>
                <w:rFonts w:ascii="Arial" w:hAnsi="Arial" w:eastAsia="Arial"/>
                <w:sz w:val="20"/>
                <w:szCs w:val="20"/>
                <w:color w:val="1F2933"/>
              </w:rPr>
              <w:t xml:space="preserve">Low / no material drift</w:t>
            </w:r>
          </w:p>
        </w:tc>
      </w:tr>
      <w:tr>
        <w:tc>
          <w:tcPr>
            <w:tcW w:w="3120" w:type="dxa"/>
          </w:tcPr>
          <w:p>
            <w:pPr>
              <w:spacing w:before="0" w:after="80" w:line="240" w:lineRule="auto"/>
              <w:pStyle w:val="Normal"/>
            </w:pPr>
            <w:r>
              <w:rPr>
                <w:rFonts w:ascii="Arial" w:hAnsi="Arial" w:eastAsia="Arial"/>
                <w:sz w:val="20"/>
                <w:szCs w:val="20"/>
                <w:color w:val="1F2933"/>
              </w:rPr>
              <w:t xml:space="preserve">debt_to_income</w:t>
            </w:r>
          </w:p>
        </w:tc>
        <w:tc>
          <w:tcPr>
            <w:tcW w:w="3120" w:type="dxa"/>
          </w:tcPr>
          <w:p>
            <w:pPr>
              <w:spacing w:before="0" w:after="80" w:line="240" w:lineRule="auto"/>
              <w:pStyle w:val="Normal"/>
            </w:pPr>
            <w:r>
              <w:rPr>
                <w:rFonts w:ascii="Arial" w:hAnsi="Arial" w:eastAsia="Arial"/>
                <w:sz w:val="20"/>
                <w:szCs w:val="20"/>
                <w:color w:val="1F2933"/>
              </w:rPr>
              <w:t xml:space="preserve">0.0311</w:t>
            </w:r>
          </w:p>
        </w:tc>
        <w:tc>
          <w:tcPr>
            <w:tcW w:w="3120" w:type="dxa"/>
          </w:tcPr>
          <w:p>
            <w:pPr>
              <w:spacing w:before="0" w:after="80" w:line="240" w:lineRule="auto"/>
              <w:pStyle w:val="Normal"/>
            </w:pPr>
            <w:r>
              <w:rPr>
                <w:rFonts w:ascii="Arial" w:hAnsi="Arial" w:eastAsia="Arial"/>
                <w:sz w:val="20"/>
                <w:szCs w:val="20"/>
                <w:color w:val="1F2933"/>
              </w:rPr>
              <w:t xml:space="preserve">Low / no material drift</w:t>
            </w:r>
          </w:p>
        </w:tc>
      </w:tr>
      <w:tr>
        <w:tc>
          <w:tcPr>
            <w:tcW w:w="3120" w:type="dxa"/>
          </w:tcPr>
          <w:p>
            <w:pPr>
              <w:spacing w:before="0" w:after="80" w:line="240" w:lineRule="auto"/>
              <w:pStyle w:val="Normal"/>
            </w:pPr>
            <w:r>
              <w:rPr>
                <w:rFonts w:ascii="Arial" w:hAnsi="Arial" w:eastAsia="Arial"/>
                <w:sz w:val="20"/>
                <w:szCs w:val="20"/>
                <w:color w:val="1F2933"/>
              </w:rPr>
              <w:t xml:space="preserve">postal_district</w:t>
            </w:r>
          </w:p>
        </w:tc>
        <w:tc>
          <w:tcPr>
            <w:tcW w:w="3120" w:type="dxa"/>
          </w:tcPr>
          <w:p>
            <w:pPr>
              <w:spacing w:before="0" w:after="80" w:line="240" w:lineRule="auto"/>
              <w:pStyle w:val="Normal"/>
            </w:pPr>
            <w:r>
              <w:rPr>
                <w:rFonts w:ascii="Arial" w:hAnsi="Arial" w:eastAsia="Arial"/>
                <w:sz w:val="20"/>
                <w:szCs w:val="20"/>
                <w:color w:val="1F2933"/>
              </w:rPr>
              <w:t xml:space="preserve">0.0090</w:t>
            </w:r>
          </w:p>
        </w:tc>
        <w:tc>
          <w:tcPr>
            <w:tcW w:w="3120" w:type="dxa"/>
          </w:tcPr>
          <w:p>
            <w:pPr>
              <w:spacing w:before="0" w:after="80" w:line="240" w:lineRule="auto"/>
              <w:pStyle w:val="Normal"/>
            </w:pPr>
            <w:r>
              <w:rPr>
                <w:rFonts w:ascii="Arial" w:hAnsi="Arial" w:eastAsia="Arial"/>
                <w:sz w:val="20"/>
                <w:szCs w:val="20"/>
                <w:color w:val="1F2933"/>
              </w:rPr>
              <w:t xml:space="preserve">Low / no material drift</w:t>
            </w:r>
          </w:p>
        </w:tc>
      </w:tr>
      <w:tr>
        <w:tc>
          <w:tcPr>
            <w:tcW w:w="3120" w:type="dxa"/>
          </w:tcPr>
          <w:p>
            <w:pPr>
              <w:spacing w:before="0" w:after="80" w:line="240" w:lineRule="auto"/>
              <w:pStyle w:val="Normal"/>
            </w:pPr>
            <w:r>
              <w:rPr>
                <w:rFonts w:ascii="Arial" w:hAnsi="Arial" w:eastAsia="Arial"/>
                <w:sz w:val="20"/>
                <w:szCs w:val="20"/>
                <w:color w:val="1F2933"/>
              </w:rPr>
              <w:t xml:space="preserve">credit_history_months</w:t>
            </w:r>
          </w:p>
        </w:tc>
        <w:tc>
          <w:tcPr>
            <w:tcW w:w="3120" w:type="dxa"/>
          </w:tcPr>
          <w:p>
            <w:pPr>
              <w:spacing w:before="0" w:after="80" w:line="240" w:lineRule="auto"/>
              <w:pStyle w:val="Normal"/>
            </w:pPr>
            <w:r>
              <w:rPr>
                <w:rFonts w:ascii="Arial" w:hAnsi="Arial" w:eastAsia="Arial"/>
                <w:sz w:val="20"/>
                <w:szCs w:val="20"/>
                <w:color w:val="1F2933"/>
              </w:rPr>
              <w:t xml:space="preserve">0.0049</w:t>
            </w:r>
          </w:p>
        </w:tc>
        <w:tc>
          <w:tcPr>
            <w:tcW w:w="3120" w:type="dxa"/>
          </w:tcPr>
          <w:p>
            <w:pPr>
              <w:spacing w:before="0" w:after="80" w:line="240" w:lineRule="auto"/>
              <w:pStyle w:val="Normal"/>
            </w:pPr>
            <w:r>
              <w:rPr>
                <w:rFonts w:ascii="Arial" w:hAnsi="Arial" w:eastAsia="Arial"/>
                <w:sz w:val="20"/>
                <w:szCs w:val="20"/>
                <w:color w:val="1F2933"/>
              </w:rPr>
              <w:t xml:space="preserve">Low / no material drift</w:t>
            </w:r>
          </w:p>
        </w:tc>
      </w:tr>
      <w:tr>
        <w:tc>
          <w:tcPr>
            <w:tcW w:w="3120" w:type="dxa"/>
          </w:tcPr>
          <w:p>
            <w:pPr>
              <w:spacing w:before="0" w:after="80" w:line="240" w:lineRule="auto"/>
              <w:pStyle w:val="Normal"/>
            </w:pPr>
            <w:r>
              <w:rPr>
                <w:rFonts w:ascii="Arial" w:hAnsi="Arial" w:eastAsia="Arial"/>
                <w:sz w:val="20"/>
                <w:szCs w:val="20"/>
                <w:color w:val="1F2933"/>
              </w:rPr>
              <w:t xml:space="preserve">gender</w:t>
            </w:r>
          </w:p>
        </w:tc>
        <w:tc>
          <w:tcPr>
            <w:tcW w:w="3120" w:type="dxa"/>
          </w:tcPr>
          <w:p>
            <w:pPr>
              <w:spacing w:before="0" w:after="80" w:line="240" w:lineRule="auto"/>
              <w:pStyle w:val="Normal"/>
            </w:pPr>
            <w:r>
              <w:rPr>
                <w:rFonts w:ascii="Arial" w:hAnsi="Arial" w:eastAsia="Arial"/>
                <w:sz w:val="20"/>
                <w:szCs w:val="20"/>
                <w:color w:val="1F2933"/>
              </w:rPr>
              <w:t xml:space="preserve">0.0001</w:t>
            </w:r>
          </w:p>
        </w:tc>
        <w:tc>
          <w:tcPr>
            <w:tcW w:w="3120" w:type="dxa"/>
          </w:tcPr>
          <w:p>
            <w:pPr>
              <w:spacing w:before="0" w:after="80" w:line="240" w:lineRule="auto"/>
              <w:pStyle w:val="Normal"/>
            </w:pPr>
            <w:r>
              <w:rPr>
                <w:rFonts w:ascii="Arial" w:hAnsi="Arial" w:eastAsia="Arial"/>
                <w:sz w:val="20"/>
                <w:szCs w:val="20"/>
                <w:color w:val="1F2933"/>
              </w:rPr>
              <w:t xml:space="preserve">Low / no material drift</w:t>
            </w:r>
          </w:p>
        </w:tc>
      </w:tr>
      <w:tr>
        <w:tc>
          <w:tcPr>
            <w:tcW w:w="3120" w:type="dxa"/>
          </w:tcPr>
          <w:p>
            <w:pPr>
              <w:spacing w:before="0" w:after="80" w:line="240" w:lineRule="auto"/>
              <w:pStyle w:val="Normal"/>
            </w:pPr>
            <w:r>
              <w:rPr>
                <w:rFonts w:ascii="Arial" w:hAnsi="Arial" w:eastAsia="Arial"/>
                <w:sz w:val="20"/>
                <w:szCs w:val="20"/>
                <w:color w:val="1F2933"/>
              </w:rPr>
              <w:t xml:space="preserve">ethnicity</w:t>
            </w:r>
          </w:p>
        </w:tc>
        <w:tc>
          <w:tcPr>
            <w:tcW w:w="3120" w:type="dxa"/>
          </w:tcPr>
          <w:p>
            <w:pPr>
              <w:spacing w:before="0" w:after="80" w:line="240" w:lineRule="auto"/>
              <w:pStyle w:val="Normal"/>
            </w:pPr>
            <w:r>
              <w:rPr>
                <w:rFonts w:ascii="Arial" w:hAnsi="Arial" w:eastAsia="Arial"/>
                <w:sz w:val="20"/>
                <w:szCs w:val="20"/>
                <w:color w:val="1F2933"/>
              </w:rPr>
              <w:t xml:space="preserve">0.0001</w:t>
            </w:r>
          </w:p>
        </w:tc>
        <w:tc>
          <w:tcPr>
            <w:tcW w:w="3120" w:type="dxa"/>
          </w:tcPr>
          <w:p>
            <w:pPr>
              <w:spacing w:before="0" w:after="80" w:line="240" w:lineRule="auto"/>
              <w:pStyle w:val="Normal"/>
            </w:pPr>
            <w:r>
              <w:rPr>
                <w:rFonts w:ascii="Arial" w:hAnsi="Arial" w:eastAsia="Arial"/>
                <w:sz w:val="20"/>
                <w:szCs w:val="20"/>
                <w:color w:val="1F2933"/>
              </w:rPr>
              <w:t xml:space="preserve">Low / no material drift</w:t>
            </w:r>
          </w:p>
        </w:tc>
      </w:tr>
    </w:tbl>
    <w:p>
      <w:r>
        <w:drawing>
          <wp:inline xmlns:wp="http://schemas.openxmlformats.org/drawingml/2006/wordprocessingDrawing" distT="0" distB="0" distL="0" distR="0">
            <wp:extent cx="5486400" cy="3291840"/>
            <wp:effectExtent l="0" t="0" r="0" b="0"/>
            <wp:docPr id="2" name="Task3_Report_PSI_by_Vari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eport_PSI_by_Variable.png"/>
                    <pic:cNvPicPr/>
                  </pic:nvPicPr>
                  <pic:blipFill>
                    <a:blip xmlns:r="http://schemas.openxmlformats.org/officeDocument/2006/relationships" r:embed="rId2"/>
                    <a:stretch>
                      <a:fillRect/>
                    </a:stretch>
                  </pic:blipFill>
                  <pic:spPr>
                    <a:xfrm>
                      <a:off x="0" y="0"/>
                      <a:ext cx="5486400" cy="3291840"/>
                    </a:xfrm>
                    <a:prstGeom prst="rect">
                      <a:avLst/>
                    </a:prstGeom>
                  </pic:spPr>
                </pic:pic>
              </a:graphicData>
            </a:graphic>
          </wp:inline>
        </w:drawing>
      </w:r>
    </w:p>
    <w:p>
      <w:pPr>
        <w:pStyle w:val="Heading1"/>
        <w:spacing w:before="240" w:after="100" w:line="276" w:lineRule="auto"/>
      </w:pPr>
      <w:r>
        <w:rPr>
          <w:rFonts w:ascii="Arial" w:hAnsi="Arial" w:eastAsia="Arial"/>
          <w:sz w:val="28"/>
          <w:szCs w:val="28"/>
          <w:color w:val="0F1720"/>
          <w:b/>
          <w:bCs/>
        </w:rPr>
        <w:t xml:space="preserve">5. Performance and Subgroup Outcomes</w:t>
      </w:r>
    </w:p>
    <w:p>
      <w:pPr>
        <w:spacing w:before="0" w:after="120" w:line="276" w:lineRule="auto"/>
        <w:pStyle w:val="Normal"/>
      </w:pPr>
      <w:r>
        <w:rPr>
          <w:rFonts w:ascii="Arial" w:hAnsi="Arial" w:eastAsia="Arial"/>
          <w:sz w:val="22"/>
          <w:szCs w:val="22"/>
          <w:color w:val="1F2933"/>
        </w:rPr>
        <w:t xml:space="preserve">AUC falls from 0.6312 to 0.6162, which indicates weaker separation between non-default and default cases in live deployment. The decline is not dramatic by itself, but it is consistent with the broader drift pattern.</w:t>
      </w:r>
    </w:p>
    <w:p>
      <w:pPr>
        <w:spacing w:before="0" w:after="120" w:line="276" w:lineRule="auto"/>
        <w:pStyle w:val="Normal"/>
      </w:pPr>
      <w:r>
        <w:rPr>
          <w:rFonts w:ascii="Arial" w:hAnsi="Arial" w:eastAsia="Arial"/>
          <w:sz w:val="22"/>
          <w:szCs w:val="22"/>
          <w:color w:val="1F2933"/>
        </w:rPr>
        <w:t xml:space="preserve">Gender and ethnicity approval rates are relatively close in the live data, so the evidence does not support a simple conclusion of direct protected-class approval disparity. The much larger gap appears by employment status. That gap may be credit-risk related, but it still requires explanation testing and proxy-risk review.</w:t>
      </w:r>
    </w:p>
    <w:p>
      <w:r>
        <w:drawing>
          <wp:inline xmlns:wp="http://schemas.openxmlformats.org/drawingml/2006/wordprocessingDrawing" distT="0" distB="0" distL="0" distR="0">
            <wp:extent cx="5486400" cy="3291840"/>
            <wp:effectExtent l="0" t="0" r="0" b="0"/>
            <wp:docPr id="3" name="Task3_Report_Live_Approval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eport_Live_Approval_Rates.png"/>
                    <pic:cNvPicPr/>
                  </pic:nvPicPr>
                  <pic:blipFill>
                    <a:blip xmlns:r="http://schemas.openxmlformats.org/officeDocument/2006/relationships" r:embed="rId3"/>
                    <a:stretch>
                      <a:fillRect/>
                    </a:stretch>
                  </pic:blipFill>
                  <pic:spPr>
                    <a:xfrm>
                      <a:off x="0" y="0"/>
                      <a:ext cx="5486400" cy="3291840"/>
                    </a:xfrm>
                    <a:prstGeom prst="rect">
                      <a:avLst/>
                    </a:prstGeom>
                  </pic:spPr>
                </pic:pic>
              </a:graphicData>
            </a:graphic>
          </wp:inline>
        </w:drawing>
      </w:r>
    </w:p>
    <w:p>
      <w:pPr>
        <w:pStyle w:val="Heading1"/>
        <w:spacing w:before="240" w:after="100" w:line="276" w:lineRule="auto"/>
      </w:pPr>
      <w:r>
        <w:rPr>
          <w:rFonts w:ascii="Arial" w:hAnsi="Arial" w:eastAsia="Arial"/>
          <w:sz w:val="28"/>
          <w:szCs w:val="28"/>
          <w:color w:val="0F1720"/>
          <w:b/>
          <w:bCs/>
        </w:rPr>
        <w:t xml:space="preserve">6. Jurisdiction-Specific Interpretation</w:t>
      </w:r>
    </w:p>
    <w:tbl>
      <w:tblPr>
        <w:tblW w:w="9360" w:type="dxa"/>
        <w:tblBorders>
          <w:top w:val="single" w:sz="4" w:color="D0D7DE"/>
          <w:left w:val="single" w:sz="4" w:color="D0D7DE"/>
          <w:bottom w:val="single" w:sz="4" w:color="D0D7DE"/>
          <w:right w:val="single" w:sz="4" w:color="D0D7DE"/>
          <w:insideH w:val="single" w:sz="4" w:color="D0D7DE"/>
          <w:insideV w:val="single" w:sz="4" w:color="D0D7DE"/>
        </w:tblBorders>
        <w:tblCellMar>
          <w:top w:w="80" w:type="dxa"/>
          <w:left w:w="120" w:type="dxa"/>
          <w:bottom w:w="80" w:type="dxa"/>
          <w:right w:w="120" w:type="dxa"/>
        </w:tblCellMar>
      </w:tblPr>
      <w:tr>
        <w:tc>
          <w:tcPr>
            <w:tcW w:w="2340" w:type="dxa"/>
            <w:shd w:fill="F2F4F6"/>
          </w:tcPr>
          <w:p>
            <w:pPr>
              <w:spacing w:before="0" w:after="80" w:line="240" w:lineRule="auto"/>
              <w:pStyle w:val="Normal"/>
            </w:pPr>
            <w:r>
              <w:rPr>
                <w:b/>
                <w:rFonts w:ascii="Arial" w:hAnsi="Arial" w:eastAsia="Arial"/>
                <w:sz w:val="20"/>
                <w:szCs w:val="20"/>
                <w:color w:val="1F2933"/>
                <w:bCs/>
              </w:rPr>
              <w:t xml:space="preserve">Jurisdiction</w:t>
            </w:r>
          </w:p>
        </w:tc>
        <w:tc>
          <w:tcPr>
            <w:tcW w:w="2340" w:type="dxa"/>
            <w:shd w:fill="F2F4F6"/>
          </w:tcPr>
          <w:p>
            <w:pPr>
              <w:spacing w:before="0" w:after="80" w:line="240" w:lineRule="auto"/>
              <w:pStyle w:val="Normal"/>
            </w:pPr>
            <w:r>
              <w:rPr>
                <w:b/>
                <w:rFonts w:ascii="Arial" w:hAnsi="Arial" w:eastAsia="Arial"/>
                <w:sz w:val="20"/>
                <w:szCs w:val="20"/>
                <w:color w:val="1F2933"/>
                <w:bCs/>
              </w:rPr>
              <w:t xml:space="preserve">Primary concern</w:t>
            </w:r>
          </w:p>
        </w:tc>
        <w:tc>
          <w:tcPr>
            <w:tcW w:w="2340" w:type="dxa"/>
            <w:shd w:fill="F2F4F6"/>
          </w:tcPr>
          <w:p>
            <w:pPr>
              <w:spacing w:before="0" w:after="80" w:line="240" w:lineRule="auto"/>
              <w:pStyle w:val="Normal"/>
            </w:pPr>
            <w:r>
              <w:rPr>
                <w:b/>
                <w:rFonts w:ascii="Arial" w:hAnsi="Arial" w:eastAsia="Arial"/>
                <w:sz w:val="20"/>
                <w:szCs w:val="20"/>
                <w:color w:val="1F2933"/>
                <w:bCs/>
              </w:rPr>
              <w:t xml:space="preserve">Interpretation from this dataset</w:t>
            </w:r>
          </w:p>
        </w:tc>
        <w:tc>
          <w:tcPr>
            <w:tcW w:w="2340" w:type="dxa"/>
            <w:shd w:fill="F2F4F6"/>
          </w:tcPr>
          <w:p>
            <w:pPr>
              <w:spacing w:before="0" w:after="80" w:line="240" w:lineRule="auto"/>
              <w:pStyle w:val="Normal"/>
            </w:pPr>
            <w:r>
              <w:rPr>
                <w:b/>
                <w:rFonts w:ascii="Arial" w:hAnsi="Arial" w:eastAsia="Arial"/>
                <w:sz w:val="20"/>
                <w:szCs w:val="20"/>
                <w:color w:val="1F2933"/>
                <w:bCs/>
              </w:rPr>
              <w:t xml:space="preserve">Prototype output</w:t>
            </w:r>
          </w:p>
        </w:tc>
      </w:tr>
      <w:tr>
        <w:tc>
          <w:tcPr>
            <w:tcW w:w="2340" w:type="dxa"/>
          </w:tcPr>
          <w:p>
            <w:pPr>
              <w:spacing w:before="0" w:after="80" w:line="240" w:lineRule="auto"/>
              <w:pStyle w:val="Normal"/>
            </w:pPr>
            <w:r>
              <w:rPr>
                <w:rFonts w:ascii="Arial" w:hAnsi="Arial" w:eastAsia="Arial"/>
                <w:sz w:val="20"/>
                <w:szCs w:val="20"/>
                <w:color w:val="1F2933"/>
              </w:rPr>
              <w:t xml:space="preserve">OCC / United States</w:t>
            </w:r>
          </w:p>
        </w:tc>
        <w:tc>
          <w:tcPr>
            <w:tcW w:w="2340" w:type="dxa"/>
          </w:tcPr>
          <w:p>
            <w:pPr>
              <w:spacing w:before="0" w:after="80" w:line="240" w:lineRule="auto"/>
              <w:pStyle w:val="Normal"/>
            </w:pPr>
            <w:r>
              <w:rPr>
                <w:rFonts w:ascii="Arial" w:hAnsi="Arial" w:eastAsia="Arial"/>
                <w:sz w:val="20"/>
                <w:szCs w:val="20"/>
                <w:color w:val="1F2933"/>
              </w:rPr>
              <w:t xml:space="preserve">Fair lending, adverse action, consumer harm</w:t>
            </w:r>
          </w:p>
        </w:tc>
        <w:tc>
          <w:tcPr>
            <w:tcW w:w="2340" w:type="dxa"/>
          </w:tcPr>
          <w:p>
            <w:pPr>
              <w:spacing w:before="0" w:after="80" w:line="240" w:lineRule="auto"/>
              <w:pStyle w:val="Normal"/>
            </w:pPr>
            <w:r>
              <w:rPr>
                <w:rFonts w:ascii="Arial" w:hAnsi="Arial" w:eastAsia="Arial"/>
                <w:sz w:val="20"/>
                <w:szCs w:val="20"/>
                <w:color w:val="1F2933"/>
              </w:rPr>
              <w:t xml:space="preserve">Gender and ethnicity approval gaps are small, but employment-status gap and deteriorating performance justify review.</w:t>
            </w:r>
          </w:p>
        </w:tc>
        <w:tc>
          <w:tcPr>
            <w:tcW w:w="2340" w:type="dxa"/>
          </w:tcPr>
          <w:p>
            <w:pPr>
              <w:spacing w:before="0" w:after="80" w:line="240" w:lineRule="auto"/>
              <w:pStyle w:val="Normal"/>
            </w:pPr>
            <w:r>
              <w:rPr>
                <w:rFonts w:ascii="Arial" w:hAnsi="Arial" w:eastAsia="Arial"/>
                <w:sz w:val="20"/>
                <w:szCs w:val="20"/>
                <w:color w:val="1F2933"/>
              </w:rPr>
              <w:t xml:space="preserve">Amber: fair-lending and adverse action review</w:t>
            </w:r>
          </w:p>
        </w:tc>
      </w:tr>
      <w:tr>
        <w:tc>
          <w:tcPr>
            <w:tcW w:w="2340" w:type="dxa"/>
          </w:tcPr>
          <w:p>
            <w:pPr>
              <w:spacing w:before="0" w:after="80" w:line="240" w:lineRule="auto"/>
              <w:pStyle w:val="Normal"/>
            </w:pPr>
            <w:r>
              <w:rPr>
                <w:rFonts w:ascii="Arial" w:hAnsi="Arial" w:eastAsia="Arial"/>
                <w:sz w:val="20"/>
                <w:szCs w:val="20"/>
                <w:color w:val="1F2933"/>
              </w:rPr>
              <w:t xml:space="preserve">MAS / Singapore</w:t>
            </w:r>
          </w:p>
        </w:tc>
        <w:tc>
          <w:tcPr>
            <w:tcW w:w="2340" w:type="dxa"/>
          </w:tcPr>
          <w:p>
            <w:pPr>
              <w:spacing w:before="0" w:after="80" w:line="240" w:lineRule="auto"/>
              <w:pStyle w:val="Normal"/>
            </w:pPr>
            <w:r>
              <w:rPr>
                <w:rFonts w:ascii="Arial" w:hAnsi="Arial" w:eastAsia="Arial"/>
                <w:sz w:val="20"/>
                <w:szCs w:val="20"/>
                <w:color w:val="1F2933"/>
              </w:rPr>
              <w:t xml:space="preserve">AI governance, model drift, validation, oversight</w:t>
            </w:r>
          </w:p>
        </w:tc>
        <w:tc>
          <w:tcPr>
            <w:tcW w:w="2340" w:type="dxa"/>
          </w:tcPr>
          <w:p>
            <w:pPr>
              <w:spacing w:before="0" w:after="80" w:line="240" w:lineRule="auto"/>
              <w:pStyle w:val="Normal"/>
            </w:pPr>
            <w:r>
              <w:rPr>
                <w:rFonts w:ascii="Arial" w:hAnsi="Arial" w:eastAsia="Arial"/>
                <w:sz w:val="20"/>
                <w:szCs w:val="20"/>
                <w:color w:val="1F2933"/>
              </w:rPr>
              <w:t xml:space="preserve">Model score PSI is above the significant-drift threshold and live default risk is materially higher.</w:t>
            </w:r>
          </w:p>
        </w:tc>
        <w:tc>
          <w:tcPr>
            <w:tcW w:w="2340" w:type="dxa"/>
          </w:tcPr>
          <w:p>
            <w:pPr>
              <w:spacing w:before="0" w:after="80" w:line="240" w:lineRule="auto"/>
              <w:pStyle w:val="Normal"/>
            </w:pPr>
            <w:r>
              <w:rPr>
                <w:rFonts w:ascii="Arial" w:hAnsi="Arial" w:eastAsia="Arial"/>
                <w:sz w:val="20"/>
                <w:szCs w:val="20"/>
                <w:color w:val="1F2933"/>
              </w:rPr>
              <w:t xml:space="preserve">Red: governance escalation and validation review</w:t>
            </w:r>
          </w:p>
        </w:tc>
      </w:tr>
    </w:tbl>
    <w:p>
      <w:pPr>
        <w:spacing w:before="0" w:after="120" w:line="276" w:lineRule="auto"/>
        <w:pStyle w:val="Normal"/>
      </w:pPr>
      <w:r>
        <w:rPr>
          <w:rFonts w:ascii="Arial" w:hAnsi="Arial" w:eastAsia="Arial"/>
          <w:sz w:val="22"/>
          <w:szCs w:val="22"/>
          <w:color w:val="1F2933"/>
        </w:rPr>
        <w:t xml:space="preserve">The difference between OCC and MAS is therefore a difference in emphasis. The OCC lens asks whether the model creates unfair lending outcomes or weak adverse action explanations. The MAS lens asks whether the bank is governing a changed model environment responsibly. In this dataset, the OCC result is best framed as an amber review, while the MAS result is closer to a red governance escalation.</w:t>
      </w:r>
    </w:p>
    <w:p>
      <w:pPr>
        <w:pStyle w:val="Heading1"/>
        <w:spacing w:before="240" w:after="100" w:line="276" w:lineRule="auto"/>
      </w:pPr>
      <w:r>
        <w:rPr>
          <w:rFonts w:ascii="Arial" w:hAnsi="Arial" w:eastAsia="Arial"/>
          <w:sz w:val="28"/>
          <w:szCs w:val="28"/>
          <w:color w:val="0F1720"/>
          <w:b/>
          <w:bCs/>
        </w:rPr>
        <w:t xml:space="preserve">7. Recommendation</w:t>
      </w:r>
    </w:p>
    <w:p>
      <w:pPr>
        <w:spacing w:before="0" w:after="120" w:line="276" w:lineRule="auto"/>
        <w:pStyle w:val="Normal"/>
      </w:pPr>
      <w:r>
        <w:rPr>
          <w:rFonts w:ascii="Arial" w:hAnsi="Arial" w:eastAsia="Arial"/>
          <w:sz w:val="22"/>
          <w:szCs w:val="22"/>
          <w:color w:val="1F2933"/>
        </w:rPr>
        <w:t xml:space="preserve">RegLens AI's recommendation is that the bank should not continue relying on the original validation evidence alone. A refreshed validation exercise should be performed, including PSI monitoring, AUC review, score-band default analysis, subgroup approval monitoring and documentation of adverse action explanations. The model may not need to be withdrawn immediately, but it should be recalibrated or benchmarked against a challenger model before continued large-scale use.</w:t>
      </w:r>
    </w:p>
    <w:p>
      <w:pPr>
        <w:pStyle w:val="Heading1"/>
        <w:spacing w:before="240" w:after="100" w:line="276" w:lineRule="auto"/>
      </w:pPr>
      <w:r>
        <w:rPr>
          <w:rFonts w:ascii="Arial" w:hAnsi="Arial" w:eastAsia="Arial"/>
          <w:sz w:val="28"/>
          <w:szCs w:val="28"/>
          <w:color w:val="0F1720"/>
          <w:b/>
          <w:bCs/>
        </w:rPr>
        <w:t xml:space="preserve">References</w:t>
      </w:r>
    </w:p>
    <w:p>
      <w:pPr>
        <w:spacing w:before="0" w:after="80" w:line="240" w:lineRule="auto"/>
        <w:ind w:left="360" w:hanging="360"/>
        <w:pStyle w:val="Reference"/>
      </w:pPr>
      <w:r>
        <w:rPr>
          <w:rFonts w:ascii="Arial" w:hAnsi="Arial" w:eastAsia="Arial"/>
          <w:sz w:val="20"/>
          <w:szCs w:val="20"/>
          <w:color w:val="1F2933"/>
        </w:rPr>
        <w:t xml:space="preserve">Office of the Comptroller of the Currency. Model Risk Management: Revised Guidance, OCC Bulletin 2026-13.</w:t>
      </w:r>
    </w:p>
    <w:p>
      <w:pPr>
        <w:spacing w:before="0" w:after="80" w:line="240" w:lineRule="auto"/>
        <w:ind w:left="360" w:hanging="360"/>
        <w:pStyle w:val="Reference"/>
      </w:pPr>
      <w:r>
        <w:rPr>
          <w:rFonts w:ascii="Arial" w:hAnsi="Arial" w:eastAsia="Arial"/>
          <w:sz w:val="20"/>
          <w:szCs w:val="20"/>
          <w:color w:val="1F2933"/>
        </w:rPr>
        <w:t xml:space="preserve">Consumer Financial Protection Bureau. Guidance on credit denials by lenders using artificial intelligence.</w:t>
      </w:r>
    </w:p>
    <w:p>
      <w:pPr>
        <w:spacing w:before="0" w:after="80" w:line="240" w:lineRule="auto"/>
        <w:ind w:left="360" w:hanging="360"/>
        <w:pStyle w:val="Reference"/>
      </w:pPr>
      <w:r>
        <w:rPr>
          <w:rFonts w:ascii="Arial" w:hAnsi="Arial" w:eastAsia="Arial"/>
          <w:sz w:val="20"/>
          <w:szCs w:val="20"/>
          <w:color w:val="1F2933"/>
        </w:rPr>
        <w:t xml:space="preserve">Monetary Authority of Singapore. FEAT Principles and Responsible AI/Data Analytics guidance.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eastAsia="Arial"/>
        <w:sz w:val="22"/>
        <w:color w:val="1F2933"/>
      </w:rPr>
    </w:rPrDefault>
    <w:pPrDefault>
      <w:pPr>
        <w:spacing w:after="120" w:line="276" w:lineRule="auto"/>
      </w:pPr>
    </w:pPrDefault>
  </w:docDefaults>
  <w:style w:type="paragraph" w:default="1" w:styleId="Normal">
    <w:name w:val="Normal"/>
    <w:rPr>
      <w:rFonts w:ascii="Arial" w:hAnsi="Arial" w:eastAsia="Arial"/>
      <w:sz w:val="22"/>
      <w:color w:val="1F2933"/>
    </w:rPr>
    <w:pPr>
      <w:spacing w:after="120" w:line="276" w:lineRule="auto"/>
    </w:pPr>
  </w:style>
  <w:style w:type="paragraph" w:styleId="Title">
    <w:name w:val="Title"/>
    <w:basedOn w:val="Normal"/>
    <w:pPr>
      <w:spacing w:after="160"/>
    </w:pPr>
    <w:rPr>
      <w:b/>
      <w:rFonts w:ascii="Arial" w:hAnsi="Arial" w:eastAsia="Arial"/>
      <w:sz w:val="40"/>
      <w:color w:val="0F1720"/>
    </w:rPr>
  </w:style>
  <w:style w:type="paragraph" w:styleId="Subtitle">
    <w:name w:val="Subtitle"/>
    <w:basedOn w:val="Normal"/>
    <w:pPr>
      <w:spacing w:after="240"/>
    </w:pPr>
    <w:rPr>
      <w:rFonts w:ascii="Arial" w:hAnsi="Arial" w:eastAsia="Arial"/>
      <w:sz w:val="24"/>
      <w:color w:val="475569"/>
    </w:rPr>
  </w:style>
  <w:style w:type="paragraph" w:styleId="Heading1">
    <w:name w:val="heading 1"/>
    <w:basedOn w:val="Normal"/>
    <w:pPr>
      <w:spacing w:before="240" w:after="100"/>
      <w:outlineLvl w:val="0"/>
    </w:pPr>
    <w:rPr>
      <w:b/>
      <w:rFonts w:ascii="Arial" w:hAnsi="Arial" w:eastAsia="Arial"/>
      <w:sz w:val="28"/>
      <w:color w:val="0F1720"/>
    </w:rPr>
  </w:style>
  <w:style w:type="paragraph" w:styleId="Heading2">
    <w:name w:val="heading 2"/>
    <w:basedOn w:val="Normal"/>
    <w:pPr>
      <w:spacing w:before="200" w:after="80"/>
      <w:outlineLvl w:val="1"/>
    </w:pPr>
    <w:rPr>
      <w:b/>
      <w:rFonts w:ascii="Arial" w:hAnsi="Arial" w:eastAsia="Arial"/>
      <w:sz w:val="24"/>
      <w:color w:val="0F1720"/>
    </w:rPr>
  </w:style>
  <w:style w:type="paragraph" w:styleId="Reference">
    <w:name w:val="Reference"/>
    <w:basedOn w:val="Normal"/>
    <w:pPr>
      <w:spacing w:after="80" w:line="240" w:lineRule="auto"/>
      <w:ind w:left="360" w:hanging="360"/>
    </w:pPr>
    <w:rPr>
      <w:rFonts w:ascii="Arial" w:hAnsi="Arial" w:eastAsia="Arial"/>
      <w:sz w:val="20"/>
      <w:color w:val="1F2933"/>
    </w:rPr>
  </w:style>
</w:styl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Report</dc:title>
  <dc:creator>Codex</dc:creator>
  <cp:lastModifiedBy>Codex</cp:lastModifiedBy>
</cp:coreProperties>
</file>

<file path=word\_rels\document.xml.rels>&#65279;<?xml version="1.0" encoding="UTF-8" standalone="yes"?>
<Relationships xmlns="http://schemas.openxmlformats.org/package/2006/relationships">
<Relationship Id="rStyle" Type="http://schemas.openxmlformats.org/officeDocument/2006/relationships/styles" Target="styles.xml"/>
<Relationship Id="rId1" Type="http://schemas.openxmlformats.org/officeDocument/2006/relationships/image" Target="media/Task3_Report_Key_Metric_Changes.png"/><Relationship Id="rId2" Type="http://schemas.openxmlformats.org/officeDocument/2006/relationships/image" Target="media/Task3_Report_PSI_by_Variable.png"/><Relationship Id="rId3" Type="http://schemas.openxmlformats.org/officeDocument/2006/relationships/image" Target="media/Task3_Report_Live_Approval_Rates.png"/>
</Relationships>

</file>