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DAF" w:rsidRDefault="00A57DAF" w:rsidP="00A57DAF">
      <w:pPr>
        <w:jc w:val="center"/>
        <w:rPr>
          <w:b/>
          <w:bCs/>
          <w:color w:val="548DD4" w:themeColor="text2" w:themeTint="99"/>
          <w:sz w:val="36"/>
          <w:szCs w:val="36"/>
          <w:u w:val="single"/>
        </w:rPr>
      </w:pPr>
      <w:r w:rsidRPr="00A57DAF">
        <w:rPr>
          <w:b/>
          <w:bCs/>
          <w:color w:val="548DD4" w:themeColor="text2" w:themeTint="99"/>
          <w:sz w:val="36"/>
          <w:szCs w:val="36"/>
          <w:u w:val="single"/>
        </w:rPr>
        <w:t xml:space="preserve">Accounting and Financial Analytics with </w:t>
      </w:r>
      <w:proofErr w:type="spellStart"/>
      <w:r w:rsidRPr="00A57DAF">
        <w:rPr>
          <w:b/>
          <w:bCs/>
          <w:color w:val="548DD4" w:themeColor="text2" w:themeTint="99"/>
          <w:sz w:val="36"/>
          <w:szCs w:val="36"/>
          <w:u w:val="single"/>
        </w:rPr>
        <w:t>zoho</w:t>
      </w:r>
      <w:proofErr w:type="spellEnd"/>
      <w:r w:rsidRPr="00A57DAF">
        <w:rPr>
          <w:b/>
          <w:bCs/>
          <w:color w:val="548DD4" w:themeColor="text2" w:themeTint="99"/>
          <w:sz w:val="36"/>
          <w:szCs w:val="36"/>
          <w:u w:val="single"/>
        </w:rPr>
        <w:t xml:space="preserve"> books </w:t>
      </w:r>
    </w:p>
    <w:p w:rsidR="00A57DAF" w:rsidRPr="00A57DAF" w:rsidRDefault="00A57DAF" w:rsidP="00A57DAF">
      <w:pPr>
        <w:jc w:val="center"/>
        <w:rPr>
          <w:b/>
          <w:bCs/>
          <w:color w:val="548DD4" w:themeColor="text2" w:themeTint="99"/>
          <w:sz w:val="36"/>
          <w:szCs w:val="36"/>
          <w:u w:val="single"/>
        </w:rPr>
      </w:pPr>
      <w:r w:rsidRPr="00A57DAF">
        <w:rPr>
          <w:b/>
          <w:bCs/>
        </w:rPr>
        <w:t>Assignment – 4</w:t>
      </w:r>
    </w:p>
    <w:p w:rsidR="00A57DAF" w:rsidRPr="00A57DAF" w:rsidRDefault="00A57DAF" w:rsidP="00A57DAF">
      <w:pPr>
        <w:jc w:val="center"/>
        <w:rPr>
          <w:b/>
          <w:bCs/>
        </w:rPr>
      </w:pPr>
      <w:r w:rsidRPr="00A57DAF">
        <w:rPr>
          <w:b/>
          <w:bCs/>
        </w:rPr>
        <w:t>Task 1 – Stock Market Analysis</w:t>
      </w:r>
    </w:p>
    <w:p w:rsidR="00A57DAF" w:rsidRPr="00A57DAF" w:rsidRDefault="00A57DAF" w:rsidP="00A57DAF">
      <w:pPr>
        <w:jc w:val="center"/>
        <w:rPr>
          <w:b/>
          <w:bCs/>
          <w:u w:val="single"/>
        </w:rPr>
      </w:pPr>
      <w:r w:rsidRPr="00A57DAF">
        <w:rPr>
          <w:b/>
          <w:bCs/>
          <w:u w:val="single"/>
        </w:rPr>
        <w:t>TITLE: ANALYSING THE PERFORMANCE OF TATA CONSULTANCY SERVIES (TCS)</w:t>
      </w:r>
    </w:p>
    <w:p w:rsidR="00A57DAF" w:rsidRDefault="00A57DAF" w:rsidP="00A57DAF">
      <w:pPr>
        <w:spacing w:after="480"/>
        <w:jc w:val="both"/>
        <w:rPr>
          <w:sz w:val="32"/>
          <w:szCs w:val="32"/>
        </w:rPr>
      </w:pPr>
      <w:proofErr w:type="gramStart"/>
      <w:r w:rsidRPr="00A57DAF">
        <w:rPr>
          <w:b/>
          <w:bCs/>
          <w:color w:val="auto"/>
          <w:sz w:val="36"/>
          <w:szCs w:val="36"/>
          <w:u w:val="single"/>
        </w:rPr>
        <w:t>Objective</w:t>
      </w:r>
      <w:r w:rsidRPr="00A57DAF">
        <w:rPr>
          <w:b/>
          <w:bCs/>
          <w:sz w:val="36"/>
          <w:szCs w:val="36"/>
          <w:u w:val="single"/>
        </w:rPr>
        <w:t xml:space="preserve"> :</w:t>
      </w:r>
      <w:proofErr w:type="gramEnd"/>
      <w:r>
        <w:rPr>
          <w:b/>
          <w:bCs/>
          <w:sz w:val="32"/>
          <w:szCs w:val="32"/>
        </w:rPr>
        <w:t xml:space="preserve"> </w:t>
      </w:r>
      <w:r>
        <w:rPr>
          <w:sz w:val="32"/>
          <w:szCs w:val="32"/>
        </w:rPr>
        <w:t xml:space="preserve">Analyzing the performance of </w:t>
      </w:r>
      <w:r>
        <w:rPr>
          <w:sz w:val="32"/>
          <w:szCs w:val="32"/>
          <w:u w:val="single"/>
        </w:rPr>
        <w:t xml:space="preserve">TATA CONSULTANCY SERVIES (TCS) </w:t>
      </w:r>
      <w:r>
        <w:rPr>
          <w:sz w:val="32"/>
          <w:szCs w:val="32"/>
        </w:rPr>
        <w:t>over the past few years.</w:t>
      </w:r>
    </w:p>
    <w:p w:rsidR="00A57DAF" w:rsidRDefault="00BC2BF7" w:rsidP="00A57DAF">
      <w:pPr>
        <w:jc w:val="center"/>
        <w:rPr>
          <w:b/>
          <w:bCs/>
          <w:color w:val="548DD4" w:themeColor="text2" w:themeTint="99"/>
          <w:sz w:val="36"/>
          <w:szCs w:val="36"/>
          <w:u w:val="single"/>
        </w:rPr>
      </w:pPr>
      <w:proofErr w:type="gramStart"/>
      <w:r>
        <w:rPr>
          <w:b/>
          <w:bCs/>
          <w:color w:val="548DD4" w:themeColor="text2" w:themeTint="99"/>
          <w:sz w:val="36"/>
          <w:szCs w:val="36"/>
          <w:u w:val="single"/>
        </w:rPr>
        <w:t>1.</w:t>
      </w:r>
      <w:r w:rsidR="00A57DAF" w:rsidRPr="00A57DAF">
        <w:rPr>
          <w:b/>
          <w:bCs/>
          <w:color w:val="548DD4" w:themeColor="text2" w:themeTint="99"/>
          <w:sz w:val="36"/>
          <w:szCs w:val="36"/>
          <w:u w:val="single"/>
        </w:rPr>
        <w:t>INTRODUCTION</w:t>
      </w:r>
      <w:proofErr w:type="gramEnd"/>
    </w:p>
    <w:p w:rsidR="00F0761D" w:rsidRDefault="00F0761D" w:rsidP="00A57DAF">
      <w:pPr>
        <w:jc w:val="center"/>
        <w:rPr>
          <w:b/>
          <w:bCs/>
          <w:color w:val="548DD4" w:themeColor="text2" w:themeTint="99"/>
          <w:sz w:val="36"/>
          <w:szCs w:val="36"/>
          <w:u w:val="single"/>
        </w:rPr>
      </w:pPr>
      <w:r>
        <w:rPr>
          <w:b/>
          <w:bCs/>
          <w:noProof/>
          <w:color w:val="548DD4" w:themeColor="text2" w:themeTint="99"/>
          <w:sz w:val="36"/>
          <w:szCs w:val="36"/>
          <w:u w:val="single"/>
        </w:rPr>
        <w:drawing>
          <wp:inline distT="0" distB="0" distL="0" distR="0">
            <wp:extent cx="3371850" cy="1352550"/>
            <wp:effectExtent l="19050" t="0" r="0" b="0"/>
            <wp:docPr id="9" name="Picture 8"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3371850" cy="1352550"/>
                    </a:xfrm>
                    <a:prstGeom prst="rect">
                      <a:avLst/>
                    </a:prstGeom>
                  </pic:spPr>
                </pic:pic>
              </a:graphicData>
            </a:graphic>
          </wp:inline>
        </w:drawing>
      </w:r>
    </w:p>
    <w:p w:rsidR="00A57DAF" w:rsidRDefault="00A57DAF" w:rsidP="00A57DAF">
      <w:pPr>
        <w:rPr>
          <w:rFonts w:cs="Segoe UI"/>
          <w:color w:val="0D0D0D"/>
          <w:shd w:val="clear" w:color="auto" w:fill="FFFFFF"/>
        </w:rPr>
      </w:pPr>
      <w:r w:rsidRPr="000B5938">
        <w:rPr>
          <w:rFonts w:cs="Segoe UI"/>
          <w:color w:val="0D0D0D"/>
          <w:shd w:val="clear" w:color="auto" w:fill="FFFFFF"/>
        </w:rPr>
        <w:t>Tata Consultancy Services (TCS) is a multinational IT services, consulting, and solutions organization headquartered in Mumbai, India. It is part of the Tata Group, one of India's largest and most respected conglomerates. Established in 1968, TCS has grown to become one of the largest IT services firms globally, with operations spanning across six continents and serving clients in various industries.</w:t>
      </w:r>
    </w:p>
    <w:p w:rsidR="000B5938" w:rsidRPr="000B5938" w:rsidRDefault="000B5938" w:rsidP="00A57DAF">
      <w:pPr>
        <w:rPr>
          <w:b/>
          <w:bCs/>
          <w:color w:val="548DD4" w:themeColor="text2" w:themeTint="99"/>
          <w:sz w:val="36"/>
          <w:szCs w:val="36"/>
          <w:u w:val="single"/>
        </w:rPr>
      </w:pPr>
      <w:r w:rsidRPr="000B5938">
        <w:rPr>
          <w:rFonts w:cs="Segoe UI"/>
          <w:color w:val="0D0D0D"/>
          <w:shd w:val="clear" w:color="auto" w:fill="FFFFFF"/>
        </w:rPr>
        <w:t>Consistently recognized for its business performance, technological innovation, corporate governance, and social responsibility initiatives, TCS is a trusted partner for organizations worldwide seeking to harness the power of technology to drive growth, innovation, and transformation.</w:t>
      </w:r>
    </w:p>
    <w:p w:rsidR="00225E56" w:rsidRDefault="000B5938">
      <w:pPr>
        <w:rPr>
          <w:rFonts w:cs="Segoe UI"/>
          <w:color w:val="0D0D0D"/>
          <w:shd w:val="clear" w:color="auto" w:fill="FFFFFF"/>
        </w:rPr>
      </w:pPr>
      <w:r w:rsidRPr="000B5938">
        <w:rPr>
          <w:rFonts w:cs="Segoe UI"/>
          <w:color w:val="0D0D0D"/>
          <w:shd w:val="clear" w:color="auto" w:fill="FFFFFF"/>
        </w:rPr>
        <w:t xml:space="preserve">TCS offers a comprehensive range of services, including software development, system integration, consulting, cloud services, analytics, and business process outsourcing (BPO). It caters to diverse sectors such as banking and financial services, telecommunications, retail, manufacturing, healthcare, and more. TCS is </w:t>
      </w:r>
      <w:r w:rsidRPr="000B5938">
        <w:rPr>
          <w:rFonts w:cs="Segoe UI"/>
          <w:color w:val="0D0D0D"/>
          <w:shd w:val="clear" w:color="auto" w:fill="FFFFFF"/>
        </w:rPr>
        <w:lastRenderedPageBreak/>
        <w:t>renowned for its expertise in emerging technologies such as artificial intelligence (AI), machine learning, block chain, Internet of Things (</w:t>
      </w:r>
      <w:proofErr w:type="spellStart"/>
      <w:r w:rsidRPr="000B5938">
        <w:rPr>
          <w:rFonts w:cs="Segoe UI"/>
          <w:color w:val="0D0D0D"/>
          <w:shd w:val="clear" w:color="auto" w:fill="FFFFFF"/>
        </w:rPr>
        <w:t>IoT</w:t>
      </w:r>
      <w:proofErr w:type="spellEnd"/>
      <w:r w:rsidRPr="000B5938">
        <w:rPr>
          <w:rFonts w:cs="Segoe UI"/>
          <w:color w:val="0D0D0D"/>
          <w:shd w:val="clear" w:color="auto" w:fill="FFFFFF"/>
        </w:rPr>
        <w:t>), and cyber security.</w:t>
      </w:r>
    </w:p>
    <w:p w:rsidR="000B5938" w:rsidRPr="000B5938" w:rsidRDefault="000B5938" w:rsidP="000B5938">
      <w:pPr>
        <w:rPr>
          <w:kern w:val="0"/>
        </w:rPr>
      </w:pPr>
      <w:r w:rsidRPr="000B5938">
        <w:rPr>
          <w:b/>
          <w:i/>
          <w:kern w:val="0"/>
          <w:sz w:val="32"/>
          <w:szCs w:val="32"/>
        </w:rPr>
        <w:t>Founding and History</w:t>
      </w:r>
      <w:r w:rsidRPr="000B5938">
        <w:rPr>
          <w:kern w:val="0"/>
        </w:rPr>
        <w:t>:</w:t>
      </w:r>
    </w:p>
    <w:p w:rsidR="000B5938" w:rsidRPr="000B5938" w:rsidRDefault="000B5938" w:rsidP="000B5938">
      <w:pPr>
        <w:rPr>
          <w:kern w:val="0"/>
        </w:rPr>
      </w:pPr>
      <w:r w:rsidRPr="000B5938">
        <w:rPr>
          <w:kern w:val="0"/>
        </w:rPr>
        <w:t>TCS was founded in 1968 as a division of Tata Sons, the holding company of the Tata Group.</w:t>
      </w:r>
    </w:p>
    <w:p w:rsidR="000B5938" w:rsidRPr="000B5938" w:rsidRDefault="000B5938" w:rsidP="000B5938">
      <w:pPr>
        <w:rPr>
          <w:kern w:val="0"/>
        </w:rPr>
      </w:pPr>
      <w:r w:rsidRPr="000B5938">
        <w:rPr>
          <w:kern w:val="0"/>
        </w:rPr>
        <w:t xml:space="preserve">It was established by the legendary Indian industrialist J.R.D. Tata, along with </w:t>
      </w:r>
      <w:r>
        <w:rPr>
          <w:kern w:val="0"/>
        </w:rPr>
        <w:t xml:space="preserve">  </w:t>
      </w:r>
      <w:r w:rsidRPr="000B5938">
        <w:rPr>
          <w:kern w:val="0"/>
        </w:rPr>
        <w:t xml:space="preserve">F.C. </w:t>
      </w:r>
      <w:proofErr w:type="spellStart"/>
      <w:r w:rsidRPr="000B5938">
        <w:rPr>
          <w:kern w:val="0"/>
        </w:rPr>
        <w:t>Kohli</w:t>
      </w:r>
      <w:proofErr w:type="spellEnd"/>
      <w:r w:rsidRPr="000B5938">
        <w:rPr>
          <w:kern w:val="0"/>
        </w:rPr>
        <w:t>, who is often referred to as the father of the Indian software industry.</w:t>
      </w:r>
    </w:p>
    <w:p w:rsidR="000B5938" w:rsidRDefault="000B5938" w:rsidP="000B5938">
      <w:pPr>
        <w:rPr>
          <w:kern w:val="0"/>
        </w:rPr>
      </w:pPr>
      <w:r w:rsidRPr="000B5938">
        <w:rPr>
          <w:kern w:val="0"/>
        </w:rPr>
        <w:t>Initially, TCS provided punched card services to sister company Tata Steel. Over time, it expanded into software services and IT consulting.</w:t>
      </w:r>
    </w:p>
    <w:p w:rsidR="000B5938" w:rsidRPr="000B5938" w:rsidRDefault="000B5938" w:rsidP="000B5938">
      <w:pPr>
        <w:rPr>
          <w:b/>
          <w:kern w:val="0"/>
          <w:sz w:val="32"/>
          <w:szCs w:val="32"/>
        </w:rPr>
      </w:pPr>
      <w:r w:rsidRPr="000B5938">
        <w:rPr>
          <w:b/>
          <w:kern w:val="0"/>
          <w:sz w:val="32"/>
          <w:szCs w:val="32"/>
        </w:rPr>
        <w:t>Core Business:</w:t>
      </w:r>
    </w:p>
    <w:p w:rsidR="000B5938" w:rsidRPr="000B5938" w:rsidRDefault="000B5938" w:rsidP="000B5938">
      <w:pPr>
        <w:rPr>
          <w:kern w:val="0"/>
        </w:rPr>
      </w:pPr>
      <w:r w:rsidRPr="000B5938">
        <w:rPr>
          <w:kern w:val="0"/>
        </w:rPr>
        <w:t>TCS primarily offers a wide range of IT services, including software development, system integration, consulting, cloud services, analytics, and business process outsourcing (BPO).</w:t>
      </w:r>
    </w:p>
    <w:p w:rsidR="000B5938" w:rsidRPr="000B5938" w:rsidRDefault="000B5938" w:rsidP="000B5938">
      <w:pPr>
        <w:rPr>
          <w:kern w:val="0"/>
        </w:rPr>
      </w:pPr>
      <w:r w:rsidRPr="000B5938">
        <w:rPr>
          <w:kern w:val="0"/>
        </w:rPr>
        <w:t>The company serves various industries, including banking and financial services, telecommunications, retail, manufacturing, healthcare, and more.</w:t>
      </w:r>
    </w:p>
    <w:p w:rsidR="000B5938" w:rsidRDefault="000B5938" w:rsidP="000B5938">
      <w:pPr>
        <w:rPr>
          <w:kern w:val="0"/>
        </w:rPr>
      </w:pPr>
      <w:r w:rsidRPr="000B5938">
        <w:rPr>
          <w:kern w:val="0"/>
        </w:rPr>
        <w:t>TCS has expertise in emerging technologies such as artificial intelligence (AI), machine learning, block chain, Internet of Things (</w:t>
      </w:r>
      <w:proofErr w:type="spellStart"/>
      <w:r w:rsidRPr="000B5938">
        <w:rPr>
          <w:kern w:val="0"/>
        </w:rPr>
        <w:t>IoT</w:t>
      </w:r>
      <w:proofErr w:type="spellEnd"/>
      <w:r w:rsidRPr="000B5938">
        <w:rPr>
          <w:kern w:val="0"/>
        </w:rPr>
        <w:t>), and cyber security.</w:t>
      </w:r>
    </w:p>
    <w:p w:rsidR="000B5938" w:rsidRPr="000B5938" w:rsidRDefault="000B5938" w:rsidP="000B5938">
      <w:pPr>
        <w:rPr>
          <w:b/>
          <w:kern w:val="0"/>
          <w:sz w:val="32"/>
          <w:szCs w:val="32"/>
        </w:rPr>
      </w:pPr>
      <w:r w:rsidRPr="000B5938">
        <w:rPr>
          <w:b/>
          <w:kern w:val="0"/>
          <w:sz w:val="32"/>
          <w:szCs w:val="32"/>
        </w:rPr>
        <w:t>Revenue and Market Position:</w:t>
      </w:r>
    </w:p>
    <w:p w:rsidR="000B5938" w:rsidRPr="000B5938" w:rsidRDefault="000B5938" w:rsidP="000B5938">
      <w:pPr>
        <w:rPr>
          <w:kern w:val="0"/>
        </w:rPr>
      </w:pPr>
      <w:r w:rsidRPr="000B5938">
        <w:rPr>
          <w:kern w:val="0"/>
        </w:rPr>
        <w:t>TCS is consistently ranked among the top IT services companies globally in terms of revenue and market capitalization.</w:t>
      </w:r>
    </w:p>
    <w:p w:rsidR="000B5938" w:rsidRPr="000B5938" w:rsidRDefault="000B5938" w:rsidP="000B5938">
      <w:pPr>
        <w:rPr>
          <w:kern w:val="0"/>
        </w:rPr>
      </w:pPr>
      <w:r w:rsidRPr="000B5938">
        <w:rPr>
          <w:kern w:val="0"/>
        </w:rPr>
        <w:t>It is one of the largest employers in the IT industry, with a vast workforce comprising skilled professionals from diverse backgrounds.</w:t>
      </w:r>
    </w:p>
    <w:p w:rsidR="000B5938" w:rsidRPr="000B5938" w:rsidRDefault="000B5938" w:rsidP="000B5938">
      <w:pPr>
        <w:rPr>
          <w:b/>
          <w:kern w:val="0"/>
          <w:sz w:val="32"/>
          <w:szCs w:val="32"/>
        </w:rPr>
      </w:pPr>
      <w:r w:rsidRPr="000B5938">
        <w:rPr>
          <w:b/>
          <w:kern w:val="0"/>
          <w:sz w:val="32"/>
          <w:szCs w:val="32"/>
        </w:rPr>
        <w:t>Global Presence:</w:t>
      </w:r>
    </w:p>
    <w:p w:rsidR="000B5938" w:rsidRPr="000B5938" w:rsidRDefault="000B5938" w:rsidP="000B5938">
      <w:pPr>
        <w:rPr>
          <w:kern w:val="0"/>
        </w:rPr>
      </w:pPr>
      <w:r w:rsidRPr="000B5938">
        <w:rPr>
          <w:kern w:val="0"/>
        </w:rPr>
        <w:t>TCS has a significant global footprint, with operations spanning across six continents.</w:t>
      </w:r>
    </w:p>
    <w:p w:rsidR="000B5938" w:rsidRPr="000B5938" w:rsidRDefault="000B5938" w:rsidP="000B5938">
      <w:pPr>
        <w:rPr>
          <w:kern w:val="0"/>
        </w:rPr>
      </w:pPr>
      <w:r w:rsidRPr="000B5938">
        <w:rPr>
          <w:kern w:val="0"/>
        </w:rPr>
        <w:lastRenderedPageBreak/>
        <w:t>It operates in over 50 countries, serving clients in diverse regions and industries.</w:t>
      </w:r>
    </w:p>
    <w:p w:rsidR="000B5938" w:rsidRDefault="000B5938" w:rsidP="000B5938">
      <w:pPr>
        <w:rPr>
          <w:kern w:val="0"/>
        </w:rPr>
      </w:pPr>
      <w:r w:rsidRPr="000B5938">
        <w:rPr>
          <w:kern w:val="0"/>
        </w:rPr>
        <w:t>TCS has delivery centers and offices strategically located worldwide to provide seamless services to its clients.</w:t>
      </w:r>
    </w:p>
    <w:p w:rsidR="000B5938" w:rsidRPr="000B5938" w:rsidRDefault="000B5938" w:rsidP="000B5938">
      <w:pPr>
        <w:rPr>
          <w:kern w:val="0"/>
        </w:rPr>
      </w:pPr>
    </w:p>
    <w:p w:rsidR="000B5938" w:rsidRPr="000B5938" w:rsidRDefault="000B5938" w:rsidP="000B5938">
      <w:pPr>
        <w:rPr>
          <w:kern w:val="0"/>
        </w:rPr>
      </w:pPr>
    </w:p>
    <w:p w:rsidR="000B5938" w:rsidRPr="00BC2BF7" w:rsidRDefault="009422B1" w:rsidP="009422B1">
      <w:pPr>
        <w:jc w:val="center"/>
        <w:rPr>
          <w:rFonts w:asciiTheme="minorHAnsi" w:hAnsiTheme="minorHAnsi"/>
          <w:b/>
          <w:color w:val="auto"/>
          <w:kern w:val="0"/>
          <w:sz w:val="36"/>
          <w:szCs w:val="36"/>
          <w:u w:val="single"/>
        </w:rPr>
      </w:pPr>
      <w:r w:rsidRPr="00BC2BF7">
        <w:rPr>
          <w:rFonts w:asciiTheme="minorHAnsi" w:hAnsiTheme="minorHAnsi"/>
          <w:b/>
          <w:color w:val="auto"/>
          <w:sz w:val="36"/>
          <w:szCs w:val="36"/>
          <w:u w:val="single"/>
        </w:rPr>
        <w:t>DATA ANALYSIS</w:t>
      </w:r>
    </w:p>
    <w:p w:rsidR="000B5938" w:rsidRDefault="009422B1" w:rsidP="00AC16DB">
      <w:pPr>
        <w:pStyle w:val="ListParagraph"/>
        <w:rPr>
          <w:sz w:val="36"/>
          <w:szCs w:val="36"/>
        </w:rPr>
      </w:pPr>
      <w:r>
        <w:rPr>
          <w:noProof/>
          <w:sz w:val="36"/>
          <w:szCs w:val="36"/>
        </w:rPr>
        <w:drawing>
          <wp:inline distT="0" distB="0" distL="0" distR="0">
            <wp:extent cx="4781550" cy="3476625"/>
            <wp:effectExtent l="19050" t="0" r="0" b="0"/>
            <wp:docPr id="4" name="Picture 0" descr="4ca45806-8ffd-40ed-9736-a50fef287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a45806-8ffd-40ed-9736-a50fef287603.jpg"/>
                    <pic:cNvPicPr/>
                  </pic:nvPicPr>
                  <pic:blipFill>
                    <a:blip r:embed="rId6"/>
                    <a:stretch>
                      <a:fillRect/>
                    </a:stretch>
                  </pic:blipFill>
                  <pic:spPr>
                    <a:xfrm>
                      <a:off x="0" y="0"/>
                      <a:ext cx="4781550" cy="3476625"/>
                    </a:xfrm>
                    <a:prstGeom prst="rect">
                      <a:avLst/>
                    </a:prstGeom>
                  </pic:spPr>
                </pic:pic>
              </a:graphicData>
            </a:graphic>
          </wp:inline>
        </w:drawing>
      </w:r>
    </w:p>
    <w:p w:rsidR="009422B1" w:rsidRDefault="009422B1" w:rsidP="00AC16DB">
      <w:pPr>
        <w:pStyle w:val="ListParagraph"/>
        <w:jc w:val="center"/>
        <w:rPr>
          <w:sz w:val="36"/>
          <w:szCs w:val="36"/>
        </w:rPr>
      </w:pPr>
    </w:p>
    <w:p w:rsidR="009422B1" w:rsidRDefault="009422B1" w:rsidP="00AC16DB">
      <w:pPr>
        <w:pStyle w:val="ListParagraph"/>
        <w:jc w:val="center"/>
        <w:rPr>
          <w:rFonts w:asciiTheme="minorHAnsi" w:hAnsiTheme="minorHAnsi"/>
          <w:b/>
          <w:color w:val="548DD4" w:themeColor="text2" w:themeTint="99"/>
          <w:sz w:val="36"/>
          <w:szCs w:val="36"/>
          <w:u w:val="single"/>
        </w:rPr>
      </w:pPr>
    </w:p>
    <w:p w:rsidR="009422B1" w:rsidRPr="009422B1" w:rsidRDefault="009422B1" w:rsidP="00AC16DB">
      <w:pPr>
        <w:pStyle w:val="ListParagraph"/>
        <w:rPr>
          <w:rFonts w:asciiTheme="minorHAnsi" w:hAnsiTheme="minorHAnsi"/>
          <w:b/>
          <w:color w:val="548DD4" w:themeColor="text2" w:themeTint="99"/>
          <w:sz w:val="36"/>
          <w:szCs w:val="36"/>
          <w:u w:val="single"/>
        </w:rPr>
      </w:pPr>
    </w:p>
    <w:p w:rsidR="00F0761D" w:rsidRDefault="00BC2BF7" w:rsidP="00F0761D">
      <w:pPr>
        <w:pStyle w:val="ListParagraph"/>
        <w:jc w:val="center"/>
        <w:rPr>
          <w:noProof/>
          <w:sz w:val="36"/>
          <w:szCs w:val="36"/>
        </w:rPr>
      </w:pPr>
      <w:proofErr w:type="gramStart"/>
      <w:r>
        <w:rPr>
          <w:rFonts w:asciiTheme="minorHAnsi" w:hAnsiTheme="minorHAnsi"/>
          <w:b/>
          <w:color w:val="548DD4" w:themeColor="text2" w:themeTint="99"/>
          <w:sz w:val="36"/>
          <w:szCs w:val="36"/>
          <w:u w:val="single"/>
        </w:rPr>
        <w:t>2.</w:t>
      </w:r>
      <w:r w:rsidR="00F0761D" w:rsidRPr="009422B1">
        <w:rPr>
          <w:rFonts w:asciiTheme="minorHAnsi" w:hAnsiTheme="minorHAnsi"/>
          <w:b/>
          <w:color w:val="548DD4" w:themeColor="text2" w:themeTint="99"/>
          <w:sz w:val="36"/>
          <w:szCs w:val="36"/>
          <w:u w:val="single"/>
        </w:rPr>
        <w:t>HISTORICAL</w:t>
      </w:r>
      <w:proofErr w:type="gramEnd"/>
      <w:r w:rsidR="00F0761D" w:rsidRPr="009422B1">
        <w:rPr>
          <w:rFonts w:asciiTheme="minorHAnsi" w:hAnsiTheme="minorHAnsi"/>
          <w:b/>
          <w:color w:val="548DD4" w:themeColor="text2" w:themeTint="99"/>
          <w:sz w:val="36"/>
          <w:szCs w:val="36"/>
          <w:u w:val="single"/>
        </w:rPr>
        <w:t xml:space="preserve"> PRICE DATA CHART</w:t>
      </w:r>
      <w:r w:rsidR="00F0761D">
        <w:rPr>
          <w:noProof/>
          <w:sz w:val="36"/>
          <w:szCs w:val="36"/>
        </w:rPr>
        <w:t xml:space="preserve"> </w:t>
      </w:r>
    </w:p>
    <w:p w:rsidR="009422B1" w:rsidRDefault="00AC16DB" w:rsidP="00F0761D">
      <w:pPr>
        <w:pStyle w:val="ListParagraph"/>
        <w:jc w:val="center"/>
        <w:rPr>
          <w:sz w:val="36"/>
          <w:szCs w:val="36"/>
        </w:rPr>
      </w:pPr>
      <w:r>
        <w:rPr>
          <w:noProof/>
          <w:sz w:val="36"/>
          <w:szCs w:val="36"/>
        </w:rPr>
        <w:lastRenderedPageBreak/>
        <w:drawing>
          <wp:inline distT="0" distB="0" distL="0" distR="0">
            <wp:extent cx="5482739" cy="2563906"/>
            <wp:effectExtent l="19050" t="0" r="3661" b="0"/>
            <wp:docPr id="5" name="Picture 4" descr="TCS-Share-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S-Share-price.png"/>
                    <pic:cNvPicPr/>
                  </pic:nvPicPr>
                  <pic:blipFill>
                    <a:blip r:embed="rId7"/>
                    <a:stretch>
                      <a:fillRect/>
                    </a:stretch>
                  </pic:blipFill>
                  <pic:spPr>
                    <a:xfrm>
                      <a:off x="0" y="0"/>
                      <a:ext cx="5486400" cy="2565618"/>
                    </a:xfrm>
                    <a:prstGeom prst="rect">
                      <a:avLst/>
                    </a:prstGeom>
                  </pic:spPr>
                </pic:pic>
              </a:graphicData>
            </a:graphic>
          </wp:inline>
        </w:drawing>
      </w:r>
    </w:p>
    <w:p w:rsidR="00AC16DB" w:rsidRDefault="00AC16DB" w:rsidP="009A39DC">
      <w:pPr>
        <w:jc w:val="center"/>
        <w:rPr>
          <w:sz w:val="36"/>
          <w:szCs w:val="36"/>
        </w:rPr>
      </w:pPr>
      <w:r>
        <w:rPr>
          <w:noProof/>
        </w:rPr>
        <w:drawing>
          <wp:inline distT="0" distB="0" distL="0" distR="0">
            <wp:extent cx="5658180" cy="2973721"/>
            <wp:effectExtent l="19050" t="0" r="0" b="0"/>
            <wp:docPr id="6" name="Picture 5" descr="5y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yrs.jpg"/>
                    <pic:cNvPicPr/>
                  </pic:nvPicPr>
                  <pic:blipFill>
                    <a:blip r:embed="rId8"/>
                    <a:stretch>
                      <a:fillRect/>
                    </a:stretch>
                  </pic:blipFill>
                  <pic:spPr>
                    <a:xfrm>
                      <a:off x="0" y="0"/>
                      <a:ext cx="5670032" cy="2979950"/>
                    </a:xfrm>
                    <a:prstGeom prst="rect">
                      <a:avLst/>
                    </a:prstGeom>
                  </pic:spPr>
                </pic:pic>
              </a:graphicData>
            </a:graphic>
          </wp:inline>
        </w:drawing>
      </w:r>
    </w:p>
    <w:tbl>
      <w:tblPr>
        <w:tblW w:w="12492" w:type="dxa"/>
        <w:tblInd w:w="-1440" w:type="dxa"/>
        <w:tblCellMar>
          <w:top w:w="15" w:type="dxa"/>
          <w:left w:w="15" w:type="dxa"/>
          <w:bottom w:w="939" w:type="dxa"/>
          <w:right w:w="15" w:type="dxa"/>
        </w:tblCellMar>
        <w:tblLook w:val="04A0"/>
      </w:tblPr>
      <w:tblGrid>
        <w:gridCol w:w="1389"/>
        <w:gridCol w:w="1936"/>
        <w:gridCol w:w="1936"/>
        <w:gridCol w:w="1936"/>
        <w:gridCol w:w="1936"/>
        <w:gridCol w:w="1771"/>
        <w:gridCol w:w="1588"/>
      </w:tblGrid>
      <w:tr w:rsidR="009A39DC" w:rsidRPr="009A39DC" w:rsidTr="009A39DC">
        <w:trPr>
          <w:trHeight w:val="328"/>
          <w:tblHeader/>
        </w:trPr>
        <w:tc>
          <w:tcPr>
            <w:tcW w:w="1389" w:type="dxa"/>
            <w:tcBorders>
              <w:bottom w:val="single" w:sz="6" w:space="0" w:color="E3EAF2"/>
            </w:tcBorders>
            <w:noWrap/>
            <w:tcMar>
              <w:top w:w="157" w:type="dxa"/>
              <w:left w:w="250" w:type="dxa"/>
              <w:bottom w:w="157" w:type="dxa"/>
              <w:right w:w="250" w:type="dxa"/>
            </w:tcMar>
            <w:vAlign w:val="center"/>
            <w:hideMark/>
          </w:tcPr>
          <w:p w:rsidR="009A39DC" w:rsidRPr="009A39DC" w:rsidRDefault="009A39DC" w:rsidP="009A39DC">
            <w:pPr>
              <w:spacing w:before="0" w:beforeAutospacing="0" w:after="0" w:line="240" w:lineRule="auto"/>
              <w:textAlignment w:val="center"/>
              <w:rPr>
                <w:rFonts w:ascii="Arial" w:hAnsi="Arial" w:cs="Arial"/>
                <w:color w:val="66758A"/>
                <w:kern w:val="0"/>
                <w:sz w:val="25"/>
                <w:szCs w:val="25"/>
              </w:rPr>
            </w:pPr>
            <w:r w:rsidRPr="009A39DC">
              <w:rPr>
                <w:rFonts w:ascii="Arial" w:hAnsi="Arial" w:cs="Arial"/>
                <w:color w:val="66758A"/>
                <w:kern w:val="0"/>
                <w:sz w:val="25"/>
              </w:rPr>
              <w:t>Date</w:t>
            </w:r>
          </w:p>
        </w:tc>
        <w:tc>
          <w:tcPr>
            <w:tcW w:w="1936" w:type="dxa"/>
            <w:tcBorders>
              <w:bottom w:val="single" w:sz="6" w:space="0" w:color="E3EAF2"/>
            </w:tcBorders>
            <w:noWrap/>
            <w:tcMar>
              <w:top w:w="157" w:type="dxa"/>
              <w:left w:w="250" w:type="dxa"/>
              <w:bottom w:w="157" w:type="dxa"/>
              <w:right w:w="250" w:type="dxa"/>
            </w:tcMar>
            <w:vAlign w:val="center"/>
            <w:hideMark/>
          </w:tcPr>
          <w:p w:rsidR="009A39DC" w:rsidRPr="009A39DC" w:rsidRDefault="009A39DC" w:rsidP="009A39DC">
            <w:pPr>
              <w:spacing w:before="0" w:beforeAutospacing="0" w:after="0" w:line="240" w:lineRule="auto"/>
              <w:jc w:val="center"/>
              <w:textAlignment w:val="center"/>
              <w:rPr>
                <w:rFonts w:ascii="Arial" w:hAnsi="Arial" w:cs="Arial"/>
                <w:color w:val="66758A"/>
                <w:kern w:val="0"/>
                <w:sz w:val="25"/>
                <w:szCs w:val="25"/>
              </w:rPr>
            </w:pPr>
            <w:r w:rsidRPr="009A39DC">
              <w:rPr>
                <w:rFonts w:ascii="Arial" w:hAnsi="Arial" w:cs="Arial"/>
                <w:color w:val="66758A"/>
                <w:kern w:val="0"/>
                <w:sz w:val="25"/>
              </w:rPr>
              <w:t>Price</w:t>
            </w:r>
          </w:p>
        </w:tc>
        <w:tc>
          <w:tcPr>
            <w:tcW w:w="1936" w:type="dxa"/>
            <w:tcBorders>
              <w:bottom w:val="single" w:sz="6" w:space="0" w:color="E3EAF2"/>
            </w:tcBorders>
            <w:noWrap/>
            <w:tcMar>
              <w:top w:w="157" w:type="dxa"/>
              <w:left w:w="250" w:type="dxa"/>
              <w:bottom w:w="157" w:type="dxa"/>
              <w:right w:w="250" w:type="dxa"/>
            </w:tcMar>
            <w:vAlign w:val="center"/>
            <w:hideMark/>
          </w:tcPr>
          <w:p w:rsidR="009A39DC" w:rsidRPr="009A39DC" w:rsidRDefault="009A39DC" w:rsidP="009A39DC">
            <w:pPr>
              <w:spacing w:before="0" w:beforeAutospacing="0" w:after="0" w:line="240" w:lineRule="auto"/>
              <w:jc w:val="center"/>
              <w:textAlignment w:val="center"/>
              <w:rPr>
                <w:rFonts w:ascii="Arial" w:hAnsi="Arial" w:cs="Arial"/>
                <w:color w:val="66758A"/>
                <w:kern w:val="0"/>
                <w:sz w:val="25"/>
                <w:szCs w:val="25"/>
              </w:rPr>
            </w:pPr>
            <w:r w:rsidRPr="009A39DC">
              <w:rPr>
                <w:rFonts w:ascii="Arial" w:hAnsi="Arial" w:cs="Arial"/>
                <w:color w:val="66758A"/>
                <w:kern w:val="0"/>
                <w:sz w:val="25"/>
              </w:rPr>
              <w:t>Open</w:t>
            </w:r>
          </w:p>
        </w:tc>
        <w:tc>
          <w:tcPr>
            <w:tcW w:w="1936" w:type="dxa"/>
            <w:tcBorders>
              <w:bottom w:val="single" w:sz="6" w:space="0" w:color="E3EAF2"/>
            </w:tcBorders>
            <w:noWrap/>
            <w:tcMar>
              <w:top w:w="157" w:type="dxa"/>
              <w:left w:w="250" w:type="dxa"/>
              <w:bottom w:w="157" w:type="dxa"/>
              <w:right w:w="250" w:type="dxa"/>
            </w:tcMar>
            <w:vAlign w:val="center"/>
            <w:hideMark/>
          </w:tcPr>
          <w:p w:rsidR="009A39DC" w:rsidRPr="009A39DC" w:rsidRDefault="009A39DC" w:rsidP="009A39DC">
            <w:pPr>
              <w:spacing w:before="0" w:beforeAutospacing="0" w:after="0" w:line="240" w:lineRule="auto"/>
              <w:jc w:val="center"/>
              <w:textAlignment w:val="center"/>
              <w:rPr>
                <w:rFonts w:ascii="Arial" w:hAnsi="Arial" w:cs="Arial"/>
                <w:color w:val="66758A"/>
                <w:kern w:val="0"/>
                <w:sz w:val="25"/>
                <w:szCs w:val="25"/>
              </w:rPr>
            </w:pPr>
            <w:r w:rsidRPr="009A39DC">
              <w:rPr>
                <w:rFonts w:ascii="Arial" w:hAnsi="Arial" w:cs="Arial"/>
                <w:color w:val="66758A"/>
                <w:kern w:val="0"/>
                <w:sz w:val="25"/>
              </w:rPr>
              <w:t>High</w:t>
            </w:r>
          </w:p>
        </w:tc>
        <w:tc>
          <w:tcPr>
            <w:tcW w:w="1936" w:type="dxa"/>
            <w:tcBorders>
              <w:bottom w:val="single" w:sz="6" w:space="0" w:color="E3EAF2"/>
            </w:tcBorders>
            <w:noWrap/>
            <w:tcMar>
              <w:top w:w="157" w:type="dxa"/>
              <w:left w:w="250" w:type="dxa"/>
              <w:bottom w:w="157" w:type="dxa"/>
              <w:right w:w="250" w:type="dxa"/>
            </w:tcMar>
            <w:vAlign w:val="center"/>
            <w:hideMark/>
          </w:tcPr>
          <w:p w:rsidR="009A39DC" w:rsidRPr="009A39DC" w:rsidRDefault="009A39DC" w:rsidP="009A39DC">
            <w:pPr>
              <w:spacing w:before="0" w:beforeAutospacing="0" w:after="0" w:line="240" w:lineRule="auto"/>
              <w:jc w:val="center"/>
              <w:textAlignment w:val="center"/>
              <w:rPr>
                <w:rFonts w:ascii="Arial" w:hAnsi="Arial" w:cs="Arial"/>
                <w:color w:val="66758A"/>
                <w:kern w:val="0"/>
                <w:sz w:val="25"/>
                <w:szCs w:val="25"/>
              </w:rPr>
            </w:pPr>
            <w:r w:rsidRPr="009A39DC">
              <w:rPr>
                <w:rFonts w:ascii="Arial" w:hAnsi="Arial" w:cs="Arial"/>
                <w:color w:val="66758A"/>
                <w:kern w:val="0"/>
                <w:sz w:val="25"/>
              </w:rPr>
              <w:t>Low</w:t>
            </w:r>
          </w:p>
        </w:tc>
        <w:tc>
          <w:tcPr>
            <w:tcW w:w="1771" w:type="dxa"/>
            <w:tcBorders>
              <w:bottom w:val="single" w:sz="6" w:space="0" w:color="E3EAF2"/>
            </w:tcBorders>
            <w:noWrap/>
            <w:tcMar>
              <w:top w:w="157" w:type="dxa"/>
              <w:left w:w="250" w:type="dxa"/>
              <w:bottom w:w="157" w:type="dxa"/>
              <w:right w:w="250" w:type="dxa"/>
            </w:tcMar>
            <w:vAlign w:val="center"/>
            <w:hideMark/>
          </w:tcPr>
          <w:p w:rsidR="009A39DC" w:rsidRPr="009A39DC" w:rsidRDefault="009A39DC" w:rsidP="009A39DC">
            <w:pPr>
              <w:spacing w:before="0" w:beforeAutospacing="0" w:after="0" w:line="240" w:lineRule="auto"/>
              <w:jc w:val="center"/>
              <w:textAlignment w:val="center"/>
              <w:rPr>
                <w:rFonts w:ascii="Arial" w:hAnsi="Arial" w:cs="Arial"/>
                <w:color w:val="66758A"/>
                <w:kern w:val="0"/>
                <w:sz w:val="25"/>
                <w:szCs w:val="25"/>
              </w:rPr>
            </w:pPr>
            <w:r w:rsidRPr="009A39DC">
              <w:rPr>
                <w:rFonts w:ascii="Arial" w:hAnsi="Arial" w:cs="Arial"/>
                <w:color w:val="66758A"/>
                <w:kern w:val="0"/>
                <w:sz w:val="25"/>
              </w:rPr>
              <w:t>Volume</w:t>
            </w:r>
          </w:p>
        </w:tc>
        <w:tc>
          <w:tcPr>
            <w:tcW w:w="1588" w:type="dxa"/>
            <w:tcBorders>
              <w:bottom w:val="single" w:sz="6" w:space="0" w:color="E3EAF2"/>
            </w:tcBorders>
            <w:noWrap/>
            <w:tcMar>
              <w:top w:w="157" w:type="dxa"/>
              <w:left w:w="250" w:type="dxa"/>
              <w:bottom w:w="157" w:type="dxa"/>
              <w:right w:w="250" w:type="dxa"/>
            </w:tcMar>
            <w:vAlign w:val="center"/>
            <w:hideMark/>
          </w:tcPr>
          <w:p w:rsidR="009A39DC" w:rsidRPr="009A39DC" w:rsidRDefault="009A39DC" w:rsidP="009A39DC">
            <w:pPr>
              <w:spacing w:before="0" w:beforeAutospacing="0" w:after="0" w:line="240" w:lineRule="auto"/>
              <w:jc w:val="center"/>
              <w:textAlignment w:val="center"/>
              <w:rPr>
                <w:rFonts w:ascii="Arial" w:hAnsi="Arial" w:cs="Arial"/>
                <w:color w:val="66758A"/>
                <w:kern w:val="0"/>
                <w:sz w:val="25"/>
                <w:szCs w:val="25"/>
              </w:rPr>
            </w:pPr>
            <w:r w:rsidRPr="009A39DC">
              <w:rPr>
                <w:rFonts w:ascii="Arial" w:hAnsi="Arial" w:cs="Arial"/>
                <w:color w:val="66758A"/>
                <w:kern w:val="0"/>
                <w:sz w:val="25"/>
              </w:rPr>
              <w:t>Chg%</w:t>
            </w:r>
          </w:p>
        </w:tc>
      </w:tr>
      <w:tr w:rsidR="009A39DC" w:rsidRPr="009A39DC" w:rsidTr="009A39DC">
        <w:trPr>
          <w:trHeight w:val="328"/>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Apr 2024</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3,998.70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3,897.65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4,026.85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3,857.40</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3.97M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3.16%</w:t>
            </w:r>
          </w:p>
        </w:tc>
      </w:tr>
      <w:tr w:rsidR="009A39DC" w:rsidRPr="009A39DC" w:rsidTr="009A39DC">
        <w:trPr>
          <w:trHeight w:val="314"/>
        </w:trPr>
        <w:tc>
          <w:tcPr>
            <w:tcW w:w="1389"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Mar 2024</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3,876.30</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4,107.20</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4,254.75</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3,829.40</w:t>
            </w:r>
          </w:p>
        </w:tc>
        <w:tc>
          <w:tcPr>
            <w:tcW w:w="1771"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57.51M</w:t>
            </w:r>
          </w:p>
        </w:tc>
        <w:tc>
          <w:tcPr>
            <w:tcW w:w="1588"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-5.34%</w:t>
            </w:r>
          </w:p>
        </w:tc>
      </w:tr>
      <w:tr w:rsidR="009A39DC" w:rsidRPr="009A39DC" w:rsidTr="009A39DC">
        <w:trPr>
          <w:trHeight w:val="328"/>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Feb 2024</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4,095.10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3,820.00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4,184.75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3,805.05</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43.41M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7.65%</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lastRenderedPageBreak/>
              <w:t>Jan 2024</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3,804.00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3,790.00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3,964.40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3,651.20</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szCs w:val="25"/>
              </w:rPr>
            </w:pPr>
            <w:r w:rsidRPr="009A39DC">
              <w:rPr>
                <w:rFonts w:ascii="Arial" w:hAnsi="Arial" w:cs="Arial"/>
                <w:kern w:val="0"/>
                <w:sz w:val="25"/>
              </w:rPr>
              <w:t>35.25M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0.74%</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Dec 2023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3,775.90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3,483.86</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3,910.88</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3,473.95</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45.57M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8.77%</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Nov 2023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3,471.52</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3,339.53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3,527.66</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3,295.73</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36.38M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3.53%</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Oct 2023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3,353.21</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3,517.90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3,662.03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3,314.64</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39.82M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-4.97%</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Sep 2023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3,528.60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3,366.00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3,633.75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3,356.80</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38.44M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5.12%</w:t>
            </w:r>
          </w:p>
        </w:tc>
      </w:tr>
      <w:tr w:rsidR="009A39DC" w:rsidRPr="009A39DC" w:rsidTr="009A39DC">
        <w:trPr>
          <w:trHeight w:val="160"/>
        </w:trPr>
        <w:tc>
          <w:tcPr>
            <w:tcW w:w="1389"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Aug 2023</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3,356.80</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3,415.00</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3,489.95</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3,343.65</w:t>
            </w:r>
          </w:p>
        </w:tc>
        <w:tc>
          <w:tcPr>
            <w:tcW w:w="1771"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35.92M</w:t>
            </w:r>
          </w:p>
        </w:tc>
        <w:tc>
          <w:tcPr>
            <w:tcW w:w="1588"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-1.89%</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Jul 2023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3,421.45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3,314.30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3,549.90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3,250.10</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47.66M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3.61%</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Jun 2023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3,302.25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3,314.00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3,340.00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3,156.00</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38.36M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0.39%</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May 2023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3,289.50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3,235.00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3,372.00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3,173.15</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36.62M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2.18%</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Apr 2023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3,219.25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3,224.95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3,272.95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3,070.25</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43.82M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0.42%</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Mar 2023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3,205.90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3,323.00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3,404.95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3,095.05</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40.00M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-3.23%</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Feb 2023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3,312.85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3,363.00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3,575.00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3,299.90</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31.34M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-1.37%</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Jan 2023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3,358.70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3,196.26</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3,458.45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3,136.47</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39.92M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5.22%</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lastRenderedPageBreak/>
              <w:t>Dec 2022</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3,192.04</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3,357.00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3,410.91</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3,100.84</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32.37M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-3.95%</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Nov 2022</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3,323.48</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3,150.68</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3,360.92</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3,103.29</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35.50M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6.19%</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Oct 2022</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3,129.75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2,935.54</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3,135.49</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2,914.95</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36.56M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6.28%</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Sep 2022</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2,944.90</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3,126.67</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3,204.88</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2,868.00</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53.94M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-6.43%</w:t>
            </w:r>
          </w:p>
        </w:tc>
      </w:tr>
      <w:tr w:rsidR="009A39DC" w:rsidRPr="009A39DC" w:rsidTr="009A39DC">
        <w:trPr>
          <w:trHeight w:val="160"/>
        </w:trPr>
        <w:tc>
          <w:tcPr>
            <w:tcW w:w="1389"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Aug 2022</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3,147.40</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3,260.95</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3,360.63</w:t>
            </w:r>
          </w:p>
        </w:tc>
        <w:tc>
          <w:tcPr>
            <w:tcW w:w="1936"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3,019.83</w:t>
            </w:r>
          </w:p>
        </w:tc>
        <w:tc>
          <w:tcPr>
            <w:tcW w:w="1771"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34.34M</w:t>
            </w:r>
          </w:p>
        </w:tc>
        <w:tc>
          <w:tcPr>
            <w:tcW w:w="1588" w:type="dxa"/>
            <w:tcBorders>
              <w:bottom w:val="single" w:sz="6" w:space="0" w:color="E3EAF2"/>
            </w:tcBorders>
            <w:shd w:val="clear" w:color="auto" w:fill="FCFDFE"/>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-2.75%</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Jul 2022</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3,236.34</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3,195.28</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3,266.83</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2,894.37</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59.85M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1.07%</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Jun 2022</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3,202.24</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3,320.74</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3,408.26</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2,963.81</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50.69M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-2.89%</w:t>
            </w:r>
          </w:p>
        </w:tc>
      </w:tr>
      <w:tr w:rsidR="009A39DC" w:rsidRPr="009A39DC" w:rsidTr="009A39DC">
        <w:trPr>
          <w:trHeight w:val="160"/>
        </w:trPr>
        <w:tc>
          <w:tcPr>
            <w:tcW w:w="1389"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May 2022</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3,297.55</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3,450.02</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3,477.51</w:t>
            </w:r>
          </w:p>
        </w:tc>
        <w:tc>
          <w:tcPr>
            <w:tcW w:w="1936"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3,091.43</w:t>
            </w:r>
          </w:p>
        </w:tc>
        <w:tc>
          <w:tcPr>
            <w:tcW w:w="1771"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51.12M</w:t>
            </w:r>
          </w:p>
        </w:tc>
        <w:tc>
          <w:tcPr>
            <w:tcW w:w="1588" w:type="dxa"/>
            <w:tcBorders>
              <w:bottom w:val="single" w:sz="6" w:space="0" w:color="E3EAF2"/>
            </w:tcBorders>
            <w:noWrap/>
            <w:tcMar>
              <w:top w:w="172" w:type="dxa"/>
              <w:left w:w="250" w:type="dxa"/>
              <w:bottom w:w="172" w:type="dxa"/>
              <w:right w:w="250" w:type="dxa"/>
            </w:tcMar>
            <w:vAlign w:val="center"/>
            <w:hideMark/>
          </w:tcPr>
          <w:p w:rsidR="009A39DC" w:rsidRPr="009A39DC" w:rsidRDefault="009A39DC" w:rsidP="009A39DC">
            <w:pPr>
              <w:spacing w:before="0" w:beforeAutospacing="0" w:after="0" w:line="240" w:lineRule="auto"/>
              <w:rPr>
                <w:rFonts w:ascii="Arial" w:hAnsi="Arial" w:cs="Arial"/>
                <w:kern w:val="0"/>
                <w:sz w:val="25"/>
              </w:rPr>
            </w:pPr>
            <w:r w:rsidRPr="009A39DC">
              <w:rPr>
                <w:rFonts w:ascii="Arial" w:hAnsi="Arial" w:cs="Arial"/>
                <w:kern w:val="0"/>
                <w:sz w:val="25"/>
              </w:rPr>
              <w:t>-5.14%</w:t>
            </w:r>
          </w:p>
        </w:tc>
      </w:tr>
    </w:tbl>
    <w:p w:rsidR="009A39DC" w:rsidRPr="009A39DC" w:rsidRDefault="009A39DC" w:rsidP="009A39DC">
      <w:pPr>
        <w:spacing w:beforeAutospacing="0" w:after="100" w:line="240" w:lineRule="auto"/>
        <w:rPr>
          <w:rFonts w:ascii="Arial" w:hAnsi="Arial" w:cs="Arial"/>
          <w:b/>
          <w:bCs/>
          <w:color w:val="66758A"/>
          <w:kern w:val="0"/>
          <w:sz w:val="16"/>
          <w:szCs w:val="16"/>
        </w:rPr>
      </w:pPr>
      <w:r w:rsidRPr="009A39DC">
        <w:rPr>
          <w:rFonts w:ascii="Arial" w:hAnsi="Arial" w:cs="Arial"/>
          <w:b/>
          <w:bCs/>
          <w:color w:val="66758A"/>
          <w:kern w:val="0"/>
          <w:sz w:val="16"/>
          <w:szCs w:val="16"/>
        </w:rPr>
        <w:t>Summary</w:t>
      </w:r>
    </w:p>
    <w:p w:rsidR="009A39DC" w:rsidRPr="009A39DC" w:rsidRDefault="009A39DC" w:rsidP="009A39DC">
      <w:pPr>
        <w:spacing w:before="0" w:beforeAutospacing="0" w:after="0" w:line="240" w:lineRule="auto"/>
        <w:ind w:right="45"/>
        <w:rPr>
          <w:rFonts w:ascii="Arial" w:hAnsi="Arial" w:cs="Arial"/>
          <w:b/>
          <w:bCs/>
          <w:color w:val="66758A"/>
          <w:kern w:val="0"/>
          <w:sz w:val="16"/>
          <w:szCs w:val="16"/>
        </w:rPr>
      </w:pPr>
      <w:r w:rsidRPr="009A39DC">
        <w:rPr>
          <w:rFonts w:ascii="Arial" w:hAnsi="Arial" w:cs="Arial"/>
          <w:b/>
          <w:bCs/>
          <w:color w:val="66758A"/>
          <w:kern w:val="0"/>
          <w:sz w:val="16"/>
          <w:szCs w:val="16"/>
        </w:rPr>
        <w:t>Highest</w:t>
      </w:r>
    </w:p>
    <w:p w:rsidR="009A39DC" w:rsidRPr="009A39DC" w:rsidRDefault="009A39DC" w:rsidP="009A39DC">
      <w:pPr>
        <w:spacing w:before="0" w:beforeAutospacing="0" w:after="0" w:line="240" w:lineRule="auto"/>
        <w:ind w:left="720"/>
        <w:rPr>
          <w:rFonts w:ascii="Arial" w:hAnsi="Arial" w:cs="Arial"/>
          <w:color w:val="66758A"/>
          <w:kern w:val="0"/>
          <w:sz w:val="16"/>
          <w:szCs w:val="16"/>
        </w:rPr>
      </w:pPr>
      <w:r w:rsidRPr="009A39DC">
        <w:rPr>
          <w:rFonts w:ascii="Arial" w:hAnsi="Arial" w:cs="Arial"/>
          <w:color w:val="66758A"/>
          <w:kern w:val="0"/>
          <w:sz w:val="16"/>
          <w:szCs w:val="16"/>
        </w:rPr>
        <w:t>4,254.75</w:t>
      </w:r>
    </w:p>
    <w:p w:rsidR="009A39DC" w:rsidRPr="009A39DC" w:rsidRDefault="009A39DC" w:rsidP="009A39DC">
      <w:pPr>
        <w:spacing w:before="0" w:beforeAutospacing="0" w:after="0" w:line="240" w:lineRule="auto"/>
        <w:ind w:right="45"/>
        <w:rPr>
          <w:rFonts w:ascii="Arial" w:hAnsi="Arial" w:cs="Arial"/>
          <w:b/>
          <w:bCs/>
          <w:color w:val="66758A"/>
          <w:kern w:val="0"/>
          <w:sz w:val="16"/>
          <w:szCs w:val="16"/>
        </w:rPr>
      </w:pPr>
      <w:r w:rsidRPr="009A39DC">
        <w:rPr>
          <w:rFonts w:ascii="Arial" w:hAnsi="Arial" w:cs="Arial"/>
          <w:b/>
          <w:bCs/>
          <w:color w:val="66758A"/>
          <w:kern w:val="0"/>
          <w:sz w:val="16"/>
          <w:szCs w:val="16"/>
        </w:rPr>
        <w:t>Lowest</w:t>
      </w:r>
    </w:p>
    <w:p w:rsidR="009A39DC" w:rsidRPr="009A39DC" w:rsidRDefault="009A39DC" w:rsidP="009A39DC">
      <w:pPr>
        <w:spacing w:before="0" w:beforeAutospacing="0" w:after="0" w:line="240" w:lineRule="auto"/>
        <w:ind w:left="720"/>
        <w:rPr>
          <w:rFonts w:ascii="Arial" w:hAnsi="Arial" w:cs="Arial"/>
          <w:color w:val="66758A"/>
          <w:kern w:val="0"/>
          <w:sz w:val="16"/>
          <w:szCs w:val="16"/>
        </w:rPr>
      </w:pPr>
      <w:r w:rsidRPr="009A39DC">
        <w:rPr>
          <w:rFonts w:ascii="Arial" w:hAnsi="Arial" w:cs="Arial"/>
          <w:color w:val="66758A"/>
          <w:kern w:val="0"/>
          <w:sz w:val="16"/>
          <w:szCs w:val="16"/>
        </w:rPr>
        <w:t>2,868.00</w:t>
      </w:r>
    </w:p>
    <w:p w:rsidR="009A39DC" w:rsidRPr="009A39DC" w:rsidRDefault="009A39DC" w:rsidP="009A39DC">
      <w:pPr>
        <w:spacing w:before="0" w:beforeAutospacing="0" w:after="0" w:line="240" w:lineRule="auto"/>
        <w:ind w:right="45"/>
        <w:rPr>
          <w:rFonts w:ascii="Arial" w:hAnsi="Arial" w:cs="Arial"/>
          <w:b/>
          <w:bCs/>
          <w:color w:val="66758A"/>
          <w:kern w:val="0"/>
          <w:sz w:val="16"/>
          <w:szCs w:val="16"/>
        </w:rPr>
      </w:pPr>
      <w:r w:rsidRPr="009A39DC">
        <w:rPr>
          <w:rFonts w:ascii="Arial" w:hAnsi="Arial" w:cs="Arial"/>
          <w:b/>
          <w:bCs/>
          <w:color w:val="66758A"/>
          <w:kern w:val="0"/>
          <w:sz w:val="16"/>
          <w:szCs w:val="16"/>
        </w:rPr>
        <w:t>Difference</w:t>
      </w:r>
    </w:p>
    <w:p w:rsidR="009A39DC" w:rsidRPr="009A39DC" w:rsidRDefault="009A39DC" w:rsidP="009A39DC">
      <w:pPr>
        <w:spacing w:before="0" w:beforeAutospacing="0" w:after="0" w:line="240" w:lineRule="auto"/>
        <w:ind w:left="720"/>
        <w:rPr>
          <w:rFonts w:ascii="Arial" w:hAnsi="Arial" w:cs="Arial"/>
          <w:color w:val="66758A"/>
          <w:kern w:val="0"/>
          <w:sz w:val="16"/>
          <w:szCs w:val="16"/>
        </w:rPr>
      </w:pPr>
      <w:r w:rsidRPr="009A39DC">
        <w:rPr>
          <w:rFonts w:ascii="Arial" w:hAnsi="Arial" w:cs="Arial"/>
          <w:color w:val="66758A"/>
          <w:kern w:val="0"/>
          <w:sz w:val="16"/>
          <w:szCs w:val="16"/>
        </w:rPr>
        <w:t>1,386.75</w:t>
      </w:r>
    </w:p>
    <w:p w:rsidR="009A39DC" w:rsidRPr="009A39DC" w:rsidRDefault="009A39DC" w:rsidP="009A39DC">
      <w:pPr>
        <w:spacing w:before="0" w:beforeAutospacing="0" w:after="0" w:line="240" w:lineRule="auto"/>
        <w:ind w:right="45"/>
        <w:rPr>
          <w:rFonts w:ascii="Arial" w:hAnsi="Arial" w:cs="Arial"/>
          <w:b/>
          <w:bCs/>
          <w:color w:val="66758A"/>
          <w:kern w:val="0"/>
          <w:sz w:val="16"/>
          <w:szCs w:val="16"/>
        </w:rPr>
      </w:pPr>
      <w:r w:rsidRPr="009A39DC">
        <w:rPr>
          <w:rFonts w:ascii="Arial" w:hAnsi="Arial" w:cs="Arial"/>
          <w:b/>
          <w:bCs/>
          <w:color w:val="66758A"/>
          <w:kern w:val="0"/>
          <w:sz w:val="16"/>
          <w:szCs w:val="16"/>
        </w:rPr>
        <w:t>Average</w:t>
      </w:r>
    </w:p>
    <w:p w:rsidR="009A39DC" w:rsidRPr="009A39DC" w:rsidRDefault="009A39DC" w:rsidP="009A39DC">
      <w:pPr>
        <w:spacing w:before="0" w:beforeAutospacing="0" w:after="0" w:line="240" w:lineRule="auto"/>
        <w:ind w:left="720"/>
        <w:rPr>
          <w:rFonts w:ascii="Arial" w:hAnsi="Arial" w:cs="Arial"/>
          <w:color w:val="66758A"/>
          <w:kern w:val="0"/>
          <w:sz w:val="16"/>
          <w:szCs w:val="16"/>
        </w:rPr>
      </w:pPr>
      <w:r w:rsidRPr="009A39DC">
        <w:rPr>
          <w:rFonts w:ascii="Arial" w:hAnsi="Arial" w:cs="Arial"/>
          <w:color w:val="66758A"/>
          <w:kern w:val="0"/>
          <w:sz w:val="16"/>
          <w:szCs w:val="16"/>
        </w:rPr>
        <w:t>3,410.16</w:t>
      </w:r>
    </w:p>
    <w:p w:rsidR="009A39DC" w:rsidRPr="009A39DC" w:rsidRDefault="009A39DC" w:rsidP="009A39DC">
      <w:pPr>
        <w:spacing w:before="0" w:beforeAutospacing="0" w:after="0" w:line="240" w:lineRule="auto"/>
        <w:ind w:right="45"/>
        <w:rPr>
          <w:rFonts w:ascii="Arial" w:hAnsi="Arial" w:cs="Arial"/>
          <w:b/>
          <w:bCs/>
          <w:color w:val="66758A"/>
          <w:kern w:val="0"/>
          <w:sz w:val="16"/>
          <w:szCs w:val="16"/>
        </w:rPr>
      </w:pPr>
      <w:r w:rsidRPr="009A39DC">
        <w:rPr>
          <w:rFonts w:ascii="Arial" w:hAnsi="Arial" w:cs="Arial"/>
          <w:b/>
          <w:bCs/>
          <w:color w:val="66758A"/>
          <w:kern w:val="0"/>
          <w:sz w:val="16"/>
          <w:szCs w:val="16"/>
        </w:rPr>
        <w:t>Chg. %</w:t>
      </w:r>
    </w:p>
    <w:p w:rsidR="00AC16DB" w:rsidRPr="009A39DC" w:rsidRDefault="009A39DC" w:rsidP="009A39DC">
      <w:pPr>
        <w:spacing w:before="0" w:beforeAutospacing="0" w:after="0" w:line="240" w:lineRule="auto"/>
        <w:ind w:left="720"/>
        <w:rPr>
          <w:rFonts w:ascii="Arial" w:hAnsi="Arial" w:cs="Arial"/>
          <w:color w:val="66758A"/>
          <w:kern w:val="0"/>
          <w:sz w:val="16"/>
          <w:szCs w:val="16"/>
        </w:rPr>
      </w:pPr>
      <w:r w:rsidRPr="009A39DC">
        <w:rPr>
          <w:rFonts w:ascii="Arial" w:hAnsi="Arial" w:cs="Arial"/>
          <w:color w:val="66758A"/>
          <w:kern w:val="0"/>
          <w:sz w:val="16"/>
          <w:szCs w:val="16"/>
        </w:rPr>
        <w:t>15.03</w:t>
      </w:r>
    </w:p>
    <w:p w:rsidR="00AC16DB" w:rsidRDefault="00BC2BF7" w:rsidP="00AC16DB">
      <w:pPr>
        <w:jc w:val="center"/>
        <w:rPr>
          <w:rFonts w:asciiTheme="minorHAnsi" w:hAnsiTheme="minorHAnsi"/>
          <w:b/>
          <w:color w:val="548DD4" w:themeColor="text2" w:themeTint="99"/>
          <w:sz w:val="36"/>
          <w:szCs w:val="36"/>
          <w:u w:val="single"/>
        </w:rPr>
      </w:pPr>
      <w:proofErr w:type="gramStart"/>
      <w:r>
        <w:rPr>
          <w:rFonts w:asciiTheme="minorHAnsi" w:hAnsiTheme="minorHAnsi"/>
          <w:b/>
          <w:color w:val="548DD4" w:themeColor="text2" w:themeTint="99"/>
          <w:sz w:val="36"/>
          <w:szCs w:val="36"/>
          <w:u w:val="single"/>
        </w:rPr>
        <w:t>3.</w:t>
      </w:r>
      <w:r w:rsidR="00AC16DB" w:rsidRPr="00AC16DB">
        <w:rPr>
          <w:rFonts w:asciiTheme="minorHAnsi" w:hAnsiTheme="minorHAnsi"/>
          <w:b/>
          <w:color w:val="548DD4" w:themeColor="text2" w:themeTint="99"/>
          <w:sz w:val="36"/>
          <w:szCs w:val="36"/>
          <w:u w:val="single"/>
        </w:rPr>
        <w:t>KEY</w:t>
      </w:r>
      <w:proofErr w:type="gramEnd"/>
      <w:r w:rsidR="00AC16DB" w:rsidRPr="00AC16DB">
        <w:rPr>
          <w:rFonts w:asciiTheme="minorHAnsi" w:hAnsiTheme="minorHAnsi"/>
          <w:b/>
          <w:color w:val="548DD4" w:themeColor="text2" w:themeTint="99"/>
          <w:sz w:val="36"/>
          <w:szCs w:val="36"/>
          <w:u w:val="single"/>
        </w:rPr>
        <w:t xml:space="preserve"> METRICS</w:t>
      </w:r>
    </w:p>
    <w:p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Revenue</w:t>
      </w:r>
      <w:r w:rsidRPr="00AC16DB">
        <w:t>: TCS's total revenue is a fundamental indicator of its financial health and growth. It includes revenue from various services such as IT consulting, software development, and business process outsourcing.</w:t>
      </w:r>
    </w:p>
    <w:p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lastRenderedPageBreak/>
        <w:t>Profit Margin</w:t>
      </w:r>
      <w:r w:rsidRPr="00AC16DB">
        <w:t>: Profit margin measures the percentage of revenue that translates into profits after accounting for all expenses. It's an important metric for assessing TCS's operational efficiency and profitability.</w:t>
      </w:r>
    </w:p>
    <w:p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Net Income</w:t>
      </w:r>
      <w:r w:rsidRPr="00AC16DB">
        <w:t>: Net income represents the total profit or earnings generated by TCS after deducting all expenses, including taxes and interest. It reflects the company's bottom-line performance.</w:t>
      </w:r>
    </w:p>
    <w:p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 xml:space="preserve">Earnings </w:t>
      </w:r>
      <w:proofErr w:type="gramStart"/>
      <w:r w:rsidRPr="000D653B">
        <w:rPr>
          <w:rStyle w:val="Strong"/>
          <w:rFonts w:cs="Segoe UI"/>
          <w:color w:val="0D0D0D"/>
          <w:bdr w:val="single" w:sz="2" w:space="0" w:color="E3E3E3" w:frame="1"/>
        </w:rPr>
        <w:t>Per</w:t>
      </w:r>
      <w:proofErr w:type="gramEnd"/>
      <w:r w:rsidRPr="000D653B">
        <w:rPr>
          <w:rStyle w:val="Strong"/>
          <w:rFonts w:cs="Segoe UI"/>
          <w:color w:val="0D0D0D"/>
          <w:bdr w:val="single" w:sz="2" w:space="0" w:color="E3E3E3" w:frame="1"/>
        </w:rPr>
        <w:t xml:space="preserve"> Share (EPS)</w:t>
      </w:r>
      <w:r w:rsidRPr="00AC16DB">
        <w:t>: EPS indicates the portion of TCS's profit allocated to each outstanding share of its common stock. It's a widely tracked metric by investors to assess the company's profitability on a per-share basis.</w:t>
      </w:r>
    </w:p>
    <w:p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Bookings/Order Backlog</w:t>
      </w:r>
      <w:r w:rsidRPr="00AC16DB">
        <w:t>: This metric measure the value of contracts or projects TCS has secured but not yet completed. It provides insight into the company's future revenue potential and backlog of work.</w:t>
      </w:r>
    </w:p>
    <w:p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Client Metrics</w:t>
      </w:r>
      <w:r w:rsidRPr="00AC16DB">
        <w:t>: These include metrics like the number of active clients, client retention rate, and client satisfaction scores. They help gauge TCS's ability to attract and retain customers while delivering quality services.</w:t>
      </w:r>
    </w:p>
    <w:p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Employee Metrics</w:t>
      </w:r>
      <w:r w:rsidRPr="00AC16DB">
        <w:t>: Metrics such as employee headcount, attrition rate, and employee satisfaction scores are crucial for assessing TCS's workforce management and talent retention strategies.</w:t>
      </w:r>
    </w:p>
    <w:p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Revenue by Geography and Industry Verticals</w:t>
      </w:r>
      <w:r w:rsidRPr="00AC16DB">
        <w:t>: Analyzing revenue distribution by geographical regions and industry verticals provides insights into TCS's market diversification and exposure to different sectors.</w:t>
      </w:r>
    </w:p>
    <w:p w:rsidR="00AC16DB" w:rsidRPr="00AC16DB" w:rsidRDefault="00AC16DB" w:rsidP="000D653B">
      <w:pPr>
        <w:pStyle w:val="ListParagraph"/>
        <w:numPr>
          <w:ilvl w:val="0"/>
          <w:numId w:val="8"/>
        </w:numPr>
      </w:pPr>
      <w:r w:rsidRPr="000D653B">
        <w:rPr>
          <w:rStyle w:val="Strong"/>
          <w:rFonts w:cs="Segoe UI"/>
          <w:color w:val="0D0D0D"/>
          <w:bdr w:val="single" w:sz="2" w:space="0" w:color="E3E3E3" w:frame="1"/>
        </w:rPr>
        <w:t>Digital Revenue Growth</w:t>
      </w:r>
      <w:r w:rsidRPr="00AC16DB">
        <w:t>: Given the increasing importance of digital services, tracking the growth of TCS's digital revenue is essential for understanding its ability to capitalize on digital transformation opportunities.</w:t>
      </w:r>
    </w:p>
    <w:p w:rsidR="000D653B" w:rsidRDefault="00AC16DB" w:rsidP="000D653B">
      <w:pPr>
        <w:pStyle w:val="ListParagraph"/>
        <w:numPr>
          <w:ilvl w:val="0"/>
          <w:numId w:val="8"/>
        </w:numPr>
      </w:pPr>
      <w:r w:rsidRPr="000D653B">
        <w:rPr>
          <w:rStyle w:val="Strong"/>
          <w:rFonts w:cs="Segoe UI"/>
          <w:color w:val="0D0D0D"/>
          <w:bdr w:val="single" w:sz="2" w:space="0" w:color="E3E3E3" w:frame="1"/>
        </w:rPr>
        <w:t>Operating Cash Flow</w:t>
      </w:r>
      <w:r w:rsidRPr="00AC16DB">
        <w:t>: Operating cash flow measures the cash generated from TCS's core business operations. It's a key indicator of the company's ability to generate cash internally and fund its operations, investments, and dividends.</w:t>
      </w:r>
    </w:p>
    <w:p w:rsidR="00F0761D" w:rsidRDefault="00F0761D" w:rsidP="00F0761D">
      <w:pPr>
        <w:pStyle w:val="ListParagraph"/>
      </w:pPr>
    </w:p>
    <w:p w:rsidR="000D653B" w:rsidRPr="009C2179" w:rsidRDefault="000D653B" w:rsidP="000D653B">
      <w:pPr>
        <w:pStyle w:val="ListParagraph"/>
        <w:numPr>
          <w:ilvl w:val="0"/>
          <w:numId w:val="7"/>
        </w:numPr>
        <w:jc w:val="center"/>
        <w:rPr>
          <w:b/>
          <w:color w:val="548DD4" w:themeColor="text2" w:themeTint="99"/>
          <w:sz w:val="32"/>
          <w:szCs w:val="32"/>
          <w:u w:val="single"/>
        </w:rPr>
      </w:pPr>
      <w:r w:rsidRPr="009C2179">
        <w:rPr>
          <w:b/>
          <w:color w:val="548DD4" w:themeColor="text2" w:themeTint="99"/>
          <w:sz w:val="32"/>
          <w:szCs w:val="32"/>
          <w:u w:val="single"/>
        </w:rPr>
        <w:t>PERCENTAGE CHANGE IN STOCK PRICE</w:t>
      </w:r>
    </w:p>
    <w:p w:rsidR="000D653B" w:rsidRPr="000D653B" w:rsidRDefault="000D653B" w:rsidP="000D653B">
      <w:r w:rsidRPr="000D653B">
        <w:rPr>
          <w:rStyle w:val="mord"/>
          <w:b/>
          <w:color w:val="0D0D0D"/>
          <w:bdr w:val="single" w:sz="2" w:space="0" w:color="E3E3E3" w:frame="1"/>
        </w:rPr>
        <w:t>Percentage Change</w:t>
      </w:r>
      <w:r w:rsidRPr="000D653B">
        <w:rPr>
          <w:rStyle w:val="mrel"/>
          <w:color w:val="0D0D0D"/>
          <w:bdr w:val="single" w:sz="2" w:space="0" w:color="E3E3E3" w:frame="1"/>
        </w:rPr>
        <w:t>=</w:t>
      </w:r>
      <w:r>
        <w:rPr>
          <w:rStyle w:val="mrel"/>
          <w:color w:val="0D0D0D"/>
          <w:bdr w:val="single" w:sz="2" w:space="0" w:color="E3E3E3" w:frame="1"/>
        </w:rPr>
        <w:t xml:space="preserve"> </w:t>
      </w:r>
      <w:r w:rsidRPr="000D653B">
        <w:rPr>
          <w:rStyle w:val="delimsizing"/>
          <w:b/>
          <w:i/>
          <w:color w:val="0D0D0D"/>
          <w:sz w:val="24"/>
          <w:szCs w:val="24"/>
          <w:bdr w:val="single" w:sz="2" w:space="0" w:color="E3E3E3" w:frame="1"/>
        </w:rPr>
        <w:t>{(</w:t>
      </w:r>
      <w:r w:rsidRPr="000D653B">
        <w:rPr>
          <w:rStyle w:val="mord"/>
          <w:b/>
          <w:i/>
          <w:color w:val="0D0D0D"/>
          <w:sz w:val="24"/>
          <w:szCs w:val="24"/>
          <w:bdr w:val="single" w:sz="2" w:space="0" w:color="E3E3E3" w:frame="1"/>
        </w:rPr>
        <w:t xml:space="preserve">Current Price </w:t>
      </w:r>
      <w:r w:rsidRPr="000D653B">
        <w:rPr>
          <w:rStyle w:val="mbin"/>
          <w:b/>
          <w:i/>
          <w:color w:val="0D0D0D"/>
          <w:sz w:val="24"/>
          <w:szCs w:val="24"/>
          <w:bdr w:val="single" w:sz="2" w:space="0" w:color="E3E3E3" w:frame="1"/>
        </w:rPr>
        <w:t xml:space="preserve">− </w:t>
      </w:r>
      <w:r w:rsidRPr="000D653B">
        <w:rPr>
          <w:rStyle w:val="mord"/>
          <w:b/>
          <w:i/>
          <w:color w:val="0D0D0D"/>
          <w:sz w:val="24"/>
          <w:szCs w:val="24"/>
          <w:bdr w:val="single" w:sz="2" w:space="0" w:color="E3E3E3" w:frame="1"/>
        </w:rPr>
        <w:t>Price One Year Ago) / (price one year ago)</w:t>
      </w:r>
      <w:proofErr w:type="gramStart"/>
      <w:r w:rsidRPr="000D653B">
        <w:rPr>
          <w:rStyle w:val="vlist-s"/>
          <w:b/>
          <w:i/>
          <w:color w:val="0D0D0D"/>
          <w:sz w:val="24"/>
          <w:szCs w:val="24"/>
          <w:bdr w:val="single" w:sz="2" w:space="0" w:color="E3E3E3" w:frame="1"/>
        </w:rPr>
        <w:t>}</w:t>
      </w:r>
      <w:r w:rsidRPr="000D653B">
        <w:rPr>
          <w:rStyle w:val="mbin"/>
          <w:b/>
          <w:i/>
          <w:color w:val="0D0D0D"/>
          <w:sz w:val="24"/>
          <w:szCs w:val="24"/>
          <w:bdr w:val="single" w:sz="2" w:space="0" w:color="E3E3E3" w:frame="1"/>
        </w:rPr>
        <w:t>×</w:t>
      </w:r>
      <w:proofErr w:type="gramEnd"/>
      <w:r w:rsidRPr="000D653B">
        <w:rPr>
          <w:rStyle w:val="mord"/>
          <w:b/>
          <w:i/>
          <w:color w:val="0D0D0D"/>
          <w:sz w:val="24"/>
          <w:szCs w:val="24"/>
          <w:bdr w:val="single" w:sz="2" w:space="0" w:color="E3E3E3" w:frame="1"/>
        </w:rPr>
        <w:t>100</w:t>
      </w:r>
    </w:p>
    <w:p w:rsidR="000D653B" w:rsidRPr="000D653B" w:rsidRDefault="000D653B" w:rsidP="000D653B">
      <w:pPr>
        <w:rPr>
          <w:rFonts w:cs="Segoe UI"/>
        </w:rPr>
      </w:pPr>
      <w:r w:rsidRPr="000D653B">
        <w:rPr>
          <w:rFonts w:cs="Segoe UI"/>
        </w:rPr>
        <w:lastRenderedPageBreak/>
        <w:t>For example, if the TCS stock price one year ago was $100 and the current price is $120, the percentage change would be:</w:t>
      </w:r>
    </w:p>
    <w:p w:rsidR="000D653B" w:rsidRDefault="000D653B" w:rsidP="000D653B">
      <w:pPr>
        <w:rPr>
          <w:rStyle w:val="katex-mathml"/>
          <w:color w:val="0D0D0D"/>
          <w:bdr w:val="none" w:sz="0" w:space="0" w:color="auto" w:frame="1"/>
        </w:rPr>
      </w:pPr>
      <w:r w:rsidRPr="000D653B">
        <w:rPr>
          <w:rStyle w:val="katex-mathml"/>
          <w:color w:val="0D0D0D"/>
          <w:bdr w:val="none" w:sz="0" w:space="0" w:color="auto" w:frame="1"/>
        </w:rPr>
        <w:t>Percentage Change</w:t>
      </w:r>
      <w:proofErr w:type="gramStart"/>
      <w:r w:rsidRPr="000D653B">
        <w:rPr>
          <w:rStyle w:val="katex-mathml"/>
          <w:color w:val="0D0D0D"/>
          <w:bdr w:val="none" w:sz="0" w:space="0" w:color="auto" w:frame="1"/>
        </w:rPr>
        <w:t>=(</w:t>
      </w:r>
      <w:proofErr w:type="gramEnd"/>
      <w:r w:rsidRPr="000D653B">
        <w:rPr>
          <w:rStyle w:val="katex-mathml"/>
          <w:color w:val="0D0D0D"/>
          <w:bdr w:val="none" w:sz="0" w:space="0" w:color="auto" w:frame="1"/>
        </w:rPr>
        <w:t>120−100100)×100=20%</w:t>
      </w:r>
    </w:p>
    <w:p w:rsidR="000D653B" w:rsidRPr="000D653B" w:rsidRDefault="000D653B" w:rsidP="000D653B">
      <w:pPr>
        <w:rPr>
          <w:rFonts w:cs="Segoe UI"/>
        </w:rPr>
      </w:pPr>
      <w:r w:rsidRPr="000D653B">
        <w:rPr>
          <w:rStyle w:val="mord"/>
          <w:color w:val="0D0D0D"/>
          <w:bdr w:val="single" w:sz="2" w:space="0" w:color="E3E3E3" w:frame="1"/>
        </w:rPr>
        <w:t>Percentage Change</w:t>
      </w:r>
      <w:proofErr w:type="gramStart"/>
      <w:r w:rsidRPr="000D653B">
        <w:rPr>
          <w:rStyle w:val="mrel"/>
          <w:color w:val="0D0D0D"/>
          <w:bdr w:val="single" w:sz="2" w:space="0" w:color="E3E3E3" w:frame="1"/>
        </w:rPr>
        <w:t>=</w:t>
      </w:r>
      <w:r>
        <w:rPr>
          <w:rStyle w:val="mrel"/>
          <w:color w:val="0D0D0D"/>
          <w:bdr w:val="single" w:sz="2" w:space="0" w:color="E3E3E3" w:frame="1"/>
        </w:rPr>
        <w:t>{</w:t>
      </w:r>
      <w:proofErr w:type="gramEnd"/>
      <w:r w:rsidRPr="000D653B">
        <w:rPr>
          <w:rStyle w:val="delimsizing"/>
          <w:color w:val="0D0D0D"/>
          <w:bdr w:val="single" w:sz="2" w:space="0" w:color="E3E3E3" w:frame="1"/>
        </w:rPr>
        <w:t>(</w:t>
      </w:r>
      <w:r w:rsidRPr="000D653B">
        <w:rPr>
          <w:rStyle w:val="mord"/>
          <w:color w:val="0D0D0D"/>
          <w:bdr w:val="single" w:sz="2" w:space="0" w:color="E3E3E3" w:frame="1"/>
        </w:rPr>
        <w:t>120</w:t>
      </w:r>
      <w:r w:rsidRPr="000D653B">
        <w:rPr>
          <w:rStyle w:val="mbin"/>
          <w:color w:val="0D0D0D"/>
          <w:bdr w:val="single" w:sz="2" w:space="0" w:color="E3E3E3" w:frame="1"/>
        </w:rPr>
        <w:t>−</w:t>
      </w:r>
      <w:r w:rsidRPr="000D653B">
        <w:rPr>
          <w:rStyle w:val="mord"/>
          <w:color w:val="0D0D0D"/>
          <w:bdr w:val="single" w:sz="2" w:space="0" w:color="E3E3E3" w:frame="1"/>
        </w:rPr>
        <w:t>100</w:t>
      </w:r>
      <w:r w:rsidRPr="000D653B">
        <w:rPr>
          <w:rStyle w:val="vlist-s"/>
          <w:color w:val="0D0D0D"/>
          <w:bdr w:val="single" w:sz="2" w:space="0" w:color="E3E3E3" w:frame="1"/>
        </w:rPr>
        <w:t>​</w:t>
      </w:r>
      <w:r w:rsidRPr="000D653B">
        <w:rPr>
          <w:rStyle w:val="delimsizing"/>
          <w:color w:val="0D0D0D"/>
          <w:bdr w:val="single" w:sz="2" w:space="0" w:color="E3E3E3" w:frame="1"/>
        </w:rPr>
        <w:t>)</w:t>
      </w:r>
      <w:r>
        <w:rPr>
          <w:rStyle w:val="delimsizing"/>
          <w:color w:val="0D0D0D"/>
          <w:bdr w:val="single" w:sz="2" w:space="0" w:color="E3E3E3" w:frame="1"/>
        </w:rPr>
        <w:t>/(100)}</w:t>
      </w:r>
      <w:r w:rsidRPr="000D653B">
        <w:rPr>
          <w:rStyle w:val="mbin"/>
          <w:color w:val="0D0D0D"/>
          <w:bdr w:val="single" w:sz="2" w:space="0" w:color="E3E3E3" w:frame="1"/>
        </w:rPr>
        <w:t>×</w:t>
      </w:r>
      <w:r w:rsidRPr="000D653B">
        <w:rPr>
          <w:rStyle w:val="mord"/>
          <w:color w:val="0D0D0D"/>
          <w:bdr w:val="single" w:sz="2" w:space="0" w:color="E3E3E3" w:frame="1"/>
        </w:rPr>
        <w:t>100</w:t>
      </w:r>
      <w:r w:rsidRPr="000D653B">
        <w:rPr>
          <w:rStyle w:val="mrel"/>
          <w:color w:val="0D0D0D"/>
          <w:bdr w:val="single" w:sz="2" w:space="0" w:color="E3E3E3" w:frame="1"/>
        </w:rPr>
        <w:t>=</w:t>
      </w:r>
      <w:r w:rsidRPr="000D653B">
        <w:rPr>
          <w:rStyle w:val="mord"/>
          <w:color w:val="0D0D0D"/>
          <w:bdr w:val="single" w:sz="2" w:space="0" w:color="E3E3E3" w:frame="1"/>
        </w:rPr>
        <w:t>20%</w:t>
      </w:r>
    </w:p>
    <w:p w:rsidR="000D653B" w:rsidRDefault="000D653B" w:rsidP="000D653B">
      <w:pPr>
        <w:rPr>
          <w:rFonts w:cs="Segoe UI"/>
        </w:rPr>
      </w:pPr>
      <w:r w:rsidRPr="000D653B">
        <w:rPr>
          <w:rFonts w:cs="Segoe UI"/>
        </w:rPr>
        <w:t xml:space="preserve">This calculation would give you the percentage change in TCS stock prices for the last year. </w:t>
      </w:r>
    </w:p>
    <w:p w:rsidR="000D653B" w:rsidRPr="00677C4D" w:rsidRDefault="000D653B" w:rsidP="000D653B">
      <w:pPr>
        <w:pStyle w:val="ListParagraph"/>
        <w:numPr>
          <w:ilvl w:val="0"/>
          <w:numId w:val="9"/>
        </w:numPr>
        <w:jc w:val="center"/>
        <w:rPr>
          <w:rFonts w:asciiTheme="minorHAnsi" w:hAnsiTheme="minorHAnsi" w:cs="Segoe UI"/>
          <w:b/>
          <w:color w:val="548DD4" w:themeColor="text2" w:themeTint="99"/>
          <w:sz w:val="32"/>
          <w:szCs w:val="32"/>
          <w:u w:val="single"/>
        </w:rPr>
      </w:pPr>
      <w:r w:rsidRPr="00677C4D">
        <w:rPr>
          <w:rFonts w:asciiTheme="minorHAnsi" w:hAnsiTheme="minorHAnsi" w:cs="Segoe UI"/>
          <w:b/>
          <w:color w:val="548DD4" w:themeColor="text2" w:themeTint="99"/>
          <w:sz w:val="32"/>
          <w:szCs w:val="32"/>
          <w:u w:val="single"/>
        </w:rPr>
        <w:t>VOLATILITY</w:t>
      </w:r>
    </w:p>
    <w:p w:rsidR="000D653B" w:rsidRDefault="000D653B" w:rsidP="009C2179">
      <w:r>
        <w:t>Volatility in the context of stock prices refers to the degree of variation in trading price observed over time. It's typically measured using statistical metrics such as standard deviation or variance. Higher volatility indicates larger fluctuations in price, while lower volatility suggests more stable price movements.</w:t>
      </w:r>
    </w:p>
    <w:p w:rsidR="000D653B" w:rsidRDefault="000D653B" w:rsidP="009C2179">
      <w:r>
        <w:t>To calculate the volatility of TCS stock, you would typically gather historical stock price data over a specific period and then compute the standard deviation or variance of the stock's returns over that period. The returns can be calculated as the percentage change in price from one trading day to the next.</w:t>
      </w:r>
    </w:p>
    <w:p w:rsidR="00AC16DB" w:rsidRPr="00AC16DB" w:rsidRDefault="009C2179" w:rsidP="00AC16DB">
      <w:pPr>
        <w:jc w:val="center"/>
        <w:rPr>
          <w:rFonts w:asciiTheme="minorHAnsi" w:hAnsiTheme="minorHAnsi"/>
          <w:b/>
          <w:color w:val="548DD4" w:themeColor="text2" w:themeTint="99"/>
          <w:sz w:val="36"/>
          <w:szCs w:val="36"/>
          <w:u w:val="single"/>
        </w:rPr>
      </w:pPr>
      <w:r>
        <w:rPr>
          <w:rFonts w:ascii="Arial" w:hAnsi="Arial" w:cs="Arial"/>
          <w:color w:val="E8EAED"/>
          <w:sz w:val="30"/>
          <w:szCs w:val="30"/>
          <w:shd w:val="clear" w:color="auto" w:fill="202124"/>
        </w:rPr>
        <w:t>Tata Consultancy Services is currently trading at Rs 3922.35, marking a 1.0% change today. Over the past 3 months, the average daily volatility stands at </w:t>
      </w:r>
      <w:r>
        <w:rPr>
          <w:rFonts w:ascii="Arial" w:hAnsi="Arial" w:cs="Arial"/>
          <w:color w:val="E2EEFF"/>
          <w:sz w:val="30"/>
          <w:szCs w:val="30"/>
          <w:shd w:val="clear" w:color="auto" w:fill="3A3F50"/>
        </w:rPr>
        <w:t>2.65 units</w:t>
      </w:r>
      <w:r>
        <w:rPr>
          <w:rFonts w:ascii="Arial" w:hAnsi="Arial" w:cs="Arial"/>
          <w:color w:val="E8EAED"/>
          <w:sz w:val="30"/>
          <w:szCs w:val="30"/>
          <w:shd w:val="clear" w:color="auto" w:fill="202124"/>
        </w:rPr>
        <w:t>.</w:t>
      </w:r>
    </w:p>
    <w:p w:rsidR="009C2179" w:rsidRPr="009C2179" w:rsidRDefault="009C2179" w:rsidP="009C2179">
      <w:pPr>
        <w:shd w:val="clear" w:color="auto" w:fill="FFFFFF"/>
        <w:spacing w:before="132" w:beforeAutospacing="0" w:after="60" w:line="240" w:lineRule="auto"/>
        <w:outlineLvl w:val="2"/>
        <w:rPr>
          <w:rFonts w:ascii="Tahoma" w:hAnsi="Tahoma" w:cs="Tahoma"/>
          <w:b/>
          <w:bCs/>
          <w:color w:val="143234"/>
          <w:kern w:val="0"/>
          <w:sz w:val="26"/>
          <w:szCs w:val="26"/>
        </w:rPr>
      </w:pPr>
      <w:r w:rsidRPr="009C2179">
        <w:rPr>
          <w:rFonts w:ascii="Tahoma" w:hAnsi="Tahoma" w:cs="Tahoma"/>
          <w:b/>
          <w:bCs/>
          <w:color w:val="143234"/>
          <w:kern w:val="0"/>
          <w:sz w:val="26"/>
          <w:szCs w:val="26"/>
        </w:rPr>
        <w:t>TCS IV Percentile Rank</w:t>
      </w:r>
    </w:p>
    <w:p w:rsidR="009C2179" w:rsidRPr="009C2179" w:rsidRDefault="009C2179" w:rsidP="009C2179">
      <w:pPr>
        <w:shd w:val="clear" w:color="auto" w:fill="FFFFFF"/>
        <w:spacing w:before="0" w:beforeAutospacing="0" w:after="0" w:line="240" w:lineRule="auto"/>
        <w:rPr>
          <w:rFonts w:ascii="Tahoma" w:hAnsi="Tahoma" w:cs="Tahoma"/>
          <w:color w:val="4D4D4D"/>
          <w:kern w:val="0"/>
        </w:rPr>
      </w:pPr>
      <w:r w:rsidRPr="009C2179">
        <w:rPr>
          <w:rFonts w:ascii="Tahoma" w:hAnsi="Tahoma" w:cs="Tahoma"/>
          <w:color w:val="4D4D4D"/>
          <w:kern w:val="0"/>
        </w:rPr>
        <w:t>TCS implied volatility (IV) is 52.8, which is in the </w:t>
      </w:r>
      <w:r w:rsidRPr="009C2179">
        <w:rPr>
          <w:rFonts w:ascii="Tahoma" w:hAnsi="Tahoma" w:cs="Tahoma"/>
          <w:b/>
          <w:bCs/>
          <w:color w:val="4D4D4D"/>
          <w:kern w:val="0"/>
        </w:rPr>
        <w:t>16%</w:t>
      </w:r>
      <w:r w:rsidRPr="009C2179">
        <w:rPr>
          <w:rFonts w:ascii="Tahoma" w:hAnsi="Tahoma" w:cs="Tahoma"/>
          <w:color w:val="4D4D4D"/>
          <w:kern w:val="0"/>
        </w:rPr>
        <w:t> percentile rank. This means that 16% of the time the IV was lower in the last year than the current level. The current IV (52.8) is -26.8% below its 20 day moving average (72.1) indicating implied volatility is </w:t>
      </w:r>
      <w:r w:rsidRPr="009C2179">
        <w:rPr>
          <w:rFonts w:ascii="Tahoma" w:hAnsi="Tahoma" w:cs="Tahoma"/>
          <w:b/>
          <w:bCs/>
          <w:color w:val="4D4D4D"/>
          <w:kern w:val="0"/>
        </w:rPr>
        <w:t>trending lower</w:t>
      </w:r>
      <w:r w:rsidRPr="009C2179">
        <w:rPr>
          <w:rFonts w:ascii="Tahoma" w:hAnsi="Tahoma" w:cs="Tahoma"/>
          <w:color w:val="4D4D4D"/>
          <w:kern w:val="0"/>
        </w:rPr>
        <w:t>.</w:t>
      </w:r>
    </w:p>
    <w:p w:rsidR="009C2179" w:rsidRPr="009C2179" w:rsidRDefault="009C2179" w:rsidP="009C2179">
      <w:pPr>
        <w:shd w:val="clear" w:color="auto" w:fill="FFFFFF"/>
        <w:spacing w:before="132" w:beforeAutospacing="0" w:after="60" w:line="240" w:lineRule="auto"/>
        <w:outlineLvl w:val="2"/>
        <w:rPr>
          <w:rFonts w:ascii="Tahoma" w:hAnsi="Tahoma" w:cs="Tahoma"/>
          <w:b/>
          <w:bCs/>
          <w:color w:val="143234"/>
          <w:kern w:val="0"/>
          <w:sz w:val="26"/>
          <w:szCs w:val="26"/>
        </w:rPr>
      </w:pPr>
      <w:r w:rsidRPr="009C2179">
        <w:rPr>
          <w:rFonts w:ascii="Tahoma" w:hAnsi="Tahoma" w:cs="Tahoma"/>
          <w:b/>
          <w:bCs/>
          <w:color w:val="143234"/>
          <w:kern w:val="0"/>
          <w:sz w:val="26"/>
          <w:szCs w:val="26"/>
        </w:rPr>
        <w:t xml:space="preserve">TCS IV </w:t>
      </w:r>
      <w:proofErr w:type="spellStart"/>
      <w:r w:rsidRPr="009C2179">
        <w:rPr>
          <w:rFonts w:ascii="Tahoma" w:hAnsi="Tahoma" w:cs="Tahoma"/>
          <w:b/>
          <w:bCs/>
          <w:color w:val="143234"/>
          <w:kern w:val="0"/>
          <w:sz w:val="26"/>
          <w:szCs w:val="26"/>
        </w:rPr>
        <w:t>vs</w:t>
      </w:r>
      <w:proofErr w:type="spellEnd"/>
      <w:r w:rsidRPr="009C2179">
        <w:rPr>
          <w:rFonts w:ascii="Tahoma" w:hAnsi="Tahoma" w:cs="Tahoma"/>
          <w:b/>
          <w:bCs/>
          <w:color w:val="143234"/>
          <w:kern w:val="0"/>
          <w:sz w:val="26"/>
          <w:szCs w:val="26"/>
        </w:rPr>
        <w:t xml:space="preserve"> 20-Day HV</w:t>
      </w:r>
    </w:p>
    <w:p w:rsidR="009C2179" w:rsidRPr="009C2179" w:rsidRDefault="009C2179" w:rsidP="009C2179">
      <w:pPr>
        <w:shd w:val="clear" w:color="auto" w:fill="FFFFFF"/>
        <w:spacing w:before="0" w:beforeAutospacing="0" w:after="0" w:line="240" w:lineRule="auto"/>
        <w:rPr>
          <w:rFonts w:ascii="Tahoma" w:hAnsi="Tahoma" w:cs="Tahoma"/>
          <w:color w:val="4D4D4D"/>
          <w:kern w:val="0"/>
        </w:rPr>
      </w:pPr>
      <w:r w:rsidRPr="009C2179">
        <w:rPr>
          <w:rFonts w:ascii="Tahoma" w:hAnsi="Tahoma" w:cs="Tahoma"/>
          <w:color w:val="4D4D4D"/>
          <w:kern w:val="0"/>
        </w:rPr>
        <w:t>The current IV (52.8) in TCS is -31.4% below its 20 day HV (76.9) suggesting that options markets are predicting future volatility to trade below the most recent 20 day realized volatility.</w:t>
      </w:r>
    </w:p>
    <w:p w:rsidR="009C2179" w:rsidRPr="009C2179" w:rsidRDefault="009C2179" w:rsidP="009C2179">
      <w:pPr>
        <w:shd w:val="clear" w:color="auto" w:fill="FFFFFF"/>
        <w:spacing w:before="132" w:beforeAutospacing="0" w:after="60" w:line="240" w:lineRule="auto"/>
        <w:outlineLvl w:val="2"/>
        <w:rPr>
          <w:rFonts w:ascii="Tahoma" w:hAnsi="Tahoma" w:cs="Tahoma"/>
          <w:b/>
          <w:bCs/>
          <w:color w:val="143234"/>
          <w:kern w:val="0"/>
          <w:sz w:val="26"/>
          <w:szCs w:val="26"/>
        </w:rPr>
      </w:pPr>
      <w:r w:rsidRPr="009C2179">
        <w:rPr>
          <w:rFonts w:ascii="Tahoma" w:hAnsi="Tahoma" w:cs="Tahoma"/>
          <w:b/>
          <w:bCs/>
          <w:color w:val="143234"/>
          <w:kern w:val="0"/>
          <w:sz w:val="26"/>
          <w:szCs w:val="26"/>
        </w:rPr>
        <w:t xml:space="preserve">TCS IV </w:t>
      </w:r>
      <w:proofErr w:type="spellStart"/>
      <w:r w:rsidRPr="009C2179">
        <w:rPr>
          <w:rFonts w:ascii="Tahoma" w:hAnsi="Tahoma" w:cs="Tahoma"/>
          <w:b/>
          <w:bCs/>
          <w:color w:val="143234"/>
          <w:kern w:val="0"/>
          <w:sz w:val="26"/>
          <w:szCs w:val="26"/>
        </w:rPr>
        <w:t>vs</w:t>
      </w:r>
      <w:proofErr w:type="spellEnd"/>
      <w:r w:rsidRPr="009C2179">
        <w:rPr>
          <w:rFonts w:ascii="Tahoma" w:hAnsi="Tahoma" w:cs="Tahoma"/>
          <w:b/>
          <w:bCs/>
          <w:color w:val="143234"/>
          <w:kern w:val="0"/>
          <w:sz w:val="26"/>
          <w:szCs w:val="26"/>
        </w:rPr>
        <w:t xml:space="preserve"> 252-Day HV Divergence</w:t>
      </w:r>
    </w:p>
    <w:p w:rsidR="009C2179" w:rsidRDefault="009C2179" w:rsidP="009C2179">
      <w:pPr>
        <w:shd w:val="clear" w:color="auto" w:fill="FFFFFF"/>
        <w:spacing w:before="0" w:beforeAutospacing="0" w:after="0" w:line="240" w:lineRule="auto"/>
        <w:rPr>
          <w:rFonts w:ascii="Tahoma" w:hAnsi="Tahoma" w:cs="Tahoma"/>
          <w:color w:val="4D4D4D"/>
          <w:kern w:val="0"/>
        </w:rPr>
      </w:pPr>
      <w:r w:rsidRPr="009C2179">
        <w:rPr>
          <w:rFonts w:ascii="Tahoma" w:hAnsi="Tahoma" w:cs="Tahoma"/>
          <w:color w:val="4D4D4D"/>
          <w:kern w:val="0"/>
        </w:rPr>
        <w:lastRenderedPageBreak/>
        <w:t>Traders frequently use the difference between implied volatility and historical volatility to measure divergence from the mean. Using the 252 HV as the long term benchmark, the implied volatility (52.8) is currently -28.3% below the 252 day HV (73.6) mean.</w:t>
      </w:r>
    </w:p>
    <w:p w:rsidR="009C2179" w:rsidRDefault="009C2179" w:rsidP="009C2179">
      <w:pPr>
        <w:shd w:val="clear" w:color="auto" w:fill="FFFFFF"/>
        <w:spacing w:before="0" w:beforeAutospacing="0" w:after="0" w:line="240" w:lineRule="auto"/>
        <w:rPr>
          <w:rFonts w:ascii="Tahoma" w:hAnsi="Tahoma" w:cs="Tahoma"/>
          <w:color w:val="4D4D4D"/>
          <w:kern w:val="0"/>
        </w:rPr>
      </w:pPr>
      <w:r>
        <w:rPr>
          <w:rFonts w:ascii="Tahoma" w:hAnsi="Tahoma" w:cs="Tahoma"/>
          <w:noProof/>
          <w:color w:val="4D4D4D"/>
          <w:kern w:val="0"/>
        </w:rPr>
        <w:drawing>
          <wp:inline distT="0" distB="0" distL="0" distR="0">
            <wp:extent cx="5933660" cy="2389870"/>
            <wp:effectExtent l="19050" t="0" r="0" b="0"/>
            <wp:docPr id="7" name="Picture 6" descr="B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TA.jpg"/>
                    <pic:cNvPicPr/>
                  </pic:nvPicPr>
                  <pic:blipFill>
                    <a:blip r:embed="rId9"/>
                    <a:stretch>
                      <a:fillRect/>
                    </a:stretch>
                  </pic:blipFill>
                  <pic:spPr>
                    <a:xfrm>
                      <a:off x="0" y="0"/>
                      <a:ext cx="5943600" cy="2393873"/>
                    </a:xfrm>
                    <a:prstGeom prst="rect">
                      <a:avLst/>
                    </a:prstGeom>
                  </pic:spPr>
                </pic:pic>
              </a:graphicData>
            </a:graphic>
          </wp:inline>
        </w:drawing>
      </w:r>
    </w:p>
    <w:p w:rsidR="009C0196" w:rsidRPr="009C2179" w:rsidRDefault="009C0196" w:rsidP="009C2179">
      <w:pPr>
        <w:shd w:val="clear" w:color="auto" w:fill="FFFFFF"/>
        <w:spacing w:before="0" w:beforeAutospacing="0" w:after="0" w:line="240" w:lineRule="auto"/>
        <w:rPr>
          <w:rFonts w:ascii="Tahoma" w:hAnsi="Tahoma" w:cs="Tahoma"/>
          <w:color w:val="4D4D4D"/>
          <w:kern w:val="0"/>
        </w:rPr>
      </w:pPr>
    </w:p>
    <w:p w:rsidR="00677C4D" w:rsidRDefault="00677C4D" w:rsidP="00677C4D">
      <w:pPr>
        <w:pStyle w:val="ListParagraph"/>
        <w:numPr>
          <w:ilvl w:val="0"/>
          <w:numId w:val="10"/>
        </w:numPr>
        <w:jc w:val="center"/>
        <w:rPr>
          <w:rFonts w:asciiTheme="minorHAnsi" w:hAnsiTheme="minorHAnsi"/>
          <w:b/>
          <w:color w:val="548DD4" w:themeColor="text2" w:themeTint="99"/>
          <w:sz w:val="32"/>
          <w:szCs w:val="32"/>
        </w:rPr>
      </w:pPr>
      <w:r w:rsidRPr="00677C4D">
        <w:rPr>
          <w:rFonts w:asciiTheme="minorHAnsi" w:hAnsiTheme="minorHAnsi"/>
          <w:b/>
          <w:color w:val="548DD4" w:themeColor="text2" w:themeTint="99"/>
          <w:sz w:val="32"/>
          <w:szCs w:val="32"/>
        </w:rPr>
        <w:t>AVERAGE TRADING VOLUME</w:t>
      </w:r>
    </w:p>
    <w:p w:rsidR="00F5132F" w:rsidRDefault="00F5132F" w:rsidP="00F5132F">
      <w:pPr>
        <w:ind w:left="1080"/>
        <w:jc w:val="center"/>
        <w:rPr>
          <w:rFonts w:ascii="Arial" w:hAnsi="Arial" w:cs="Arial"/>
          <w:color w:val="E2EEFF"/>
          <w:sz w:val="23"/>
          <w:szCs w:val="23"/>
          <w:shd w:val="clear" w:color="auto" w:fill="3A3F50"/>
        </w:rPr>
      </w:pPr>
      <w:r w:rsidRPr="00F5132F">
        <w:rPr>
          <w:rFonts w:ascii="Arial" w:hAnsi="Arial" w:cs="Arial"/>
          <w:color w:val="E8EAED"/>
          <w:sz w:val="23"/>
          <w:szCs w:val="23"/>
          <w:shd w:val="clear" w:color="auto" w:fill="202124"/>
        </w:rPr>
        <w:t>On the previous trading day, Tata Consultancy Services closed at Rs 3947.30 with a trading volume of 3,973,090 shares, surpassing the average volume of the past 7 days which stood at </w:t>
      </w:r>
      <w:r w:rsidRPr="00F5132F">
        <w:rPr>
          <w:rFonts w:ascii="Arial" w:hAnsi="Arial" w:cs="Arial"/>
          <w:color w:val="E2EEFF"/>
          <w:sz w:val="23"/>
          <w:szCs w:val="23"/>
          <w:shd w:val="clear" w:color="auto" w:fill="3A3F50"/>
        </w:rPr>
        <w:t>2,999,303 shares</w:t>
      </w:r>
    </w:p>
    <w:p w:rsidR="00AC16DB" w:rsidRDefault="00677C4D" w:rsidP="00F5132F">
      <w:pPr>
        <w:pStyle w:val="ListParagraph"/>
        <w:jc w:val="center"/>
        <w:rPr>
          <w:sz w:val="32"/>
          <w:szCs w:val="32"/>
        </w:rPr>
      </w:pPr>
      <w:r w:rsidRPr="00F5132F">
        <w:rPr>
          <w:sz w:val="32"/>
          <w:szCs w:val="32"/>
        </w:rPr>
        <w:t>DAILY PERCENTAGE AND VOLUME ANALYSIS</w:t>
      </w:r>
      <w:r w:rsidR="00F0761D">
        <w:rPr>
          <w:noProof/>
          <w:sz w:val="36"/>
          <w:szCs w:val="36"/>
        </w:rPr>
        <w:drawing>
          <wp:inline distT="0" distB="0" distL="0" distR="0">
            <wp:extent cx="5049762" cy="2971800"/>
            <wp:effectExtent l="19050" t="0" r="0" b="0"/>
            <wp:docPr id="11" name="Picture 7" descr="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jpg"/>
                    <pic:cNvPicPr/>
                  </pic:nvPicPr>
                  <pic:blipFill>
                    <a:blip r:embed="rId10"/>
                    <a:stretch>
                      <a:fillRect/>
                    </a:stretch>
                  </pic:blipFill>
                  <pic:spPr>
                    <a:xfrm>
                      <a:off x="0" y="0"/>
                      <a:ext cx="5065586" cy="2981113"/>
                    </a:xfrm>
                    <a:prstGeom prst="rect">
                      <a:avLst/>
                    </a:prstGeom>
                  </pic:spPr>
                </pic:pic>
              </a:graphicData>
            </a:graphic>
          </wp:inline>
        </w:drawing>
      </w:r>
    </w:p>
    <w:p w:rsidR="00BC2BF7" w:rsidRDefault="007643B7" w:rsidP="00F5132F">
      <w:pPr>
        <w:pStyle w:val="ListParagraph"/>
        <w:jc w:val="center"/>
        <w:rPr>
          <w:b/>
          <w:color w:val="548DD4" w:themeColor="text2" w:themeTint="99"/>
          <w:sz w:val="32"/>
          <w:szCs w:val="32"/>
          <w:u w:val="single"/>
        </w:rPr>
      </w:pPr>
      <w:r w:rsidRPr="00BC2BF7">
        <w:rPr>
          <w:b/>
          <w:color w:val="548DD4" w:themeColor="text2" w:themeTint="99"/>
          <w:sz w:val="32"/>
          <w:szCs w:val="32"/>
          <w:u w:val="single"/>
        </w:rPr>
        <w:lastRenderedPageBreak/>
        <w:t>4. STOCK</w:t>
      </w:r>
      <w:r w:rsidR="00BC2BF7" w:rsidRPr="00BC2BF7">
        <w:rPr>
          <w:b/>
          <w:color w:val="548DD4" w:themeColor="text2" w:themeTint="99"/>
          <w:sz w:val="32"/>
          <w:szCs w:val="32"/>
          <w:u w:val="single"/>
        </w:rPr>
        <w:t xml:space="preserve"> COMPARISON WITH RELATED STOCK INDEX</w:t>
      </w:r>
    </w:p>
    <w:p w:rsidR="007643B7" w:rsidRPr="007643B7" w:rsidRDefault="007643B7" w:rsidP="007643B7">
      <w:pPr>
        <w:rPr>
          <w:b/>
          <w:color w:val="548DD4" w:themeColor="text2" w:themeTint="99"/>
          <w:sz w:val="32"/>
          <w:szCs w:val="32"/>
          <w:u w:val="single"/>
        </w:rPr>
      </w:pPr>
      <w:r>
        <w:rPr>
          <w:noProof/>
        </w:rPr>
        <w:drawing>
          <wp:inline distT="0" distB="0" distL="0" distR="0">
            <wp:extent cx="2033486" cy="1354176"/>
            <wp:effectExtent l="19050" t="0" r="4864" b="0"/>
            <wp:docPr id="12" name="Picture 1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2031045" cy="1352550"/>
                    </a:xfrm>
                    <a:prstGeom prst="rect">
                      <a:avLst/>
                    </a:prstGeom>
                  </pic:spPr>
                </pic:pic>
              </a:graphicData>
            </a:graphic>
          </wp:inline>
        </w:drawing>
      </w:r>
      <w:r w:rsidRPr="007643B7">
        <w:rPr>
          <w:b/>
          <w:color w:val="548DD4" w:themeColor="text2" w:themeTint="99"/>
          <w:sz w:val="32"/>
          <w:szCs w:val="32"/>
          <w:u w:val="single"/>
        </w:rPr>
        <w:t xml:space="preserve">             </w:t>
      </w:r>
      <w:r>
        <w:rPr>
          <w:b/>
          <w:color w:val="548DD4" w:themeColor="text2" w:themeTint="99"/>
          <w:sz w:val="32"/>
          <w:szCs w:val="32"/>
          <w:u w:val="single"/>
        </w:rPr>
        <w:t xml:space="preserve">                </w:t>
      </w:r>
      <w:r w:rsidRPr="007643B7">
        <w:rPr>
          <w:b/>
          <w:color w:val="548DD4" w:themeColor="text2" w:themeTint="99"/>
          <w:sz w:val="32"/>
          <w:szCs w:val="32"/>
          <w:u w:val="single"/>
        </w:rPr>
        <w:t xml:space="preserve">        </w:t>
      </w:r>
      <w:r>
        <w:rPr>
          <w:noProof/>
        </w:rPr>
        <w:drawing>
          <wp:inline distT="0" distB="0" distL="0" distR="0">
            <wp:extent cx="1858185" cy="1331761"/>
            <wp:effectExtent l="19050" t="0" r="8715" b="0"/>
            <wp:docPr id="13" name="Picture 12"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1"/>
                    <a:stretch>
                      <a:fillRect/>
                    </a:stretch>
                  </pic:blipFill>
                  <pic:spPr>
                    <a:xfrm>
                      <a:off x="0" y="0"/>
                      <a:ext cx="1860611" cy="1333500"/>
                    </a:xfrm>
                    <a:prstGeom prst="rect">
                      <a:avLst/>
                    </a:prstGeom>
                  </pic:spPr>
                </pic:pic>
              </a:graphicData>
            </a:graphic>
          </wp:inline>
        </w:drawing>
      </w:r>
    </w:p>
    <w:tbl>
      <w:tblPr>
        <w:tblW w:w="22275" w:type="dxa"/>
        <w:tblCellSpacing w:w="15" w:type="dxa"/>
        <w:tblInd w:w="-675" w:type="dxa"/>
        <w:tblCellMar>
          <w:top w:w="15" w:type="dxa"/>
          <w:left w:w="15" w:type="dxa"/>
          <w:bottom w:w="15" w:type="dxa"/>
          <w:right w:w="15" w:type="dxa"/>
        </w:tblCellMar>
        <w:tblLook w:val="04A0"/>
      </w:tblPr>
      <w:tblGrid>
        <w:gridCol w:w="3690"/>
        <w:gridCol w:w="4050"/>
        <w:gridCol w:w="254"/>
        <w:gridCol w:w="3561"/>
        <w:gridCol w:w="87"/>
        <w:gridCol w:w="3477"/>
        <w:gridCol w:w="62"/>
        <w:gridCol w:w="3502"/>
        <w:gridCol w:w="37"/>
        <w:gridCol w:w="3555"/>
      </w:tblGrid>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Symbol</w:t>
            </w:r>
          </w:p>
        </w:tc>
        <w:tc>
          <w:tcPr>
            <w:tcW w:w="4020"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TCS</w:t>
            </w:r>
          </w:p>
        </w:tc>
        <w:tc>
          <w:tcPr>
            <w:tcW w:w="3785" w:type="dxa"/>
            <w:gridSpan w:val="2"/>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NFTY</w:t>
            </w:r>
          </w:p>
        </w:tc>
        <w:tc>
          <w:tcPr>
            <w:tcW w:w="3534" w:type="dxa"/>
            <w:gridSpan w:val="2"/>
            <w:vAlign w:val="center"/>
            <w:hideMark/>
          </w:tcPr>
          <w:p w:rsidR="00BC2BF7" w:rsidRPr="00BC2BF7" w:rsidRDefault="00BC2BF7" w:rsidP="00BC2BF7">
            <w:pPr>
              <w:spacing w:before="0" w:beforeAutospacing="0" w:after="0" w:line="240" w:lineRule="auto"/>
              <w:rPr>
                <w:rFonts w:ascii="Arial" w:hAnsi="Arial" w:cs="Arial"/>
                <w:kern w:val="0"/>
                <w:sz w:val="26"/>
                <w:szCs w:val="26"/>
              </w:rPr>
            </w:pPr>
          </w:p>
        </w:tc>
        <w:tc>
          <w:tcPr>
            <w:tcW w:w="3534" w:type="dxa"/>
            <w:gridSpan w:val="2"/>
            <w:vAlign w:val="center"/>
            <w:hideMark/>
          </w:tcPr>
          <w:p w:rsidR="00BC2BF7" w:rsidRPr="00BC2BF7" w:rsidRDefault="00BC2BF7" w:rsidP="00BC2BF7">
            <w:pPr>
              <w:spacing w:before="0" w:beforeAutospacing="0" w:after="0" w:line="240" w:lineRule="auto"/>
              <w:rPr>
                <w:rFonts w:ascii="Arial" w:hAnsi="Arial" w:cs="Arial"/>
                <w:kern w:val="0"/>
                <w:sz w:val="26"/>
                <w:szCs w:val="26"/>
              </w:rPr>
            </w:pPr>
          </w:p>
        </w:tc>
        <w:tc>
          <w:tcPr>
            <w:tcW w:w="3547" w:type="dxa"/>
            <w:gridSpan w:val="2"/>
            <w:vAlign w:val="center"/>
            <w:hideMark/>
          </w:tcPr>
          <w:p w:rsidR="00BC2BF7" w:rsidRPr="00BC2BF7" w:rsidRDefault="00BC2BF7" w:rsidP="00BC2BF7">
            <w:pPr>
              <w:spacing w:before="0" w:beforeAutospacing="0" w:after="0" w:line="240" w:lineRule="auto"/>
              <w:rPr>
                <w:rFonts w:ascii="Arial" w:hAnsi="Arial" w:cs="Arial"/>
                <w:kern w:val="0"/>
                <w:sz w:val="26"/>
                <w:szCs w:val="26"/>
              </w:rPr>
            </w:pP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Company</w:t>
            </w:r>
          </w:p>
        </w:tc>
        <w:tc>
          <w:tcPr>
            <w:tcW w:w="4020"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The Container Store Group Inc</w:t>
            </w:r>
          </w:p>
        </w:tc>
        <w:tc>
          <w:tcPr>
            <w:tcW w:w="3785" w:type="dxa"/>
            <w:gridSpan w:val="2"/>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FT India Nifty 50 EW ETF</w:t>
            </w:r>
          </w:p>
        </w:tc>
        <w:tc>
          <w:tcPr>
            <w:tcW w:w="0" w:type="auto"/>
            <w:gridSpan w:val="2"/>
            <w:vAlign w:val="center"/>
            <w:hideMark/>
          </w:tcPr>
          <w:p w:rsidR="00BC2BF7" w:rsidRPr="00BC2BF7" w:rsidRDefault="00BC2BF7" w:rsidP="00BC2BF7">
            <w:pPr>
              <w:spacing w:before="0" w:beforeAutospacing="0" w:after="0" w:line="240" w:lineRule="auto"/>
              <w:rPr>
                <w:rFonts w:ascii="Times New Roman" w:hAnsi="Times New Roman"/>
                <w:color w:val="auto"/>
                <w:kern w:val="0"/>
                <w:sz w:val="20"/>
                <w:szCs w:val="20"/>
              </w:rPr>
            </w:pPr>
          </w:p>
        </w:tc>
        <w:tc>
          <w:tcPr>
            <w:tcW w:w="0" w:type="auto"/>
            <w:gridSpan w:val="2"/>
            <w:vAlign w:val="center"/>
            <w:hideMark/>
          </w:tcPr>
          <w:p w:rsidR="00BC2BF7" w:rsidRPr="00BC2BF7" w:rsidRDefault="00BC2BF7" w:rsidP="00BC2BF7">
            <w:pPr>
              <w:spacing w:before="0" w:beforeAutospacing="0" w:after="0" w:line="240" w:lineRule="auto"/>
              <w:rPr>
                <w:rFonts w:ascii="Times New Roman" w:hAnsi="Times New Roman"/>
                <w:color w:val="auto"/>
                <w:kern w:val="0"/>
                <w:sz w:val="20"/>
                <w:szCs w:val="20"/>
              </w:rPr>
            </w:pPr>
          </w:p>
        </w:tc>
        <w:tc>
          <w:tcPr>
            <w:tcW w:w="0" w:type="auto"/>
            <w:gridSpan w:val="2"/>
            <w:vAlign w:val="center"/>
            <w:hideMark/>
          </w:tcPr>
          <w:p w:rsidR="00BC2BF7" w:rsidRPr="00BC2BF7" w:rsidRDefault="00BC2BF7" w:rsidP="00BC2BF7">
            <w:pPr>
              <w:spacing w:before="0" w:beforeAutospacing="0" w:after="0" w:line="240" w:lineRule="auto"/>
              <w:rPr>
                <w:rFonts w:ascii="Times New Roman" w:hAnsi="Times New Roman"/>
                <w:color w:val="auto"/>
                <w:kern w:val="0"/>
                <w:sz w:val="20"/>
                <w:szCs w:val="20"/>
              </w:rPr>
            </w:pPr>
          </w:p>
        </w:tc>
      </w:tr>
      <w:tr w:rsidR="00BC2BF7" w:rsidRPr="00BC2BF7" w:rsidTr="00BC2BF7">
        <w:trPr>
          <w:tblCellSpacing w:w="15" w:type="dxa"/>
        </w:trPr>
        <w:tc>
          <w:tcPr>
            <w:tcW w:w="3645" w:type="dxa"/>
            <w:tcBorders>
              <w:right w:val="nil"/>
            </w:tcBorders>
            <w:vAlign w:val="center"/>
            <w:hideMark/>
          </w:tcPr>
          <w:p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Price Information</w:t>
            </w:r>
          </w:p>
        </w:tc>
        <w:tc>
          <w:tcPr>
            <w:tcW w:w="18540" w:type="dxa"/>
            <w:gridSpan w:val="9"/>
            <w:tcBorders>
              <w:right w:val="nil"/>
            </w:tcBorders>
            <w:vAlign w:val="center"/>
            <w:hideMark/>
          </w:tcPr>
          <w:p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Exchange</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NYSE</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NASDAQ</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Open</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1.1400</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57.30</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High</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1.2000</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57.51</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Low</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1.1400</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57.30</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Last</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1.1900</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57.42</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Change</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+0.0900</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+0.13</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 Change</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+8.18%</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+0.23%</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Volume</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104,937</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5,463</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20-Day Average Volume</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361,171</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25,218</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Previous Close</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1.1000</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57.29</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Industry</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xml:space="preserve">Consumer </w:t>
            </w:r>
            <w:proofErr w:type="spellStart"/>
            <w:r w:rsidRPr="00BC2BF7">
              <w:rPr>
                <w:rFonts w:ascii="Arial" w:hAnsi="Arial" w:cs="Arial"/>
                <w:kern w:val="0"/>
                <w:sz w:val="26"/>
                <w:szCs w:val="26"/>
              </w:rPr>
              <w:t>Prdts</w:t>
            </w:r>
            <w:proofErr w:type="spellEnd"/>
            <w:r w:rsidRPr="00BC2BF7">
              <w:rPr>
                <w:rFonts w:ascii="Arial" w:hAnsi="Arial" w:cs="Arial"/>
                <w:kern w:val="0"/>
                <w:sz w:val="26"/>
                <w:szCs w:val="26"/>
              </w:rPr>
              <w:t xml:space="preserve"> - Misc </w:t>
            </w:r>
            <w:proofErr w:type="spellStart"/>
            <w:r w:rsidRPr="00BC2BF7">
              <w:rPr>
                <w:rFonts w:ascii="Arial" w:hAnsi="Arial" w:cs="Arial"/>
                <w:kern w:val="0"/>
                <w:sz w:val="26"/>
                <w:szCs w:val="26"/>
              </w:rPr>
              <w:t>Discr</w:t>
            </w:r>
            <w:proofErr w:type="spellEnd"/>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Has Options</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Yes</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Yes</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blCellSpacing w:w="15" w:type="dxa"/>
        </w:trPr>
        <w:tc>
          <w:tcPr>
            <w:tcW w:w="3645" w:type="dxa"/>
            <w:tcBorders>
              <w:right w:val="nil"/>
            </w:tcBorders>
            <w:vAlign w:val="center"/>
            <w:hideMark/>
          </w:tcPr>
          <w:p w:rsidR="00BC2BF7" w:rsidRPr="00BC2BF7" w:rsidRDefault="00BC2BF7" w:rsidP="00BC2BF7">
            <w:pPr>
              <w:spacing w:before="0" w:beforeAutospacing="0" w:after="0" w:line="240" w:lineRule="auto"/>
              <w:rPr>
                <w:rFonts w:ascii="Arial" w:hAnsi="Arial" w:cs="Arial"/>
                <w:b/>
                <w:bCs/>
                <w:kern w:val="0"/>
                <w:sz w:val="26"/>
                <w:szCs w:val="26"/>
              </w:rPr>
            </w:pPr>
            <w:proofErr w:type="spellStart"/>
            <w:r w:rsidRPr="00BC2BF7">
              <w:rPr>
                <w:rFonts w:ascii="Arial" w:hAnsi="Arial" w:cs="Arial"/>
                <w:b/>
                <w:bCs/>
                <w:kern w:val="0"/>
                <w:sz w:val="26"/>
                <w:szCs w:val="26"/>
              </w:rPr>
              <w:t>Technicals</w:t>
            </w:r>
            <w:proofErr w:type="spellEnd"/>
          </w:p>
        </w:tc>
        <w:tc>
          <w:tcPr>
            <w:tcW w:w="18540" w:type="dxa"/>
            <w:gridSpan w:val="9"/>
            <w:tcBorders>
              <w:right w:val="nil"/>
            </w:tcBorders>
            <w:vAlign w:val="center"/>
            <w:hideMark/>
          </w:tcPr>
          <w:p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20-Day Moving Average</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1.1155</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56.62</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lastRenderedPageBreak/>
              <w:t>20-Day Raw Stochastic</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66.47%</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72.85%</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20-Day Relative Strength</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46.48%</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58.39%</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Weighted Alpha</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-59.39</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+34.15</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Today's Opinion</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88% Sell</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96% Buy</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Previous Opinion</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100% Sell</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96% Buy</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Last Month's Opinion</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100% Sell</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100% Buy</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blCellSpacing w:w="15" w:type="dxa"/>
        </w:trPr>
        <w:tc>
          <w:tcPr>
            <w:tcW w:w="3645" w:type="dxa"/>
            <w:tcBorders>
              <w:right w:val="nil"/>
            </w:tcBorders>
            <w:vAlign w:val="center"/>
            <w:hideMark/>
          </w:tcPr>
          <w:p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Performance</w:t>
            </w:r>
          </w:p>
        </w:tc>
        <w:tc>
          <w:tcPr>
            <w:tcW w:w="18540" w:type="dxa"/>
            <w:gridSpan w:val="9"/>
            <w:tcBorders>
              <w:right w:val="nil"/>
            </w:tcBorders>
            <w:vAlign w:val="center"/>
            <w:hideMark/>
          </w:tcPr>
          <w:p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rsidTr="00BC2BF7">
        <w:trPr>
          <w:trHeight w:val="437"/>
          <w:tblCellSpacing w:w="15" w:type="dxa"/>
        </w:trPr>
        <w:tc>
          <w:tcPr>
            <w:tcW w:w="3645" w:type="dxa"/>
            <w:tcBorders>
              <w:right w:val="nil"/>
            </w:tcBorders>
            <w:vAlign w:val="center"/>
            <w:hideMark/>
          </w:tcPr>
          <w:p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5-Days</w:t>
            </w:r>
          </w:p>
        </w:tc>
        <w:tc>
          <w:tcPr>
            <w:tcW w:w="18540" w:type="dxa"/>
            <w:gridSpan w:val="9"/>
            <w:vAlign w:val="center"/>
            <w:hideMark/>
          </w:tcPr>
          <w:p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%Chg</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+7.26%</w:t>
            </w:r>
            <w:r w:rsidRPr="00BC2BF7">
              <w:rPr>
                <w:rFonts w:ascii="Arial" w:hAnsi="Arial" w:cs="Arial"/>
                <w:kern w:val="0"/>
                <w:sz w:val="26"/>
                <w:szCs w:val="26"/>
              </w:rPr>
              <w:t> since 03/27/24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+2.75%</w:t>
            </w:r>
            <w:r w:rsidRPr="00BC2BF7">
              <w:rPr>
                <w:rFonts w:ascii="Arial" w:hAnsi="Arial" w:cs="Arial"/>
                <w:kern w:val="0"/>
                <w:sz w:val="26"/>
                <w:szCs w:val="26"/>
              </w:rPr>
              <w:t> since 03/27/24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Low</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1.0700 on 04/02/24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56.73 on 03/28/24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High</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1.2000 on 04/04/24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57.51 on 04/04/24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437"/>
          <w:tblCellSpacing w:w="15" w:type="dxa"/>
        </w:trPr>
        <w:tc>
          <w:tcPr>
            <w:tcW w:w="3645" w:type="dxa"/>
            <w:tcBorders>
              <w:right w:val="nil"/>
            </w:tcBorders>
            <w:vAlign w:val="center"/>
            <w:hideMark/>
          </w:tcPr>
          <w:p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1-Month</w:t>
            </w:r>
          </w:p>
        </w:tc>
        <w:tc>
          <w:tcPr>
            <w:tcW w:w="18540" w:type="dxa"/>
            <w:gridSpan w:val="9"/>
            <w:vAlign w:val="center"/>
            <w:hideMark/>
          </w:tcPr>
          <w:p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%Chg</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-11.29%</w:t>
            </w:r>
            <w:r w:rsidRPr="00BC2BF7">
              <w:rPr>
                <w:rFonts w:ascii="Arial" w:hAnsi="Arial" w:cs="Arial"/>
                <w:kern w:val="0"/>
                <w:sz w:val="26"/>
                <w:szCs w:val="26"/>
              </w:rPr>
              <w:t> since 03/04/24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-0.26%</w:t>
            </w:r>
            <w:r w:rsidRPr="00BC2BF7">
              <w:rPr>
                <w:rFonts w:ascii="Arial" w:hAnsi="Arial" w:cs="Arial"/>
                <w:kern w:val="0"/>
                <w:sz w:val="26"/>
                <w:szCs w:val="26"/>
              </w:rPr>
              <w:t> since 03/04/24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Low</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0.9815 on 03/18/24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55.34 on 03/19/24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High</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1.3050 on 03/05/24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58.25 on 03/08/24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437"/>
          <w:tblCellSpacing w:w="15" w:type="dxa"/>
        </w:trPr>
        <w:tc>
          <w:tcPr>
            <w:tcW w:w="3645" w:type="dxa"/>
            <w:tcBorders>
              <w:right w:val="nil"/>
            </w:tcBorders>
            <w:vAlign w:val="center"/>
            <w:hideMark/>
          </w:tcPr>
          <w:p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3-Month</w:t>
            </w:r>
          </w:p>
        </w:tc>
        <w:tc>
          <w:tcPr>
            <w:tcW w:w="18540" w:type="dxa"/>
            <w:gridSpan w:val="9"/>
            <w:vAlign w:val="center"/>
            <w:hideMark/>
          </w:tcPr>
          <w:p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%Chg</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-51.04%</w:t>
            </w:r>
            <w:r w:rsidRPr="00BC2BF7">
              <w:rPr>
                <w:rFonts w:ascii="Arial" w:hAnsi="Arial" w:cs="Arial"/>
                <w:kern w:val="0"/>
                <w:sz w:val="26"/>
                <w:szCs w:val="26"/>
              </w:rPr>
              <w:t> since 01/04/24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+5.62%</w:t>
            </w:r>
            <w:r w:rsidRPr="00BC2BF7">
              <w:rPr>
                <w:rFonts w:ascii="Arial" w:hAnsi="Arial" w:cs="Arial"/>
                <w:kern w:val="0"/>
                <w:sz w:val="26"/>
                <w:szCs w:val="26"/>
              </w:rPr>
              <w:t> since 01/04/24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Low</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0.9500 on 02/07/24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53.37 on 01/23/24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High</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2.4600 on 01/05/24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58.25 on 03/08/24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437"/>
          <w:tblCellSpacing w:w="15" w:type="dxa"/>
        </w:trPr>
        <w:tc>
          <w:tcPr>
            <w:tcW w:w="3645" w:type="dxa"/>
            <w:tcBorders>
              <w:right w:val="nil"/>
            </w:tcBorders>
            <w:vAlign w:val="center"/>
            <w:hideMark/>
          </w:tcPr>
          <w:p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6-Month</w:t>
            </w:r>
          </w:p>
        </w:tc>
        <w:tc>
          <w:tcPr>
            <w:tcW w:w="18540" w:type="dxa"/>
            <w:gridSpan w:val="9"/>
            <w:vAlign w:val="center"/>
            <w:hideMark/>
          </w:tcPr>
          <w:p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%Chg</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-45.88%</w:t>
            </w:r>
            <w:r w:rsidRPr="00BC2BF7">
              <w:rPr>
                <w:rFonts w:ascii="Arial" w:hAnsi="Arial" w:cs="Arial"/>
                <w:kern w:val="0"/>
                <w:sz w:val="26"/>
                <w:szCs w:val="26"/>
              </w:rPr>
              <w:t> since 10/04/23</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rPr>
              <w:t>+19.34%</w:t>
            </w:r>
            <w:r w:rsidRPr="00BC2BF7">
              <w:rPr>
                <w:rFonts w:ascii="Arial" w:hAnsi="Arial" w:cs="Arial"/>
                <w:kern w:val="0"/>
                <w:sz w:val="26"/>
                <w:szCs w:val="26"/>
              </w:rPr>
              <w:t> since 10/04/23</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Low</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0.9500 on 02/07/24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46.60 on 10/26/23</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lastRenderedPageBreak/>
              <w:t>High</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2.5200 on 12/26/23</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58.25 on 03/08/24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blCellSpacing w:w="15" w:type="dxa"/>
        </w:trPr>
        <w:tc>
          <w:tcPr>
            <w:tcW w:w="3645" w:type="dxa"/>
            <w:tcBorders>
              <w:right w:val="nil"/>
            </w:tcBorders>
            <w:vAlign w:val="center"/>
            <w:hideMark/>
          </w:tcPr>
          <w:p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Key Statistics</w:t>
            </w:r>
          </w:p>
        </w:tc>
        <w:tc>
          <w:tcPr>
            <w:tcW w:w="18540" w:type="dxa"/>
            <w:gridSpan w:val="9"/>
            <w:tcBorders>
              <w:right w:val="nil"/>
            </w:tcBorders>
            <w:vAlign w:val="center"/>
            <w:hideMark/>
          </w:tcPr>
          <w:p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Market Capitalization, $K</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56,773</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191,922</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Shares Outstanding, K</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51,612</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3,350</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Annual Sales</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1,047,260,000</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Annual Net Income</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-158,860,000</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Last Quarter Sales</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214,900,000</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Last Quarter Net Income</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-6,430,000</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60-Month Beta</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1.13</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0.72</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blCellSpacing w:w="15" w:type="dxa"/>
        </w:trPr>
        <w:tc>
          <w:tcPr>
            <w:tcW w:w="3645" w:type="dxa"/>
            <w:tcBorders>
              <w:right w:val="nil"/>
            </w:tcBorders>
            <w:vAlign w:val="center"/>
            <w:hideMark/>
          </w:tcPr>
          <w:p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Per-Share Information</w:t>
            </w:r>
          </w:p>
        </w:tc>
        <w:tc>
          <w:tcPr>
            <w:tcW w:w="18540" w:type="dxa"/>
            <w:gridSpan w:val="9"/>
            <w:tcBorders>
              <w:right w:val="nil"/>
            </w:tcBorders>
            <w:vAlign w:val="center"/>
            <w:hideMark/>
          </w:tcPr>
          <w:p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Most Recent Earnings</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-0.08 on 02/06/24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Latest Earnings Date</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05/21/24</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Most Recent Dividend</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0.079 on 03/21/24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Next Ex-Dividends Date</w:t>
            </w:r>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N/A</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03/21/24</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09"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c>
          <w:tcPr>
            <w:tcW w:w="3510" w:type="dxa"/>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 </w:t>
            </w:r>
          </w:p>
        </w:tc>
      </w:tr>
      <w:tr w:rsidR="00BC2BF7" w:rsidRPr="00BC2BF7" w:rsidTr="00BC2BF7">
        <w:trPr>
          <w:tblCellSpacing w:w="15" w:type="dxa"/>
        </w:trPr>
        <w:tc>
          <w:tcPr>
            <w:tcW w:w="3645" w:type="dxa"/>
            <w:tcBorders>
              <w:right w:val="nil"/>
            </w:tcBorders>
            <w:vAlign w:val="center"/>
            <w:hideMark/>
          </w:tcPr>
          <w:p w:rsidR="00BC2BF7" w:rsidRPr="00BC2BF7" w:rsidRDefault="00BC2BF7" w:rsidP="00BC2BF7">
            <w:pPr>
              <w:spacing w:before="0" w:beforeAutospacing="0" w:after="0" w:line="240" w:lineRule="auto"/>
              <w:rPr>
                <w:rFonts w:ascii="Arial" w:hAnsi="Arial" w:cs="Arial"/>
                <w:b/>
                <w:bCs/>
                <w:kern w:val="0"/>
                <w:sz w:val="26"/>
                <w:szCs w:val="26"/>
              </w:rPr>
            </w:pPr>
            <w:r w:rsidRPr="00BC2BF7">
              <w:rPr>
                <w:rFonts w:ascii="Arial" w:hAnsi="Arial" w:cs="Arial"/>
                <w:b/>
                <w:bCs/>
                <w:kern w:val="0"/>
                <w:sz w:val="26"/>
                <w:szCs w:val="26"/>
              </w:rPr>
              <w:t>Ratios</w:t>
            </w:r>
          </w:p>
        </w:tc>
        <w:tc>
          <w:tcPr>
            <w:tcW w:w="18540" w:type="dxa"/>
            <w:gridSpan w:val="9"/>
            <w:tcBorders>
              <w:right w:val="nil"/>
            </w:tcBorders>
            <w:vAlign w:val="center"/>
            <w:hideMark/>
          </w:tcPr>
          <w:p w:rsidR="00BC2BF7" w:rsidRPr="00BC2BF7" w:rsidRDefault="00BC2BF7" w:rsidP="00BC2BF7">
            <w:pPr>
              <w:spacing w:before="0" w:beforeAutospacing="0" w:after="0" w:line="240" w:lineRule="auto"/>
              <w:jc w:val="center"/>
              <w:rPr>
                <w:rFonts w:ascii="Arial" w:hAnsi="Arial" w:cs="Arial"/>
                <w:b/>
                <w:bCs/>
                <w:kern w:val="0"/>
                <w:sz w:val="26"/>
                <w:szCs w:val="26"/>
              </w:rPr>
            </w:pPr>
            <w:r w:rsidRPr="00BC2BF7">
              <w:rPr>
                <w:rFonts w:ascii="Arial" w:hAnsi="Arial" w:cs="Arial"/>
                <w:b/>
                <w:bCs/>
                <w:kern w:val="0"/>
                <w:sz w:val="26"/>
                <w:szCs w:val="26"/>
              </w:rPr>
              <w:t> </w:t>
            </w:r>
          </w:p>
        </w:tc>
      </w:tr>
      <w:tr w:rsidR="00BC2BF7" w:rsidRPr="00BC2BF7" w:rsidTr="00BC2BF7">
        <w:trPr>
          <w:trHeight w:val="547"/>
          <w:tblCellSpacing w:w="15" w:type="dxa"/>
        </w:trPr>
        <w:tc>
          <w:tcPr>
            <w:tcW w:w="3645" w:type="dxa"/>
            <w:vAlign w:val="center"/>
            <w:hideMark/>
          </w:tcPr>
          <w:p w:rsidR="00BC2BF7" w:rsidRPr="00BC2BF7" w:rsidRDefault="00BC2BF7" w:rsidP="00BC2BF7">
            <w:pPr>
              <w:spacing w:before="0" w:beforeAutospacing="0" w:after="0" w:line="240" w:lineRule="auto"/>
              <w:rPr>
                <w:rFonts w:ascii="Arial" w:hAnsi="Arial" w:cs="Arial"/>
                <w:kern w:val="0"/>
                <w:sz w:val="26"/>
                <w:szCs w:val="26"/>
              </w:rPr>
            </w:pPr>
            <w:r w:rsidRPr="00BC2BF7">
              <w:rPr>
                <w:rFonts w:ascii="Arial" w:hAnsi="Arial" w:cs="Arial"/>
                <w:kern w:val="0"/>
                <w:sz w:val="26"/>
                <w:szCs w:val="26"/>
              </w:rPr>
              <w:t xml:space="preserve">Price/Earnings </w:t>
            </w:r>
            <w:proofErr w:type="spellStart"/>
            <w:r w:rsidRPr="00BC2BF7">
              <w:rPr>
                <w:rFonts w:ascii="Arial" w:hAnsi="Arial" w:cs="Arial"/>
                <w:kern w:val="0"/>
                <w:sz w:val="26"/>
                <w:szCs w:val="26"/>
              </w:rPr>
              <w:t>ttm</w:t>
            </w:r>
            <w:proofErr w:type="spellEnd"/>
          </w:p>
        </w:tc>
        <w:tc>
          <w:tcPr>
            <w:tcW w:w="4274"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0.00</w:t>
            </w:r>
          </w:p>
        </w:tc>
        <w:tc>
          <w:tcPr>
            <w:tcW w:w="3618" w:type="dxa"/>
            <w:gridSpan w:val="2"/>
            <w:vAlign w:val="center"/>
            <w:hideMark/>
          </w:tcPr>
          <w:p w:rsidR="00BC2BF7" w:rsidRPr="00BC2BF7" w:rsidRDefault="00BC2BF7" w:rsidP="00BC2BF7">
            <w:pPr>
              <w:spacing w:before="0" w:beforeAutospacing="0" w:after="0" w:line="240" w:lineRule="auto"/>
              <w:jc w:val="center"/>
              <w:rPr>
                <w:rFonts w:ascii="Arial" w:hAnsi="Arial" w:cs="Arial"/>
                <w:kern w:val="0"/>
                <w:sz w:val="26"/>
                <w:szCs w:val="26"/>
              </w:rPr>
            </w:pPr>
            <w:r w:rsidRPr="00BC2BF7">
              <w:rPr>
                <w:rFonts w:ascii="Arial" w:hAnsi="Arial" w:cs="Arial"/>
                <w:kern w:val="0"/>
                <w:sz w:val="26"/>
                <w:szCs w:val="26"/>
              </w:rPr>
              <w:t>17.01</w:t>
            </w:r>
          </w:p>
        </w:tc>
        <w:tc>
          <w:tcPr>
            <w:tcW w:w="0" w:type="auto"/>
            <w:gridSpan w:val="2"/>
            <w:vAlign w:val="center"/>
            <w:hideMark/>
          </w:tcPr>
          <w:p w:rsidR="00BC2BF7" w:rsidRPr="00BC2BF7" w:rsidRDefault="00BC2BF7" w:rsidP="00BC2BF7">
            <w:pPr>
              <w:spacing w:before="0" w:beforeAutospacing="0" w:after="0" w:line="240" w:lineRule="auto"/>
              <w:rPr>
                <w:rFonts w:ascii="Times New Roman" w:hAnsi="Times New Roman"/>
                <w:color w:val="auto"/>
                <w:kern w:val="0"/>
                <w:sz w:val="20"/>
                <w:szCs w:val="20"/>
              </w:rPr>
            </w:pPr>
          </w:p>
        </w:tc>
        <w:tc>
          <w:tcPr>
            <w:tcW w:w="0" w:type="auto"/>
            <w:gridSpan w:val="2"/>
            <w:vAlign w:val="center"/>
            <w:hideMark/>
          </w:tcPr>
          <w:p w:rsidR="00BC2BF7" w:rsidRPr="00BC2BF7" w:rsidRDefault="00BC2BF7" w:rsidP="00BC2BF7">
            <w:pPr>
              <w:spacing w:before="0" w:beforeAutospacing="0" w:after="0" w:line="240" w:lineRule="auto"/>
              <w:rPr>
                <w:rFonts w:ascii="Times New Roman" w:hAnsi="Times New Roman"/>
                <w:color w:val="auto"/>
                <w:kern w:val="0"/>
                <w:sz w:val="20"/>
                <w:szCs w:val="20"/>
              </w:rPr>
            </w:pPr>
          </w:p>
        </w:tc>
        <w:tc>
          <w:tcPr>
            <w:tcW w:w="0" w:type="auto"/>
            <w:vAlign w:val="center"/>
            <w:hideMark/>
          </w:tcPr>
          <w:p w:rsidR="00BC2BF7" w:rsidRPr="00BC2BF7" w:rsidRDefault="00BC2BF7" w:rsidP="00BC2BF7">
            <w:pPr>
              <w:spacing w:before="0" w:beforeAutospacing="0" w:after="0" w:line="240" w:lineRule="auto"/>
              <w:rPr>
                <w:rFonts w:ascii="Times New Roman" w:hAnsi="Times New Roman"/>
                <w:color w:val="auto"/>
                <w:kern w:val="0"/>
                <w:sz w:val="20"/>
                <w:szCs w:val="20"/>
              </w:rPr>
            </w:pPr>
          </w:p>
        </w:tc>
      </w:tr>
    </w:tbl>
    <w:p w:rsidR="00BC2BF7" w:rsidRPr="00BC2BF7" w:rsidRDefault="00BC2BF7" w:rsidP="00F5132F">
      <w:pPr>
        <w:pStyle w:val="ListParagraph"/>
        <w:jc w:val="center"/>
        <w:rPr>
          <w:b/>
          <w:color w:val="548DD4" w:themeColor="text2" w:themeTint="99"/>
          <w:sz w:val="32"/>
          <w:szCs w:val="32"/>
          <w:u w:val="single"/>
        </w:rPr>
      </w:pPr>
    </w:p>
    <w:p w:rsidR="00677C4D" w:rsidRDefault="00677C4D" w:rsidP="009422B1">
      <w:pPr>
        <w:pStyle w:val="ListParagraph"/>
        <w:jc w:val="center"/>
        <w:rPr>
          <w:sz w:val="36"/>
          <w:szCs w:val="36"/>
        </w:rPr>
      </w:pPr>
    </w:p>
    <w:p w:rsidR="00F5132F" w:rsidRPr="009C0196" w:rsidRDefault="00BC2BF7" w:rsidP="009422B1">
      <w:pPr>
        <w:pStyle w:val="ListParagraph"/>
        <w:jc w:val="center"/>
        <w:rPr>
          <w:b/>
          <w:color w:val="548DD4" w:themeColor="text2" w:themeTint="99"/>
          <w:sz w:val="36"/>
          <w:szCs w:val="36"/>
          <w:u w:val="single"/>
        </w:rPr>
      </w:pPr>
      <w:proofErr w:type="gramStart"/>
      <w:r>
        <w:rPr>
          <w:b/>
          <w:color w:val="548DD4" w:themeColor="text2" w:themeTint="99"/>
          <w:sz w:val="36"/>
          <w:szCs w:val="36"/>
          <w:u w:val="single"/>
        </w:rPr>
        <w:t>5.</w:t>
      </w:r>
      <w:r w:rsidR="009C0196" w:rsidRPr="009C0196">
        <w:rPr>
          <w:b/>
          <w:color w:val="548DD4" w:themeColor="text2" w:themeTint="99"/>
          <w:sz w:val="36"/>
          <w:szCs w:val="36"/>
          <w:u w:val="single"/>
        </w:rPr>
        <w:t>KEY</w:t>
      </w:r>
      <w:proofErr w:type="gramEnd"/>
      <w:r w:rsidR="009C0196" w:rsidRPr="009C0196">
        <w:rPr>
          <w:b/>
          <w:color w:val="548DD4" w:themeColor="text2" w:themeTint="99"/>
          <w:sz w:val="36"/>
          <w:szCs w:val="36"/>
          <w:u w:val="single"/>
        </w:rPr>
        <w:t xml:space="preserve"> EVENTS OF TCS</w:t>
      </w:r>
    </w:p>
    <w:p w:rsidR="00F0761D" w:rsidRDefault="00F0761D" w:rsidP="009422B1">
      <w:pPr>
        <w:pStyle w:val="ListParagraph"/>
        <w:jc w:val="center"/>
        <w:rPr>
          <w:sz w:val="36"/>
          <w:szCs w:val="36"/>
        </w:rPr>
      </w:pPr>
    </w:p>
    <w:p w:rsidR="009C0196" w:rsidRPr="009C0196" w:rsidRDefault="009C0196" w:rsidP="009C0196">
      <w:r w:rsidRPr="009C0196">
        <w:t>Over the past few years, Tata Consultancy Services (TCS) has experienced several significant events and milestones. Here are some key events that have occurred:</w:t>
      </w:r>
    </w:p>
    <w:p w:rsidR="009C0196" w:rsidRPr="009C0196" w:rsidRDefault="009C0196" w:rsidP="009C0196">
      <w:r w:rsidRPr="009C0196">
        <w:rPr>
          <w:rStyle w:val="Strong"/>
          <w:rFonts w:cs="Segoe UI"/>
          <w:color w:val="0D0D0D"/>
          <w:bdr w:val="single" w:sz="2" w:space="0" w:color="E3E3E3" w:frame="1"/>
        </w:rPr>
        <w:lastRenderedPageBreak/>
        <w:t>Leadership Changes</w:t>
      </w:r>
      <w:r w:rsidRPr="009C0196">
        <w:t xml:space="preserve">: TCS saw leadership changes with Rajesh </w:t>
      </w:r>
      <w:proofErr w:type="spellStart"/>
      <w:r w:rsidRPr="009C0196">
        <w:t>Gopinathan</w:t>
      </w:r>
      <w:proofErr w:type="spellEnd"/>
      <w:r w:rsidRPr="009C0196">
        <w:t xml:space="preserve"> taking over as CEO and managing director from </w:t>
      </w:r>
      <w:proofErr w:type="spellStart"/>
      <w:r w:rsidRPr="009C0196">
        <w:t>Natarajan</w:t>
      </w:r>
      <w:proofErr w:type="spellEnd"/>
      <w:r w:rsidRPr="009C0196">
        <w:t xml:space="preserve"> </w:t>
      </w:r>
      <w:proofErr w:type="spellStart"/>
      <w:r w:rsidRPr="009C0196">
        <w:t>Chandrasekaran</w:t>
      </w:r>
      <w:proofErr w:type="spellEnd"/>
      <w:r w:rsidRPr="009C0196">
        <w:t xml:space="preserve"> in February 2017. These transitions brought changes in strategic direction and focus areas.</w:t>
      </w:r>
    </w:p>
    <w:p w:rsidR="009C0196" w:rsidRPr="009C0196" w:rsidRDefault="009C0196" w:rsidP="009C0196">
      <w:r w:rsidRPr="009C0196">
        <w:rPr>
          <w:rStyle w:val="Strong"/>
          <w:rFonts w:cs="Segoe UI"/>
          <w:color w:val="0D0D0D"/>
          <w:bdr w:val="single" w:sz="2" w:space="0" w:color="E3E3E3" w:frame="1"/>
        </w:rPr>
        <w:t>Expansion and Global Presence</w:t>
      </w:r>
      <w:r w:rsidRPr="009C0196">
        <w:t>: TCS continued to expand its global footprint, opening new offices and delivery centers in various countries to serve its clients better. Expansion efforts were particularly notable in regions such as North America, Europe, and Asia-Pacific.</w:t>
      </w:r>
    </w:p>
    <w:p w:rsidR="009C0196" w:rsidRPr="009C0196" w:rsidRDefault="009C0196" w:rsidP="009C0196">
      <w:r w:rsidRPr="009C0196">
        <w:rPr>
          <w:rStyle w:val="Strong"/>
          <w:rFonts w:cs="Segoe UI"/>
          <w:color w:val="0D0D0D"/>
          <w:bdr w:val="single" w:sz="2" w:space="0" w:color="E3E3E3" w:frame="1"/>
        </w:rPr>
        <w:t>Digital Transformation Initiatives</w:t>
      </w:r>
      <w:r w:rsidRPr="009C0196">
        <w:t>: TCS intensified its focus on digital transformation, investing in new technologies such as artificial intelligence (AI), machine learning (ML), cloud computing, and Internet of Things (</w:t>
      </w:r>
      <w:proofErr w:type="spellStart"/>
      <w:r w:rsidRPr="009C0196">
        <w:t>IoT</w:t>
      </w:r>
      <w:proofErr w:type="spellEnd"/>
      <w:r w:rsidRPr="009C0196">
        <w:t>). The company launched several digital solutions and services to help clients modernize their businesses.</w:t>
      </w:r>
    </w:p>
    <w:p w:rsidR="009C0196" w:rsidRPr="009C0196" w:rsidRDefault="009C0196" w:rsidP="009C0196">
      <w:r w:rsidRPr="009C0196">
        <w:rPr>
          <w:rStyle w:val="Strong"/>
          <w:rFonts w:cs="Segoe UI"/>
          <w:color w:val="0D0D0D"/>
          <w:bdr w:val="single" w:sz="2" w:space="0" w:color="E3E3E3" w:frame="1"/>
        </w:rPr>
        <w:t>Acquisitions and Partnerships</w:t>
      </w:r>
      <w:r w:rsidRPr="009C0196">
        <w:t>: TCS made strategic acquisitions to strengthen its capabilities and offerings. For example, in 2017, TCS acquired W12 Studios, a digital design studio based in London, to enhance its digital design and customer experience capabilities. TCS also formed partnerships with technology companies, universities, and startups to foster innovation and collaborate on research and development projects.</w:t>
      </w:r>
    </w:p>
    <w:p w:rsidR="009C0196" w:rsidRPr="009C0196" w:rsidRDefault="009C0196" w:rsidP="009C0196">
      <w:r w:rsidRPr="009C0196">
        <w:rPr>
          <w:rStyle w:val="Strong"/>
          <w:rFonts w:cs="Segoe UI"/>
          <w:color w:val="0D0D0D"/>
          <w:bdr w:val="single" w:sz="2" w:space="0" w:color="E3E3E3" w:frame="1"/>
        </w:rPr>
        <w:t>Employee Initiatives and Training Programs</w:t>
      </w:r>
      <w:r w:rsidRPr="009C0196">
        <w:t>: TCS continued to invest in its workforce through various employee initiatives and training programs. The company launched re</w:t>
      </w:r>
      <w:r>
        <w:t xml:space="preserve"> </w:t>
      </w:r>
      <w:r w:rsidRPr="009C0196">
        <w:t>skilling and up skilling programs to equip employees with in-demand digital skills and support their career growth.</w:t>
      </w:r>
    </w:p>
    <w:p w:rsidR="009C0196" w:rsidRPr="009C0196" w:rsidRDefault="009C0196" w:rsidP="009C0196">
      <w:r w:rsidRPr="009C0196">
        <w:rPr>
          <w:rStyle w:val="Strong"/>
          <w:rFonts w:cs="Segoe UI"/>
          <w:color w:val="0D0D0D"/>
          <w:bdr w:val="single" w:sz="2" w:space="0" w:color="E3E3E3" w:frame="1"/>
        </w:rPr>
        <w:t>Recognition and Awards</w:t>
      </w:r>
      <w:r w:rsidRPr="009C0196">
        <w:t>: TCS received recognition and awards for its performance, innovation, and corporate social responsibility initiatives. For instance, TCS was ranked as the world's most valuable IT services brand by Brand Finance in 2020 and received accolades for its sustainability efforts and diversity and inclusion practices.</w:t>
      </w:r>
    </w:p>
    <w:p w:rsidR="009C0196" w:rsidRPr="009C0196" w:rsidRDefault="009C0196" w:rsidP="009C0196">
      <w:r w:rsidRPr="009C0196">
        <w:rPr>
          <w:rStyle w:val="Strong"/>
          <w:rFonts w:cs="Segoe UI"/>
          <w:color w:val="0D0D0D"/>
          <w:bdr w:val="single" w:sz="2" w:space="0" w:color="E3E3E3" w:frame="1"/>
        </w:rPr>
        <w:t>COVID-19 Response</w:t>
      </w:r>
      <w:r w:rsidRPr="009C0196">
        <w:t xml:space="preserve">: Like many companies, TCS navigated the challenges posed by the COVID-19 pandemic. The company swiftly transitioned to remote work arrangements, implemented safety protocols, and supported clients in adapting to </w:t>
      </w:r>
      <w:r w:rsidRPr="009C0196">
        <w:lastRenderedPageBreak/>
        <w:t>the new business environment. TCS also launched several initiatives to provide relief and support to communities affected by the pandemic.</w:t>
      </w:r>
    </w:p>
    <w:p w:rsidR="009C0196" w:rsidRDefault="009C0196" w:rsidP="009C0196">
      <w:r w:rsidRPr="009C0196">
        <w:t xml:space="preserve">These are just a few examples of key events that have occurred in TCS over the last few years. The company continues to evolve and adapt to changes in the industry and the broader business landscape. </w:t>
      </w:r>
    </w:p>
    <w:p w:rsidR="007643B7" w:rsidRDefault="007643B7" w:rsidP="009C0196"/>
    <w:p w:rsidR="007643B7" w:rsidRDefault="007643B7" w:rsidP="009C0196"/>
    <w:p w:rsidR="007643B7" w:rsidRDefault="007643B7" w:rsidP="009C0196"/>
    <w:p w:rsidR="007643B7" w:rsidRDefault="007643B7" w:rsidP="009C0196"/>
    <w:p w:rsidR="007643B7" w:rsidRDefault="007643B7" w:rsidP="009C0196"/>
    <w:p w:rsidR="007643B7" w:rsidRPr="007643B7" w:rsidRDefault="007643B7" w:rsidP="009C0196">
      <w:pPr>
        <w:rPr>
          <w:i/>
        </w:rPr>
      </w:pPr>
      <w:r w:rsidRPr="007643B7">
        <w:rPr>
          <w:i/>
        </w:rPr>
        <w:t>THANK YOU</w:t>
      </w:r>
    </w:p>
    <w:p w:rsidR="007643B7" w:rsidRDefault="007643B7" w:rsidP="009C0196"/>
    <w:p w:rsidR="007643B7" w:rsidRDefault="007643B7" w:rsidP="009C0196"/>
    <w:p w:rsidR="007643B7" w:rsidRDefault="007643B7" w:rsidP="009C0196"/>
    <w:p w:rsidR="007643B7" w:rsidRDefault="007643B7" w:rsidP="007643B7">
      <w:pPr>
        <w:spacing w:line="240" w:lineRule="auto"/>
      </w:pPr>
      <w:r>
        <w:t xml:space="preserve">BY: </w:t>
      </w:r>
      <w:r w:rsidR="009813BB">
        <w:t>M SUNNY APUROOP</w:t>
      </w:r>
    </w:p>
    <w:p w:rsidR="007643B7" w:rsidRDefault="007643B7" w:rsidP="007643B7">
      <w:pPr>
        <w:spacing w:before="0" w:beforeAutospacing="0" w:line="240" w:lineRule="auto"/>
      </w:pPr>
      <w:r>
        <w:t>BBA</w:t>
      </w:r>
    </w:p>
    <w:p w:rsidR="007643B7" w:rsidRDefault="007643B7" w:rsidP="007643B7">
      <w:pPr>
        <w:spacing w:before="0" w:beforeAutospacing="0" w:line="240" w:lineRule="auto"/>
      </w:pPr>
      <w:r>
        <w:t>Dr. L. BULLAYYA COLLEGE</w:t>
      </w:r>
    </w:p>
    <w:p w:rsidR="007643B7" w:rsidRDefault="007643B7" w:rsidP="007643B7">
      <w:pPr>
        <w:spacing w:before="0" w:beforeAutospacing="0" w:line="240" w:lineRule="auto"/>
      </w:pPr>
      <w:r>
        <w:t>ANDHRA UNIVERSITY</w:t>
      </w:r>
    </w:p>
    <w:p w:rsidR="007643B7" w:rsidRPr="009C0196" w:rsidRDefault="007643B7" w:rsidP="007643B7">
      <w:pPr>
        <w:spacing w:line="240" w:lineRule="auto"/>
      </w:pPr>
    </w:p>
    <w:sectPr w:rsidR="007643B7" w:rsidRPr="009C0196" w:rsidSect="00225E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96FE7"/>
    <w:multiLevelType w:val="hybridMultilevel"/>
    <w:tmpl w:val="0BDE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9E7A4F"/>
    <w:multiLevelType w:val="hybridMultilevel"/>
    <w:tmpl w:val="F20A1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7226A9"/>
    <w:multiLevelType w:val="hybridMultilevel"/>
    <w:tmpl w:val="B41AC9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B4C08D5"/>
    <w:multiLevelType w:val="hybridMultilevel"/>
    <w:tmpl w:val="F71EC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AE41BC"/>
    <w:multiLevelType w:val="multilevel"/>
    <w:tmpl w:val="03B6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D074D3"/>
    <w:multiLevelType w:val="multilevel"/>
    <w:tmpl w:val="4DAC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433F42"/>
    <w:multiLevelType w:val="multilevel"/>
    <w:tmpl w:val="28CA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AB7159"/>
    <w:multiLevelType w:val="multilevel"/>
    <w:tmpl w:val="60EA5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3C0228"/>
    <w:multiLevelType w:val="hybridMultilevel"/>
    <w:tmpl w:val="C554C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B304C9"/>
    <w:multiLevelType w:val="multilevel"/>
    <w:tmpl w:val="9B5C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95223CD"/>
    <w:multiLevelType w:val="multilevel"/>
    <w:tmpl w:val="3166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9"/>
  </w:num>
  <w:num w:numId="4">
    <w:abstractNumId w:val="4"/>
  </w:num>
  <w:num w:numId="5">
    <w:abstractNumId w:val="5"/>
  </w:num>
  <w:num w:numId="6">
    <w:abstractNumId w:val="8"/>
  </w:num>
  <w:num w:numId="7">
    <w:abstractNumId w:val="1"/>
  </w:num>
  <w:num w:numId="8">
    <w:abstractNumId w:val="0"/>
  </w:num>
  <w:num w:numId="9">
    <w:abstractNumId w:val="3"/>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grammar="clean"/>
  <w:defaultTabStop w:val="720"/>
  <w:characterSpacingControl w:val="doNotCompress"/>
  <w:compat/>
  <w:rsids>
    <w:rsidRoot w:val="0040363F"/>
    <w:rsid w:val="000B5938"/>
    <w:rsid w:val="000D653B"/>
    <w:rsid w:val="00152566"/>
    <w:rsid w:val="0021003B"/>
    <w:rsid w:val="00225E56"/>
    <w:rsid w:val="0040363F"/>
    <w:rsid w:val="00677C4D"/>
    <w:rsid w:val="007643B7"/>
    <w:rsid w:val="009422B1"/>
    <w:rsid w:val="009813BB"/>
    <w:rsid w:val="009A39DC"/>
    <w:rsid w:val="009C0196"/>
    <w:rsid w:val="009C2179"/>
    <w:rsid w:val="00A26A4F"/>
    <w:rsid w:val="00A57DAF"/>
    <w:rsid w:val="00AC16DB"/>
    <w:rsid w:val="00BC2BF7"/>
    <w:rsid w:val="00C56FE4"/>
    <w:rsid w:val="00F0761D"/>
    <w:rsid w:val="00F50C25"/>
    <w:rsid w:val="00F51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DAF"/>
    <w:pPr>
      <w:spacing w:before="100" w:beforeAutospacing="1" w:after="160" w:line="256" w:lineRule="auto"/>
    </w:pPr>
    <w:rPr>
      <w:rFonts w:ascii="Calibri" w:eastAsia="Times New Roman" w:hAnsi="Calibri" w:cs="Times New Roman"/>
      <w:color w:val="000000"/>
      <w:kern w:val="2"/>
      <w:sz w:val="28"/>
      <w:szCs w:val="28"/>
    </w:rPr>
  </w:style>
  <w:style w:type="paragraph" w:styleId="Heading3">
    <w:name w:val="heading 3"/>
    <w:basedOn w:val="Normal"/>
    <w:link w:val="Heading3Char"/>
    <w:uiPriority w:val="9"/>
    <w:qFormat/>
    <w:rsid w:val="009C2179"/>
    <w:pPr>
      <w:spacing w:after="100" w:afterAutospacing="1" w:line="240" w:lineRule="auto"/>
      <w:outlineLvl w:val="2"/>
    </w:pPr>
    <w:rPr>
      <w:rFonts w:ascii="Times New Roman" w:hAnsi="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938"/>
    <w:pPr>
      <w:spacing w:after="100" w:afterAutospacing="1" w:line="240" w:lineRule="auto"/>
    </w:pPr>
    <w:rPr>
      <w:rFonts w:ascii="Times New Roman" w:hAnsi="Times New Roman"/>
      <w:color w:val="auto"/>
      <w:kern w:val="0"/>
      <w:sz w:val="24"/>
      <w:szCs w:val="24"/>
    </w:rPr>
  </w:style>
  <w:style w:type="character" w:styleId="Strong">
    <w:name w:val="Strong"/>
    <w:basedOn w:val="DefaultParagraphFont"/>
    <w:uiPriority w:val="22"/>
    <w:qFormat/>
    <w:rsid w:val="000B5938"/>
    <w:rPr>
      <w:b/>
      <w:bCs/>
    </w:rPr>
  </w:style>
  <w:style w:type="paragraph" w:styleId="ListParagraph">
    <w:name w:val="List Paragraph"/>
    <w:basedOn w:val="Normal"/>
    <w:uiPriority w:val="34"/>
    <w:qFormat/>
    <w:rsid w:val="000B5938"/>
    <w:pPr>
      <w:ind w:left="720"/>
      <w:contextualSpacing/>
    </w:pPr>
  </w:style>
  <w:style w:type="paragraph" w:styleId="BalloonText">
    <w:name w:val="Balloon Text"/>
    <w:basedOn w:val="Normal"/>
    <w:link w:val="BalloonTextChar"/>
    <w:uiPriority w:val="99"/>
    <w:semiHidden/>
    <w:unhideWhenUsed/>
    <w:rsid w:val="00A26A4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A4F"/>
    <w:rPr>
      <w:rFonts w:ascii="Tahoma" w:eastAsia="Times New Roman" w:hAnsi="Tahoma" w:cs="Tahoma"/>
      <w:color w:val="000000"/>
      <w:kern w:val="2"/>
      <w:sz w:val="16"/>
      <w:szCs w:val="16"/>
    </w:rPr>
  </w:style>
  <w:style w:type="character" w:customStyle="1" w:styleId="mord">
    <w:name w:val="mord"/>
    <w:basedOn w:val="DefaultParagraphFont"/>
    <w:rsid w:val="000D653B"/>
  </w:style>
  <w:style w:type="character" w:customStyle="1" w:styleId="mrel">
    <w:name w:val="mrel"/>
    <w:basedOn w:val="DefaultParagraphFont"/>
    <w:rsid w:val="000D653B"/>
  </w:style>
  <w:style w:type="character" w:customStyle="1" w:styleId="delimsizing">
    <w:name w:val="delimsizing"/>
    <w:basedOn w:val="DefaultParagraphFont"/>
    <w:rsid w:val="000D653B"/>
  </w:style>
  <w:style w:type="character" w:customStyle="1" w:styleId="mbin">
    <w:name w:val="mbin"/>
    <w:basedOn w:val="DefaultParagraphFont"/>
    <w:rsid w:val="000D653B"/>
  </w:style>
  <w:style w:type="character" w:customStyle="1" w:styleId="vlist-s">
    <w:name w:val="vlist-s"/>
    <w:basedOn w:val="DefaultParagraphFont"/>
    <w:rsid w:val="000D653B"/>
  </w:style>
  <w:style w:type="character" w:customStyle="1" w:styleId="katex-mathml">
    <w:name w:val="katex-mathml"/>
    <w:basedOn w:val="DefaultParagraphFont"/>
    <w:rsid w:val="000D653B"/>
  </w:style>
  <w:style w:type="character" w:customStyle="1" w:styleId="Heading3Char">
    <w:name w:val="Heading 3 Char"/>
    <w:basedOn w:val="DefaultParagraphFont"/>
    <w:link w:val="Heading3"/>
    <w:uiPriority w:val="9"/>
    <w:rsid w:val="009C2179"/>
    <w:rPr>
      <w:rFonts w:ascii="Times New Roman" w:eastAsia="Times New Roman" w:hAnsi="Times New Roman" w:cs="Times New Roman"/>
      <w:b/>
      <w:bCs/>
      <w:sz w:val="27"/>
      <w:szCs w:val="27"/>
    </w:rPr>
  </w:style>
  <w:style w:type="character" w:customStyle="1" w:styleId="up">
    <w:name w:val="up"/>
    <w:basedOn w:val="DefaultParagraphFont"/>
    <w:rsid w:val="00BC2BF7"/>
  </w:style>
  <w:style w:type="character" w:customStyle="1" w:styleId="down">
    <w:name w:val="down"/>
    <w:basedOn w:val="DefaultParagraphFont"/>
    <w:rsid w:val="00BC2BF7"/>
  </w:style>
  <w:style w:type="character" w:customStyle="1" w:styleId="text">
    <w:name w:val="text"/>
    <w:basedOn w:val="DefaultParagraphFont"/>
    <w:rsid w:val="009A39DC"/>
  </w:style>
</w:styles>
</file>

<file path=word/webSettings.xml><?xml version="1.0" encoding="utf-8"?>
<w:webSettings xmlns:r="http://schemas.openxmlformats.org/officeDocument/2006/relationships" xmlns:w="http://schemas.openxmlformats.org/wordprocessingml/2006/main">
  <w:divs>
    <w:div w:id="99297745">
      <w:bodyDiv w:val="1"/>
      <w:marLeft w:val="0"/>
      <w:marRight w:val="0"/>
      <w:marTop w:val="0"/>
      <w:marBottom w:val="0"/>
      <w:divBdr>
        <w:top w:val="none" w:sz="0" w:space="0" w:color="auto"/>
        <w:left w:val="none" w:sz="0" w:space="0" w:color="auto"/>
        <w:bottom w:val="none" w:sz="0" w:space="0" w:color="auto"/>
        <w:right w:val="none" w:sz="0" w:space="0" w:color="auto"/>
      </w:divBdr>
      <w:divsChild>
        <w:div w:id="1249535465">
          <w:marLeft w:val="0"/>
          <w:marRight w:val="0"/>
          <w:marTop w:val="0"/>
          <w:marBottom w:val="0"/>
          <w:divBdr>
            <w:top w:val="none" w:sz="0" w:space="0" w:color="auto"/>
            <w:left w:val="none" w:sz="0" w:space="0" w:color="auto"/>
            <w:bottom w:val="none" w:sz="0" w:space="0" w:color="auto"/>
            <w:right w:val="none" w:sz="0" w:space="0" w:color="auto"/>
          </w:divBdr>
          <w:divsChild>
            <w:div w:id="724715986">
              <w:marLeft w:val="0"/>
              <w:marRight w:val="0"/>
              <w:marTop w:val="0"/>
              <w:marBottom w:val="0"/>
              <w:divBdr>
                <w:top w:val="none" w:sz="0" w:space="0" w:color="auto"/>
                <w:left w:val="none" w:sz="0" w:space="0" w:color="auto"/>
                <w:bottom w:val="none" w:sz="0" w:space="0" w:color="auto"/>
                <w:right w:val="none" w:sz="0" w:space="0" w:color="auto"/>
              </w:divBdr>
            </w:div>
            <w:div w:id="520972479">
              <w:marLeft w:val="0"/>
              <w:marRight w:val="0"/>
              <w:marTop w:val="0"/>
              <w:marBottom w:val="0"/>
              <w:divBdr>
                <w:top w:val="none" w:sz="0" w:space="0" w:color="auto"/>
                <w:left w:val="none" w:sz="0" w:space="0" w:color="auto"/>
                <w:bottom w:val="none" w:sz="0" w:space="0" w:color="auto"/>
                <w:right w:val="none" w:sz="0" w:space="0" w:color="auto"/>
              </w:divBdr>
            </w:div>
            <w:div w:id="539172586">
              <w:marLeft w:val="0"/>
              <w:marRight w:val="0"/>
              <w:marTop w:val="0"/>
              <w:marBottom w:val="0"/>
              <w:divBdr>
                <w:top w:val="none" w:sz="0" w:space="0" w:color="auto"/>
                <w:left w:val="none" w:sz="0" w:space="0" w:color="auto"/>
                <w:bottom w:val="none" w:sz="0" w:space="0" w:color="auto"/>
                <w:right w:val="none" w:sz="0" w:space="0" w:color="auto"/>
              </w:divBdr>
            </w:div>
            <w:div w:id="2095929873">
              <w:marLeft w:val="0"/>
              <w:marRight w:val="0"/>
              <w:marTop w:val="0"/>
              <w:marBottom w:val="0"/>
              <w:divBdr>
                <w:top w:val="none" w:sz="0" w:space="0" w:color="auto"/>
                <w:left w:val="none" w:sz="0" w:space="0" w:color="auto"/>
                <w:bottom w:val="none" w:sz="0" w:space="0" w:color="auto"/>
                <w:right w:val="none" w:sz="0" w:space="0" w:color="auto"/>
              </w:divBdr>
            </w:div>
            <w:div w:id="1584873329">
              <w:marLeft w:val="0"/>
              <w:marRight w:val="0"/>
              <w:marTop w:val="0"/>
              <w:marBottom w:val="0"/>
              <w:divBdr>
                <w:top w:val="none" w:sz="0" w:space="0" w:color="auto"/>
                <w:left w:val="none" w:sz="0" w:space="0" w:color="auto"/>
                <w:bottom w:val="none" w:sz="0" w:space="0" w:color="auto"/>
                <w:right w:val="none" w:sz="0" w:space="0" w:color="auto"/>
              </w:divBdr>
            </w:div>
            <w:div w:id="1638146790">
              <w:marLeft w:val="0"/>
              <w:marRight w:val="0"/>
              <w:marTop w:val="0"/>
              <w:marBottom w:val="0"/>
              <w:divBdr>
                <w:top w:val="none" w:sz="0" w:space="0" w:color="auto"/>
                <w:left w:val="none" w:sz="0" w:space="0" w:color="auto"/>
                <w:bottom w:val="none" w:sz="0" w:space="0" w:color="auto"/>
                <w:right w:val="none" w:sz="0" w:space="0" w:color="auto"/>
              </w:divBdr>
            </w:div>
            <w:div w:id="1465853386">
              <w:marLeft w:val="0"/>
              <w:marRight w:val="0"/>
              <w:marTop w:val="0"/>
              <w:marBottom w:val="0"/>
              <w:divBdr>
                <w:top w:val="none" w:sz="0" w:space="0" w:color="auto"/>
                <w:left w:val="none" w:sz="0" w:space="0" w:color="auto"/>
                <w:bottom w:val="none" w:sz="0" w:space="0" w:color="auto"/>
                <w:right w:val="none" w:sz="0" w:space="0" w:color="auto"/>
              </w:divBdr>
            </w:div>
          </w:divsChild>
        </w:div>
        <w:div w:id="851066013">
          <w:marLeft w:val="0"/>
          <w:marRight w:val="0"/>
          <w:marTop w:val="100"/>
          <w:marBottom w:val="100"/>
          <w:divBdr>
            <w:top w:val="none" w:sz="0" w:space="0" w:color="auto"/>
            <w:left w:val="none" w:sz="0" w:space="0" w:color="auto"/>
            <w:bottom w:val="none" w:sz="0" w:space="0" w:color="auto"/>
            <w:right w:val="none" w:sz="0" w:space="0" w:color="auto"/>
          </w:divBdr>
        </w:div>
        <w:div w:id="1618218649">
          <w:marLeft w:val="0"/>
          <w:marRight w:val="0"/>
          <w:marTop w:val="0"/>
          <w:marBottom w:val="0"/>
          <w:divBdr>
            <w:top w:val="none" w:sz="0" w:space="0" w:color="auto"/>
            <w:left w:val="none" w:sz="0" w:space="0" w:color="auto"/>
            <w:bottom w:val="none" w:sz="0" w:space="0" w:color="auto"/>
            <w:right w:val="single" w:sz="12" w:space="24" w:color="E3EAF2"/>
          </w:divBdr>
        </w:div>
        <w:div w:id="104464816">
          <w:marLeft w:val="0"/>
          <w:marRight w:val="0"/>
          <w:marTop w:val="0"/>
          <w:marBottom w:val="0"/>
          <w:divBdr>
            <w:top w:val="none" w:sz="0" w:space="0" w:color="auto"/>
            <w:left w:val="none" w:sz="0" w:space="0" w:color="auto"/>
            <w:bottom w:val="none" w:sz="0" w:space="0" w:color="auto"/>
            <w:right w:val="single" w:sz="12" w:space="24" w:color="E3EAF2"/>
          </w:divBdr>
        </w:div>
        <w:div w:id="1020012418">
          <w:marLeft w:val="0"/>
          <w:marRight w:val="0"/>
          <w:marTop w:val="0"/>
          <w:marBottom w:val="0"/>
          <w:divBdr>
            <w:top w:val="none" w:sz="0" w:space="0" w:color="auto"/>
            <w:left w:val="none" w:sz="0" w:space="0" w:color="auto"/>
            <w:bottom w:val="none" w:sz="0" w:space="0" w:color="auto"/>
            <w:right w:val="single" w:sz="12" w:space="24" w:color="E3EAF2"/>
          </w:divBdr>
        </w:div>
        <w:div w:id="1050767862">
          <w:marLeft w:val="0"/>
          <w:marRight w:val="0"/>
          <w:marTop w:val="0"/>
          <w:marBottom w:val="0"/>
          <w:divBdr>
            <w:top w:val="none" w:sz="0" w:space="0" w:color="auto"/>
            <w:left w:val="none" w:sz="0" w:space="0" w:color="auto"/>
            <w:bottom w:val="none" w:sz="0" w:space="0" w:color="auto"/>
            <w:right w:val="single" w:sz="12" w:space="24" w:color="E3EAF2"/>
          </w:divBdr>
        </w:div>
        <w:div w:id="595483888">
          <w:marLeft w:val="0"/>
          <w:marRight w:val="0"/>
          <w:marTop w:val="0"/>
          <w:marBottom w:val="0"/>
          <w:divBdr>
            <w:top w:val="none" w:sz="0" w:space="0" w:color="auto"/>
            <w:left w:val="none" w:sz="0" w:space="0" w:color="auto"/>
            <w:bottom w:val="none" w:sz="0" w:space="0" w:color="auto"/>
            <w:right w:val="none" w:sz="0" w:space="0" w:color="auto"/>
          </w:divBdr>
        </w:div>
      </w:divsChild>
    </w:div>
    <w:div w:id="116071019">
      <w:bodyDiv w:val="1"/>
      <w:marLeft w:val="0"/>
      <w:marRight w:val="0"/>
      <w:marTop w:val="0"/>
      <w:marBottom w:val="0"/>
      <w:divBdr>
        <w:top w:val="none" w:sz="0" w:space="0" w:color="auto"/>
        <w:left w:val="none" w:sz="0" w:space="0" w:color="auto"/>
        <w:bottom w:val="none" w:sz="0" w:space="0" w:color="auto"/>
        <w:right w:val="none" w:sz="0" w:space="0" w:color="auto"/>
      </w:divBdr>
    </w:div>
    <w:div w:id="144276533">
      <w:bodyDiv w:val="1"/>
      <w:marLeft w:val="0"/>
      <w:marRight w:val="0"/>
      <w:marTop w:val="0"/>
      <w:marBottom w:val="0"/>
      <w:divBdr>
        <w:top w:val="none" w:sz="0" w:space="0" w:color="auto"/>
        <w:left w:val="none" w:sz="0" w:space="0" w:color="auto"/>
        <w:bottom w:val="none" w:sz="0" w:space="0" w:color="auto"/>
        <w:right w:val="none" w:sz="0" w:space="0" w:color="auto"/>
      </w:divBdr>
    </w:div>
    <w:div w:id="241531362">
      <w:bodyDiv w:val="1"/>
      <w:marLeft w:val="0"/>
      <w:marRight w:val="0"/>
      <w:marTop w:val="0"/>
      <w:marBottom w:val="0"/>
      <w:divBdr>
        <w:top w:val="none" w:sz="0" w:space="0" w:color="auto"/>
        <w:left w:val="none" w:sz="0" w:space="0" w:color="auto"/>
        <w:bottom w:val="none" w:sz="0" w:space="0" w:color="auto"/>
        <w:right w:val="none" w:sz="0" w:space="0" w:color="auto"/>
      </w:divBdr>
    </w:div>
    <w:div w:id="452599566">
      <w:bodyDiv w:val="1"/>
      <w:marLeft w:val="0"/>
      <w:marRight w:val="0"/>
      <w:marTop w:val="0"/>
      <w:marBottom w:val="0"/>
      <w:divBdr>
        <w:top w:val="none" w:sz="0" w:space="0" w:color="auto"/>
        <w:left w:val="none" w:sz="0" w:space="0" w:color="auto"/>
        <w:bottom w:val="none" w:sz="0" w:space="0" w:color="auto"/>
        <w:right w:val="none" w:sz="0" w:space="0" w:color="auto"/>
      </w:divBdr>
    </w:div>
    <w:div w:id="889607771">
      <w:bodyDiv w:val="1"/>
      <w:marLeft w:val="0"/>
      <w:marRight w:val="0"/>
      <w:marTop w:val="0"/>
      <w:marBottom w:val="0"/>
      <w:divBdr>
        <w:top w:val="none" w:sz="0" w:space="0" w:color="auto"/>
        <w:left w:val="none" w:sz="0" w:space="0" w:color="auto"/>
        <w:bottom w:val="none" w:sz="0" w:space="0" w:color="auto"/>
        <w:right w:val="none" w:sz="0" w:space="0" w:color="auto"/>
      </w:divBdr>
    </w:div>
    <w:div w:id="891238271">
      <w:bodyDiv w:val="1"/>
      <w:marLeft w:val="0"/>
      <w:marRight w:val="0"/>
      <w:marTop w:val="0"/>
      <w:marBottom w:val="0"/>
      <w:divBdr>
        <w:top w:val="none" w:sz="0" w:space="0" w:color="auto"/>
        <w:left w:val="none" w:sz="0" w:space="0" w:color="auto"/>
        <w:bottom w:val="none" w:sz="0" w:space="0" w:color="auto"/>
        <w:right w:val="none" w:sz="0" w:space="0" w:color="auto"/>
      </w:divBdr>
      <w:divsChild>
        <w:div w:id="1105810897">
          <w:marLeft w:val="0"/>
          <w:marRight w:val="0"/>
          <w:marTop w:val="0"/>
          <w:marBottom w:val="0"/>
          <w:divBdr>
            <w:top w:val="none" w:sz="0" w:space="0" w:color="auto"/>
            <w:left w:val="none" w:sz="0" w:space="0" w:color="auto"/>
            <w:bottom w:val="none" w:sz="0" w:space="0" w:color="auto"/>
            <w:right w:val="none" w:sz="0" w:space="0" w:color="auto"/>
          </w:divBdr>
        </w:div>
        <w:div w:id="1326468576">
          <w:marLeft w:val="0"/>
          <w:marRight w:val="0"/>
          <w:marTop w:val="0"/>
          <w:marBottom w:val="0"/>
          <w:divBdr>
            <w:top w:val="none" w:sz="0" w:space="0" w:color="auto"/>
            <w:left w:val="none" w:sz="0" w:space="0" w:color="auto"/>
            <w:bottom w:val="none" w:sz="0" w:space="0" w:color="auto"/>
            <w:right w:val="none" w:sz="0" w:space="0" w:color="auto"/>
          </w:divBdr>
        </w:div>
        <w:div w:id="943734422">
          <w:marLeft w:val="0"/>
          <w:marRight w:val="0"/>
          <w:marTop w:val="0"/>
          <w:marBottom w:val="0"/>
          <w:divBdr>
            <w:top w:val="none" w:sz="0" w:space="0" w:color="auto"/>
            <w:left w:val="none" w:sz="0" w:space="0" w:color="auto"/>
            <w:bottom w:val="none" w:sz="0" w:space="0" w:color="auto"/>
            <w:right w:val="none" w:sz="0" w:space="0" w:color="auto"/>
          </w:divBdr>
        </w:div>
        <w:div w:id="664237372">
          <w:marLeft w:val="0"/>
          <w:marRight w:val="0"/>
          <w:marTop w:val="0"/>
          <w:marBottom w:val="0"/>
          <w:divBdr>
            <w:top w:val="none" w:sz="0" w:space="0" w:color="auto"/>
            <w:left w:val="none" w:sz="0" w:space="0" w:color="auto"/>
            <w:bottom w:val="none" w:sz="0" w:space="0" w:color="auto"/>
            <w:right w:val="none" w:sz="0" w:space="0" w:color="auto"/>
          </w:divBdr>
        </w:div>
        <w:div w:id="674110362">
          <w:marLeft w:val="0"/>
          <w:marRight w:val="0"/>
          <w:marTop w:val="0"/>
          <w:marBottom w:val="0"/>
          <w:divBdr>
            <w:top w:val="none" w:sz="0" w:space="0" w:color="auto"/>
            <w:left w:val="none" w:sz="0" w:space="0" w:color="auto"/>
            <w:bottom w:val="none" w:sz="0" w:space="0" w:color="auto"/>
            <w:right w:val="none" w:sz="0" w:space="0" w:color="auto"/>
          </w:divBdr>
        </w:div>
        <w:div w:id="75136355">
          <w:marLeft w:val="0"/>
          <w:marRight w:val="0"/>
          <w:marTop w:val="0"/>
          <w:marBottom w:val="0"/>
          <w:divBdr>
            <w:top w:val="none" w:sz="0" w:space="0" w:color="auto"/>
            <w:left w:val="none" w:sz="0" w:space="0" w:color="auto"/>
            <w:bottom w:val="none" w:sz="0" w:space="0" w:color="auto"/>
            <w:right w:val="none" w:sz="0" w:space="0" w:color="auto"/>
          </w:divBdr>
        </w:div>
        <w:div w:id="1575385692">
          <w:marLeft w:val="0"/>
          <w:marRight w:val="0"/>
          <w:marTop w:val="0"/>
          <w:marBottom w:val="0"/>
          <w:divBdr>
            <w:top w:val="none" w:sz="0" w:space="0" w:color="auto"/>
            <w:left w:val="none" w:sz="0" w:space="0" w:color="auto"/>
            <w:bottom w:val="none" w:sz="0" w:space="0" w:color="auto"/>
            <w:right w:val="none" w:sz="0" w:space="0" w:color="auto"/>
          </w:divBdr>
        </w:div>
      </w:divsChild>
    </w:div>
    <w:div w:id="932393564">
      <w:bodyDiv w:val="1"/>
      <w:marLeft w:val="0"/>
      <w:marRight w:val="0"/>
      <w:marTop w:val="0"/>
      <w:marBottom w:val="0"/>
      <w:divBdr>
        <w:top w:val="none" w:sz="0" w:space="0" w:color="auto"/>
        <w:left w:val="none" w:sz="0" w:space="0" w:color="auto"/>
        <w:bottom w:val="none" w:sz="0" w:space="0" w:color="auto"/>
        <w:right w:val="none" w:sz="0" w:space="0" w:color="auto"/>
      </w:divBdr>
      <w:divsChild>
        <w:div w:id="1700815204">
          <w:marLeft w:val="0"/>
          <w:marRight w:val="0"/>
          <w:marTop w:val="0"/>
          <w:marBottom w:val="0"/>
          <w:divBdr>
            <w:top w:val="none" w:sz="0" w:space="0" w:color="auto"/>
            <w:left w:val="none" w:sz="0" w:space="0" w:color="auto"/>
            <w:bottom w:val="none" w:sz="0" w:space="0" w:color="auto"/>
            <w:right w:val="none" w:sz="0" w:space="0" w:color="auto"/>
          </w:divBdr>
        </w:div>
        <w:div w:id="1798524086">
          <w:marLeft w:val="0"/>
          <w:marRight w:val="0"/>
          <w:marTop w:val="0"/>
          <w:marBottom w:val="0"/>
          <w:divBdr>
            <w:top w:val="none" w:sz="0" w:space="0" w:color="auto"/>
            <w:left w:val="none" w:sz="0" w:space="0" w:color="auto"/>
            <w:bottom w:val="none" w:sz="0" w:space="0" w:color="auto"/>
            <w:right w:val="none" w:sz="0" w:space="0" w:color="auto"/>
          </w:divBdr>
        </w:div>
        <w:div w:id="1873154101">
          <w:marLeft w:val="0"/>
          <w:marRight w:val="0"/>
          <w:marTop w:val="0"/>
          <w:marBottom w:val="0"/>
          <w:divBdr>
            <w:top w:val="none" w:sz="0" w:space="0" w:color="auto"/>
            <w:left w:val="none" w:sz="0" w:space="0" w:color="auto"/>
            <w:bottom w:val="none" w:sz="0" w:space="0" w:color="auto"/>
            <w:right w:val="none" w:sz="0" w:space="0" w:color="auto"/>
          </w:divBdr>
        </w:div>
        <w:div w:id="1110970307">
          <w:marLeft w:val="0"/>
          <w:marRight w:val="0"/>
          <w:marTop w:val="0"/>
          <w:marBottom w:val="0"/>
          <w:divBdr>
            <w:top w:val="none" w:sz="0" w:space="0" w:color="auto"/>
            <w:left w:val="none" w:sz="0" w:space="0" w:color="auto"/>
            <w:bottom w:val="none" w:sz="0" w:space="0" w:color="auto"/>
            <w:right w:val="none" w:sz="0" w:space="0" w:color="auto"/>
          </w:divBdr>
        </w:div>
        <w:div w:id="740951166">
          <w:marLeft w:val="0"/>
          <w:marRight w:val="0"/>
          <w:marTop w:val="0"/>
          <w:marBottom w:val="0"/>
          <w:divBdr>
            <w:top w:val="none" w:sz="0" w:space="0" w:color="auto"/>
            <w:left w:val="none" w:sz="0" w:space="0" w:color="auto"/>
            <w:bottom w:val="none" w:sz="0" w:space="0" w:color="auto"/>
            <w:right w:val="none" w:sz="0" w:space="0" w:color="auto"/>
          </w:divBdr>
        </w:div>
        <w:div w:id="1625692597">
          <w:marLeft w:val="0"/>
          <w:marRight w:val="0"/>
          <w:marTop w:val="0"/>
          <w:marBottom w:val="0"/>
          <w:divBdr>
            <w:top w:val="none" w:sz="0" w:space="0" w:color="auto"/>
            <w:left w:val="none" w:sz="0" w:space="0" w:color="auto"/>
            <w:bottom w:val="none" w:sz="0" w:space="0" w:color="auto"/>
            <w:right w:val="none" w:sz="0" w:space="0" w:color="auto"/>
          </w:divBdr>
        </w:div>
        <w:div w:id="1169297784">
          <w:marLeft w:val="0"/>
          <w:marRight w:val="0"/>
          <w:marTop w:val="0"/>
          <w:marBottom w:val="0"/>
          <w:divBdr>
            <w:top w:val="none" w:sz="0" w:space="0" w:color="auto"/>
            <w:left w:val="none" w:sz="0" w:space="0" w:color="auto"/>
            <w:bottom w:val="none" w:sz="0" w:space="0" w:color="auto"/>
            <w:right w:val="none" w:sz="0" w:space="0" w:color="auto"/>
          </w:divBdr>
        </w:div>
      </w:divsChild>
    </w:div>
    <w:div w:id="942879122">
      <w:bodyDiv w:val="1"/>
      <w:marLeft w:val="0"/>
      <w:marRight w:val="0"/>
      <w:marTop w:val="0"/>
      <w:marBottom w:val="0"/>
      <w:divBdr>
        <w:top w:val="none" w:sz="0" w:space="0" w:color="auto"/>
        <w:left w:val="none" w:sz="0" w:space="0" w:color="auto"/>
        <w:bottom w:val="none" w:sz="0" w:space="0" w:color="auto"/>
        <w:right w:val="none" w:sz="0" w:space="0" w:color="auto"/>
      </w:divBdr>
    </w:div>
    <w:div w:id="974607858">
      <w:bodyDiv w:val="1"/>
      <w:marLeft w:val="0"/>
      <w:marRight w:val="0"/>
      <w:marTop w:val="0"/>
      <w:marBottom w:val="0"/>
      <w:divBdr>
        <w:top w:val="none" w:sz="0" w:space="0" w:color="auto"/>
        <w:left w:val="none" w:sz="0" w:space="0" w:color="auto"/>
        <w:bottom w:val="none" w:sz="0" w:space="0" w:color="auto"/>
        <w:right w:val="none" w:sz="0" w:space="0" w:color="auto"/>
      </w:divBdr>
    </w:div>
    <w:div w:id="1025978571">
      <w:bodyDiv w:val="1"/>
      <w:marLeft w:val="0"/>
      <w:marRight w:val="0"/>
      <w:marTop w:val="0"/>
      <w:marBottom w:val="0"/>
      <w:divBdr>
        <w:top w:val="none" w:sz="0" w:space="0" w:color="auto"/>
        <w:left w:val="none" w:sz="0" w:space="0" w:color="auto"/>
        <w:bottom w:val="none" w:sz="0" w:space="0" w:color="auto"/>
        <w:right w:val="none" w:sz="0" w:space="0" w:color="auto"/>
      </w:divBdr>
    </w:div>
    <w:div w:id="1078751639">
      <w:bodyDiv w:val="1"/>
      <w:marLeft w:val="0"/>
      <w:marRight w:val="0"/>
      <w:marTop w:val="0"/>
      <w:marBottom w:val="0"/>
      <w:divBdr>
        <w:top w:val="none" w:sz="0" w:space="0" w:color="auto"/>
        <w:left w:val="none" w:sz="0" w:space="0" w:color="auto"/>
        <w:bottom w:val="none" w:sz="0" w:space="0" w:color="auto"/>
        <w:right w:val="none" w:sz="0" w:space="0" w:color="auto"/>
      </w:divBdr>
      <w:divsChild>
        <w:div w:id="2096899592">
          <w:marLeft w:val="0"/>
          <w:marRight w:val="0"/>
          <w:marTop w:val="0"/>
          <w:marBottom w:val="0"/>
          <w:divBdr>
            <w:top w:val="none" w:sz="0" w:space="0" w:color="auto"/>
            <w:left w:val="none" w:sz="0" w:space="0" w:color="auto"/>
            <w:bottom w:val="none" w:sz="0" w:space="0" w:color="auto"/>
            <w:right w:val="none" w:sz="0" w:space="0" w:color="auto"/>
          </w:divBdr>
        </w:div>
        <w:div w:id="188446004">
          <w:marLeft w:val="0"/>
          <w:marRight w:val="0"/>
          <w:marTop w:val="0"/>
          <w:marBottom w:val="0"/>
          <w:divBdr>
            <w:top w:val="none" w:sz="0" w:space="0" w:color="auto"/>
            <w:left w:val="none" w:sz="0" w:space="0" w:color="auto"/>
            <w:bottom w:val="none" w:sz="0" w:space="0" w:color="auto"/>
            <w:right w:val="none" w:sz="0" w:space="0" w:color="auto"/>
          </w:divBdr>
        </w:div>
        <w:div w:id="1989243527">
          <w:marLeft w:val="0"/>
          <w:marRight w:val="0"/>
          <w:marTop w:val="0"/>
          <w:marBottom w:val="0"/>
          <w:divBdr>
            <w:top w:val="none" w:sz="0" w:space="0" w:color="auto"/>
            <w:left w:val="none" w:sz="0" w:space="0" w:color="auto"/>
            <w:bottom w:val="none" w:sz="0" w:space="0" w:color="auto"/>
            <w:right w:val="none" w:sz="0" w:space="0" w:color="auto"/>
          </w:divBdr>
        </w:div>
        <w:div w:id="1594238607">
          <w:marLeft w:val="0"/>
          <w:marRight w:val="0"/>
          <w:marTop w:val="0"/>
          <w:marBottom w:val="0"/>
          <w:divBdr>
            <w:top w:val="none" w:sz="0" w:space="0" w:color="auto"/>
            <w:left w:val="none" w:sz="0" w:space="0" w:color="auto"/>
            <w:bottom w:val="none" w:sz="0" w:space="0" w:color="auto"/>
            <w:right w:val="none" w:sz="0" w:space="0" w:color="auto"/>
          </w:divBdr>
        </w:div>
        <w:div w:id="1226524255">
          <w:marLeft w:val="0"/>
          <w:marRight w:val="0"/>
          <w:marTop w:val="0"/>
          <w:marBottom w:val="0"/>
          <w:divBdr>
            <w:top w:val="none" w:sz="0" w:space="0" w:color="auto"/>
            <w:left w:val="none" w:sz="0" w:space="0" w:color="auto"/>
            <w:bottom w:val="none" w:sz="0" w:space="0" w:color="auto"/>
            <w:right w:val="none" w:sz="0" w:space="0" w:color="auto"/>
          </w:divBdr>
        </w:div>
        <w:div w:id="1109424906">
          <w:marLeft w:val="0"/>
          <w:marRight w:val="0"/>
          <w:marTop w:val="0"/>
          <w:marBottom w:val="0"/>
          <w:divBdr>
            <w:top w:val="none" w:sz="0" w:space="0" w:color="auto"/>
            <w:left w:val="none" w:sz="0" w:space="0" w:color="auto"/>
            <w:bottom w:val="none" w:sz="0" w:space="0" w:color="auto"/>
            <w:right w:val="none" w:sz="0" w:space="0" w:color="auto"/>
          </w:divBdr>
        </w:div>
        <w:div w:id="1350453458">
          <w:marLeft w:val="0"/>
          <w:marRight w:val="0"/>
          <w:marTop w:val="0"/>
          <w:marBottom w:val="0"/>
          <w:divBdr>
            <w:top w:val="none" w:sz="0" w:space="0" w:color="auto"/>
            <w:left w:val="none" w:sz="0" w:space="0" w:color="auto"/>
            <w:bottom w:val="none" w:sz="0" w:space="0" w:color="auto"/>
            <w:right w:val="none" w:sz="0" w:space="0" w:color="auto"/>
          </w:divBdr>
        </w:div>
      </w:divsChild>
    </w:div>
    <w:div w:id="1299064830">
      <w:bodyDiv w:val="1"/>
      <w:marLeft w:val="0"/>
      <w:marRight w:val="0"/>
      <w:marTop w:val="0"/>
      <w:marBottom w:val="0"/>
      <w:divBdr>
        <w:top w:val="none" w:sz="0" w:space="0" w:color="auto"/>
        <w:left w:val="none" w:sz="0" w:space="0" w:color="auto"/>
        <w:bottom w:val="none" w:sz="0" w:space="0" w:color="auto"/>
        <w:right w:val="none" w:sz="0" w:space="0" w:color="auto"/>
      </w:divBdr>
      <w:divsChild>
        <w:div w:id="813714620">
          <w:marLeft w:val="0"/>
          <w:marRight w:val="0"/>
          <w:marTop w:val="100"/>
          <w:marBottom w:val="100"/>
          <w:divBdr>
            <w:top w:val="none" w:sz="0" w:space="0" w:color="auto"/>
            <w:left w:val="none" w:sz="0" w:space="0" w:color="auto"/>
            <w:bottom w:val="none" w:sz="0" w:space="0" w:color="auto"/>
            <w:right w:val="none" w:sz="0" w:space="0" w:color="auto"/>
          </w:divBdr>
        </w:div>
        <w:div w:id="1743989634">
          <w:marLeft w:val="0"/>
          <w:marRight w:val="0"/>
          <w:marTop w:val="0"/>
          <w:marBottom w:val="0"/>
          <w:divBdr>
            <w:top w:val="none" w:sz="0" w:space="0" w:color="auto"/>
            <w:left w:val="none" w:sz="0" w:space="0" w:color="auto"/>
            <w:bottom w:val="none" w:sz="0" w:space="0" w:color="auto"/>
            <w:right w:val="single" w:sz="4" w:space="9" w:color="E3EAF2"/>
          </w:divBdr>
        </w:div>
        <w:div w:id="799113201">
          <w:marLeft w:val="0"/>
          <w:marRight w:val="0"/>
          <w:marTop w:val="0"/>
          <w:marBottom w:val="0"/>
          <w:divBdr>
            <w:top w:val="none" w:sz="0" w:space="0" w:color="auto"/>
            <w:left w:val="none" w:sz="0" w:space="0" w:color="auto"/>
            <w:bottom w:val="none" w:sz="0" w:space="0" w:color="auto"/>
            <w:right w:val="single" w:sz="4" w:space="9" w:color="E3EAF2"/>
          </w:divBdr>
        </w:div>
        <w:div w:id="1571841237">
          <w:marLeft w:val="0"/>
          <w:marRight w:val="0"/>
          <w:marTop w:val="0"/>
          <w:marBottom w:val="0"/>
          <w:divBdr>
            <w:top w:val="none" w:sz="0" w:space="0" w:color="auto"/>
            <w:left w:val="none" w:sz="0" w:space="0" w:color="auto"/>
            <w:bottom w:val="none" w:sz="0" w:space="0" w:color="auto"/>
            <w:right w:val="single" w:sz="4" w:space="9" w:color="E3EAF2"/>
          </w:divBdr>
        </w:div>
        <w:div w:id="1568177822">
          <w:marLeft w:val="0"/>
          <w:marRight w:val="0"/>
          <w:marTop w:val="0"/>
          <w:marBottom w:val="0"/>
          <w:divBdr>
            <w:top w:val="none" w:sz="0" w:space="0" w:color="auto"/>
            <w:left w:val="none" w:sz="0" w:space="0" w:color="auto"/>
            <w:bottom w:val="none" w:sz="0" w:space="0" w:color="auto"/>
            <w:right w:val="single" w:sz="4" w:space="9" w:color="E3EAF2"/>
          </w:divBdr>
        </w:div>
        <w:div w:id="577055946">
          <w:marLeft w:val="0"/>
          <w:marRight w:val="0"/>
          <w:marTop w:val="0"/>
          <w:marBottom w:val="0"/>
          <w:divBdr>
            <w:top w:val="none" w:sz="0" w:space="0" w:color="auto"/>
            <w:left w:val="none" w:sz="0" w:space="0" w:color="auto"/>
            <w:bottom w:val="none" w:sz="0" w:space="0" w:color="auto"/>
            <w:right w:val="none" w:sz="0" w:space="0" w:color="auto"/>
          </w:divBdr>
        </w:div>
      </w:divsChild>
    </w:div>
    <w:div w:id="1306008197">
      <w:bodyDiv w:val="1"/>
      <w:marLeft w:val="0"/>
      <w:marRight w:val="0"/>
      <w:marTop w:val="0"/>
      <w:marBottom w:val="0"/>
      <w:divBdr>
        <w:top w:val="none" w:sz="0" w:space="0" w:color="auto"/>
        <w:left w:val="none" w:sz="0" w:space="0" w:color="auto"/>
        <w:bottom w:val="none" w:sz="0" w:space="0" w:color="auto"/>
        <w:right w:val="none" w:sz="0" w:space="0" w:color="auto"/>
      </w:divBdr>
    </w:div>
    <w:div w:id="1370036579">
      <w:bodyDiv w:val="1"/>
      <w:marLeft w:val="0"/>
      <w:marRight w:val="0"/>
      <w:marTop w:val="0"/>
      <w:marBottom w:val="0"/>
      <w:divBdr>
        <w:top w:val="none" w:sz="0" w:space="0" w:color="auto"/>
        <w:left w:val="none" w:sz="0" w:space="0" w:color="auto"/>
        <w:bottom w:val="none" w:sz="0" w:space="0" w:color="auto"/>
        <w:right w:val="none" w:sz="0" w:space="0" w:color="auto"/>
      </w:divBdr>
    </w:div>
    <w:div w:id="1560434067">
      <w:bodyDiv w:val="1"/>
      <w:marLeft w:val="0"/>
      <w:marRight w:val="0"/>
      <w:marTop w:val="0"/>
      <w:marBottom w:val="0"/>
      <w:divBdr>
        <w:top w:val="none" w:sz="0" w:space="0" w:color="auto"/>
        <w:left w:val="none" w:sz="0" w:space="0" w:color="auto"/>
        <w:bottom w:val="none" w:sz="0" w:space="0" w:color="auto"/>
        <w:right w:val="none" w:sz="0" w:space="0" w:color="auto"/>
      </w:divBdr>
    </w:div>
    <w:div w:id="1588267469">
      <w:bodyDiv w:val="1"/>
      <w:marLeft w:val="0"/>
      <w:marRight w:val="0"/>
      <w:marTop w:val="0"/>
      <w:marBottom w:val="0"/>
      <w:divBdr>
        <w:top w:val="none" w:sz="0" w:space="0" w:color="auto"/>
        <w:left w:val="none" w:sz="0" w:space="0" w:color="auto"/>
        <w:bottom w:val="none" w:sz="0" w:space="0" w:color="auto"/>
        <w:right w:val="none" w:sz="0" w:space="0" w:color="auto"/>
      </w:divBdr>
    </w:div>
    <w:div w:id="1920019669">
      <w:bodyDiv w:val="1"/>
      <w:marLeft w:val="0"/>
      <w:marRight w:val="0"/>
      <w:marTop w:val="0"/>
      <w:marBottom w:val="0"/>
      <w:divBdr>
        <w:top w:val="none" w:sz="0" w:space="0" w:color="auto"/>
        <w:left w:val="none" w:sz="0" w:space="0" w:color="auto"/>
        <w:bottom w:val="none" w:sz="0" w:space="0" w:color="auto"/>
        <w:right w:val="none" w:sz="0" w:space="0" w:color="auto"/>
      </w:divBdr>
    </w:div>
    <w:div w:id="2089039424">
      <w:bodyDiv w:val="1"/>
      <w:marLeft w:val="0"/>
      <w:marRight w:val="0"/>
      <w:marTop w:val="0"/>
      <w:marBottom w:val="0"/>
      <w:divBdr>
        <w:top w:val="none" w:sz="0" w:space="0" w:color="auto"/>
        <w:left w:val="none" w:sz="0" w:space="0" w:color="auto"/>
        <w:bottom w:val="none" w:sz="0" w:space="0" w:color="auto"/>
        <w:right w:val="none" w:sz="0" w:space="0" w:color="auto"/>
      </w:divBdr>
    </w:div>
    <w:div w:id="210260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14</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13804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RAMBABU</dc:creator>
  <cp:lastModifiedBy>RAMBABU</cp:lastModifiedBy>
  <cp:revision>4</cp:revision>
  <dcterms:created xsi:type="dcterms:W3CDTF">2024-04-04T15:14:00Z</dcterms:created>
  <dcterms:modified xsi:type="dcterms:W3CDTF">2024-04-04T16:37:00Z</dcterms:modified>
</cp:coreProperties>
</file>