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Calibri" w:hAnsi="Calibri"/>
          <w:b/>
          <w:color w:val="0B2545"/>
          <w:sz w:val="44"/>
        </w:rPr>
        <w:t>Codex 推荐插件真实试跑评估</w:t>
      </w:r>
    </w:p>
    <w:p>
      <w:pPr>
        <w:spacing w:after="280"/>
      </w:pPr>
      <w:r>
        <w:rPr>
          <w:rFonts w:ascii="Calibri" w:hAnsi="Calibri"/>
          <w:b w:val="0"/>
          <w:color w:val="555555"/>
          <w:sz w:val="22"/>
        </w:rPr>
        <w:t>SignalProof 内部流程资产化摘要 | 2026-06-21</w:t>
      </w:r>
    </w:p>
    <w:p>
      <w:pPr>
        <w:spacing w:after="200"/>
      </w:pPr>
      <w:r>
        <w:rPr>
          <w:rFonts w:ascii="Calibri" w:hAnsi="Calibri"/>
          <w:b w:val="0"/>
          <w:color w:val="000000"/>
          <w:sz w:val="22"/>
        </w:rPr>
        <w:t>本文件用于试跑 Documents 插件能力：从插件审计结果生成可交付 DOCX，并通过结构化检查确认内容、标题层级和表格数据存在。</w:t>
      </w:r>
    </w:p>
    <w:p>
      <w:pPr>
        <w:pStyle w:val="Heading1"/>
      </w:pPr>
      <w:r>
        <w:t>结论摘要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00000"/>
          <w:sz w:val="22"/>
        </w:rPr>
        <w:t>强增益：GitHub、Record &amp; Replay、Spreadsheets、Data Visualization。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00000"/>
          <w:sz w:val="22"/>
        </w:rPr>
        <w:t>条件增益：Hugging Face、last30days、Zotero、Sentry/PostHog/Mixpanel/Amplitude/Datadog。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00000"/>
          <w:sz w:val="22"/>
        </w:rPr>
        <w:t>暂不默认：Browser、Computer Use 当前环境失败；app-only connector 缺少工具入口或账号授权。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00000"/>
          <w:sz w:val="22"/>
        </w:rPr>
        <w:t>产物建议：表格和可视化默认进入工具账本；DOCX/PDF/PPTX 在正式交付件时启用。</w:t>
      </w:r>
    </w:p>
    <w:p>
      <w:pPr>
        <w:pStyle w:val="Heading1"/>
      </w:pPr>
      <w:r>
        <w:t>插件试跑矩阵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插件组</w:t>
            </w:r>
          </w:p>
        </w:tc>
        <w:tc>
          <w:tcPr>
            <w:tcW w:type="dxa" w:w="1400"/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结果质量</w:t>
            </w:r>
          </w:p>
        </w:tc>
        <w:tc>
          <w:tcPr>
            <w:tcW w:type="dxa" w:w="3200"/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实际证据</w:t>
            </w:r>
          </w:p>
        </w:tc>
        <w:tc>
          <w:tcPr>
            <w:tcW w:type="dxa" w:w="2960"/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默认建议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GitHub / last30days / Hugging Face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中到强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公开仓库、最近 30 天讨论、模型/数据集 API</w:t>
            </w:r>
          </w:p>
        </w:tc>
        <w:tc>
          <w:tcPr>
            <w:tcW w:type="dxa" w:w="2960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调研阶段默认候选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Record &amp; Replay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强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event_stream_status 可读</w:t>
            </w:r>
          </w:p>
        </w:tc>
        <w:tc>
          <w:tcPr>
            <w:tcW w:type="dxa" w:w="2960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资产化阶段默认候选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Spreadsheets / Data Visualization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强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XLSX、PNG、HTML 已生成</w:t>
            </w:r>
          </w:p>
        </w:tc>
        <w:tc>
          <w:tcPr>
            <w:tcW w:type="dxa" w:w="2960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工具账本与报告可视化默认候选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Documents / PDF / Presentations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中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本轮生成 DOCX/PDF/PPTX；渲染依赖部分缺失</w:t>
            </w:r>
          </w:p>
        </w:tc>
        <w:tc>
          <w:tcPr>
            <w:tcW w:type="dxa" w:w="2960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正式交付件启用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Readwise / Scite / Semrush 等 app-only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阻塞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manifest 为 app-only；当前线程未暴露 connector</w:t>
            </w:r>
          </w:p>
        </w:tc>
        <w:tc>
          <w:tcPr>
            <w:tcW w:type="dxa" w:w="2960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授权后专项跑，不默认</w:t>
            </w:r>
          </w:p>
        </w:tc>
      </w:tr>
    </w:tbl>
    <w:p>
      <w:pPr>
        <w:pStyle w:val="Heading1"/>
      </w:pPr>
      <w:r>
        <w:t>边界</w:t>
      </w:r>
    </w:p>
    <w:p>
      <w:r>
        <w:rPr>
          <w:rFonts w:ascii="Calibri" w:hAnsi="Calibri"/>
          <w:b w:val="0"/>
          <w:color w:val="000000"/>
          <w:sz w:val="22"/>
        </w:rPr>
        <w:t>本轮只能证明插件对个人内部工作流的增益和阻塞点，不能证明 SignalProof 已获得市场验证。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