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 2</w:t>
      </w:r>
    </w:p>
    <w:p>
      <w:r>
        <w:t>**Manuscript Title:** A Computationally-Integrated Simulation-Focused Problem-Based Learning Framework for Engineering Dynamics: Design, Implementation, and Mixed-Methods Evaluation in an OBE-Aligned Undergraduate Course</w:t>
      </w:r>
    </w:p>
    <w:p>
      <w:r>
        <w:t>**Manuscript ID:** 1948391</w:t>
      </w:r>
    </w:p>
    <w:p>
      <w:r>
        <w:t>**Journal:** *Frontiers in Education* (Section: STEM Education)</w:t>
      </w:r>
    </w:p>
    <w:p>
      <w:r>
        <w:t>**Authors:** Sunny Nanade, Debasis Dash, Sudipto Sarkar, Koteswararao Anne</w:t>
      </w:r>
    </w:p>
    <w:p>
      <w:r>
        <w:t>We sincerely thank Reviewer 2 for their positive appraisal, constructive feedback, and valuable recommendations to enhance the alignment of our paper with Outcome-Based Education (OBE) principles. We have addressed all three comments in detail, as described below. All additions and modifications are highlighted in blue in the revised manuscript.</w:t>
      </w:r>
    </w:p>
    <w:p>
      <w:pPr>
        <w:pStyle w:val="Heading2"/>
      </w:pPr>
      <w:r>
        <w:t>Comment R2.1: Explicit Statement of Main Objective in Abstract</w:t>
      </w:r>
    </w:p>
    <w:p>
      <w:pPr>
        <w:ind w:left="720"/>
      </w:pPr>
      <w:r>
        <w:rPr>
          <w:i/>
        </w:rPr>
        <w:t>*"Please add the main objective of this study after the introduction and conclusion as the final statement."*</w:t>
      </w:r>
    </w:p>
    <w:p>
      <w:r>
        <w:t>**Response:**</w:t>
      </w:r>
    </w:p>
    <w:p>
      <w:r>
        <w:t>We thank the reviewer for this helpful suggestion. In the Abstract of the revised manuscript, immediately following the opening pedagogical problem statement, we have inserted an explicit statement defining the primary research objective:</w:t>
      </w:r>
    </w:p>
    <w:p>
      <w:pPr>
        <w:ind w:left="720"/>
      </w:pPr>
      <w:r>
        <w:rPr>
          <w:i/>
        </w:rPr>
        <w:t>*"The primary objective of this study was to design, implement, and empirically evaluate a Simulation-Focused Problem-Based Learning (SF-PBL) framework that integrates first-principles Newtonian and Lagrangian mechanics with Python-based numerical simulation within an Outcome-Based Education (OBE)-aligned curriculum."*</w:t>
      </w:r>
    </w:p>
    <w:p>
      <w:r>
        <w:t>**Location in Manuscript:** Abstract (lines 63--68).</w:t>
      </w:r>
    </w:p>
    <w:p>
      <w:pPr>
        <w:pStyle w:val="Heading2"/>
      </w:pPr>
      <w:r>
        <w:t>Comment R2.2: Course Outcome (CO) and Programme Outcome (PO) Attainment Evaluation</w:t>
      </w:r>
    </w:p>
    <w:p>
      <w:pPr>
        <w:ind w:left="720"/>
      </w:pPr>
      <w:r>
        <w:rPr>
          <w:i/>
        </w:rPr>
        <w:t>*"This study would be more comprehensive and interesting if the authors also evaluated students' CO achievements. It is also interesting to see the distribution of marks for the COs and POs."*</w:t>
      </w:r>
    </w:p>
    <w:p>
      <w:r>
        <w:t>**Response:**</w:t>
      </w:r>
    </w:p>
    <w:p>
      <w:r>
        <w:t>We deeply appreciate this insightful recommendation. In response, we have added a comprehensive Course Outcome attainment analysis in both the OBE Framework section (Section 2.2) and Results section (Section 4.6, **Table 6: Course Outcome Attainment**):</w:t>
      </w:r>
    </w:p>
    <w:p>
      <w:pPr>
        <w:pStyle w:val="ListNumber"/>
      </w:pPr>
      <w:r>
        <w:t>1. **Dual-Assessment Framework:** We evaluated attainment across all five course outcomes (CO1--CO5) using two independent empirical sources from our dataset:</w:t>
      </w:r>
    </w:p>
    <w:p>
      <w:pPr>
        <w:pStyle w:val="ListBullet"/>
      </w:pPr>
      <w:r>
        <w:t>**Direct Attainment:** Pre-to-post conceptual knowledge gains on domain-specific MCQ items (PK1--PK5).</w:t>
      </w:r>
    </w:p>
    <w:p>
      <w:pPr>
        <w:pStyle w:val="ListBullet"/>
      </w:pPr>
      <w:r>
        <w:t>**Indirect Attainment:** Percentage of students demonstrating high self-efficacy ($\geq 4$ on a 5-point Likert scale, i.e., "Agree" or "Strongly Agree") across aligned items (SE1--SE9).</w:t>
      </w:r>
    </w:p>
    <w:p>
      <w:pPr>
        <w:pStyle w:val="ListNumber"/>
      </w:pPr>
      <w:r>
        <w:t>2. **Empirical CO Attainment Findings (Table 6):**</w:t>
      </w:r>
    </w:p>
    <w:p>
      <w:pPr>
        <w:pStyle w:val="ListBullet"/>
      </w:pPr>
      <w:r>
        <w:t>**CO1 (Kinematic Analysis, Apply L3):** Direct MCQ: 28.3% $\rightarrow$ 39.6% (+11.3pp); Indirect SE: 3.8% $\rightarrow$ 67.9% (+64.2pp).</w:t>
      </w:r>
    </w:p>
    <w:p>
      <w:pPr>
        <w:pStyle w:val="ListBullet"/>
      </w:pPr>
      <w:r>
        <w:t>**CO2 (Free Body Diagrams, Analyse L4):** Direct MCQ: 9.4% $\rightarrow$ 30.2% (+20.8pp); Indirect SE: 3.8% $\rightarrow$ 69.8% (+66.0pp).</w:t>
      </w:r>
    </w:p>
    <w:p>
      <w:pPr>
        <w:pStyle w:val="ListBullet"/>
      </w:pPr>
      <w:r>
        <w:t>**CO3 (Newton's Equations of Motion, Analyse L4):** Direct MCQ: 81.1% $\rightarrow$ 96.2% (+15.1pp); Indirect SE: 0.0% $\rightarrow$ 75.5% (+75.5pp).</w:t>
      </w:r>
    </w:p>
    <w:p>
      <w:pPr>
        <w:pStyle w:val="ListBullet"/>
      </w:pPr>
      <w:r>
        <w:t>**CO4 (Lagrangian Mechanics, Evaluate L5):** Direct MCQ: 9.4% $\rightarrow$ 71.7% (+62.3pp); Indirect SE: 3.8% $\rightarrow$ 73.6% (+69.8pp).</w:t>
      </w:r>
    </w:p>
    <w:p>
      <w:pPr>
        <w:pStyle w:val="ListBullet"/>
      </w:pPr>
      <w:r>
        <w:t>**CO5 (Python ODE Solvers, Create L6):** Direct MCQ: 67.9% $\rightarrow$ 90.6% (+22.6pp); Indirect SE: 4.9% $\rightarrow$ 71.3% (+66.4pp).</w:t>
      </w:r>
    </w:p>
    <w:p>
      <w:pPr>
        <w:pStyle w:val="ListNumber"/>
      </w:pPr>
      <w:r>
        <w:t>3. **Discussion of Attainment Patterns:** We note that CO4 (Lagrangian mechanics) demonstrated the largest direct gain (+62.3 percentage points), aligning with its role as the central focus of Phase 2. We also highlight the pedagogical insight that foundational competencies (CO1, CO2) showed modest direct MCQ accuracy despite strong procedural self-efficacy, identifying them as key targets for enhanced scaffolding in future course offerings.</w:t>
      </w:r>
    </w:p>
    <w:p>
      <w:pPr>
        <w:pStyle w:val="ListNumber"/>
      </w:pPr>
      <w:r>
        <w:t>4. **PO Alignment:** In Section 2.2, we clarified the mapping from CO1--CO5 to NBA Programme Outcomes (PO1: Engineering Knowledge, PO2: Problem Analysis, PO5: Modern Tool Usage) and detailed how the six-judge exhibition rubric dimensions provide multi-perspective authentic evidence for these outcomes.</w:t>
      </w:r>
    </w:p>
    <w:p>
      <w:r>
        <w:t>**Location in Manuscript:** Section 2.2 (Paragraph 2), Section 4.6 (Table 6 and accompanying text).</w:t>
      </w:r>
    </w:p>
    <w:p>
      <w:pPr>
        <w:pStyle w:val="Heading2"/>
      </w:pPr>
      <w:r>
        <w:t>Comment R2.3: Referencing the Main Objective in the Conclusion</w:t>
      </w:r>
    </w:p>
    <w:p>
      <w:pPr>
        <w:ind w:left="720"/>
      </w:pPr>
      <w:r>
        <w:rPr>
          <w:i/>
        </w:rPr>
        <w:t>*"Please refer to the main objective which is not clearly stated in this paper."*</w:t>
      </w:r>
    </w:p>
    <w:p>
      <w:r>
        <w:t>**Response:**</w:t>
      </w:r>
    </w:p>
    <w:p>
      <w:r>
        <w:t>We thank the reviewer for pointing this out. In Section 6 (Conclusion), we have restructured the opening paragraph to explicitly reference the fulfillment of the primary research objective:</w:t>
      </w:r>
    </w:p>
    <w:p>
      <w:pPr>
        <w:ind w:left="720"/>
      </w:pPr>
      <w:r>
        <w:rPr>
          <w:i/>
        </w:rPr>
        <w:t>*"This study fulfilled its primary objective---to design, implement, and empirically evaluate the Simulation-Focused Problem-Based Learning (SF-PBL) framework---through a mixed-methods evaluation in an undergraduate engineering dynamics course ($N = 53$) at a single NBA-accredited institution within a single-cohort context."*</w:t>
      </w:r>
    </w:p>
    <w:p>
      <w:r>
        <w:t>**Location in Manuscript:** Section 6 (Conclusion, opening sentence).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