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00"/>
        <w:jc w:val="center"/>
      </w:pPr>
      <w:r>
        <w:rPr>
          <w:b/>
          <w:color w:val="2F75B5"/>
          <w:sz w:val="32"/>
        </w:rPr>
        <w:t>DEVOPS MASTER COURSE</w:t>
      </w:r>
    </w:p>
    <w:p>
      <w:pPr>
        <w:pStyle w:val="Title"/>
        <w:jc w:val="center"/>
      </w:pPr>
      <w:r>
        <w:t>Quality Audit, Versioning and Update Policy</w:t>
      </w:r>
    </w:p>
    <w:p>
      <w:pPr>
        <w:pStyle w:val="Subtitle"/>
        <w:spacing w:after="500"/>
        <w:jc w:val="center"/>
      </w:pPr>
      <w:r>
        <w:t>Release assurance, file integrity, errata and sustainable curriculum maintenance</w:t>
      </w:r>
    </w:p>
    <w:tbl>
      <w:tblPr>
        <w:tblStyle w:val="TableGrid"/>
        <w:tblW w:type="auto" w:w="0"/>
        <w:jc w:val="center"/>
        <w:tblLook w:firstColumn="1" w:firstRow="1" w:lastColumn="0" w:lastRow="0" w:noHBand="0" w:noVBand="1" w:val="04A0"/>
      </w:tblPr>
      <w:tblGrid>
        <w:gridCol w:w="5083"/>
        <w:gridCol w:w="5083"/>
      </w:tblGrid>
      <w:tr>
        <w:trPr>
          <w:cantSplit/>
          <w:tblHeader w:val="true"/>
        </w:trPr>
        <w:tc>
          <w:tcPr>
            <w:tcW w:type="dxa" w:w="5083"/>
            <w:vAlign w:val="center"/>
            <w:shd w:fill="17365D"/>
          </w:tcPr>
          <w:p>
            <w:r/>
            <w:r>
              <w:rPr>
                <w:b/>
                <w:color w:val="FFFFFF"/>
                <w:sz w:val="20"/>
              </w:rPr>
              <w:t>Edition</w:t>
            </w:r>
          </w:p>
        </w:tc>
        <w:tc>
          <w:tcPr>
            <w:tcW w:type="dxa" w:w="5083"/>
            <w:vAlign w:val="center"/>
            <w:shd w:fill="EEF4F8"/>
          </w:tcPr>
          <w:p>
            <w:r/>
            <w:r>
              <w:rPr>
                <w:b w:val="0"/>
                <w:color w:val="17365D"/>
                <w:sz w:val="20"/>
              </w:rPr>
              <w:t>2026 Final Release</w:t>
            </w:r>
          </w:p>
        </w:tc>
      </w:tr>
      <w:tr>
        <w:trPr>
          <w:cantSplit/>
        </w:trPr>
        <w:tc>
          <w:tcPr>
            <w:tcW w:type="dxa" w:w="5083"/>
            <w:vAlign w:val="center"/>
            <w:shd w:fill="17365D"/>
          </w:tcPr>
          <w:p>
            <w:r/>
            <w:r>
              <w:rPr>
                <w:b/>
                <w:color w:val="FFFFFF"/>
                <w:sz w:val="20"/>
              </w:rPr>
              <w:t>Curriculum</w:t>
            </w:r>
          </w:p>
        </w:tc>
        <w:tc>
          <w:tcPr>
            <w:tcW w:type="dxa" w:w="5083"/>
            <w:vAlign w:val="center"/>
            <w:shd w:fill="EEF4F8"/>
          </w:tcPr>
          <w:p>
            <w:r/>
            <w:r>
              <w:rPr>
                <w:b w:val="0"/>
                <w:color w:val="17365D"/>
                <w:sz w:val="20"/>
              </w:rPr>
              <w:t>Volumes 1-15</w:t>
            </w:r>
          </w:p>
        </w:tc>
      </w:tr>
      <w:tr>
        <w:trPr>
          <w:cantSplit/>
        </w:trPr>
        <w:tc>
          <w:tcPr>
            <w:tcW w:type="dxa" w:w="5083"/>
            <w:vAlign w:val="center"/>
            <w:shd w:fill="17365D"/>
          </w:tcPr>
          <w:p>
            <w:r/>
            <w:r>
              <w:rPr>
                <w:b/>
                <w:color w:val="FFFFFF"/>
                <w:sz w:val="20"/>
              </w:rPr>
              <w:t>Delivery</w:t>
            </w:r>
          </w:p>
        </w:tc>
        <w:tc>
          <w:tcPr>
            <w:tcW w:type="dxa" w:w="5083"/>
            <w:vAlign w:val="center"/>
            <w:shd w:fill="EEF4F8"/>
          </w:tcPr>
          <w:p>
            <w:r/>
            <w:r>
              <w:rPr>
                <w:b w:val="0"/>
                <w:color w:val="17365D"/>
                <w:sz w:val="20"/>
              </w:rPr>
              <w:t>DOCX + PDF + Executable Repository</w:t>
            </w:r>
          </w:p>
        </w:tc>
      </w:tr>
    </w:tbl>
    <w:p>
      <w:pPr>
        <w:spacing w:before="800"/>
        <w:jc w:val="center"/>
      </w:pPr>
      <w:r>
        <w:rPr>
          <w:i/>
          <w:color w:val="666666"/>
          <w:sz w:val="22"/>
        </w:rPr>
        <w:t>Professional learning, practical evidence, enterprise readiness.</w:t>
      </w:r>
    </w:p>
    <w:p>
      <w:r>
        <w:br w:type="page"/>
      </w:r>
    </w:p>
    <w:p>
      <w:pPr>
        <w:pStyle w:val="Heading1"/>
      </w:pPr>
      <w:r>
        <w:t>Executive Summary</w:t>
      </w:r>
    </w:p>
    <w:p>
      <w:r>
        <w:t>This manual defines how the course is audited, published, corrected and updated. It separates curriculum completion from file availability, verifies DOCX/PDF pairing, protects against broken downloads and duplicate content, and creates an update path that does not require unnecessary new volumes.</w:t>
      </w:r>
    </w:p>
    <w:p>
      <w:pPr>
        <w:pStyle w:val="Heading1"/>
      </w:pPr>
      <w:r>
        <w:t>1. Quality Gates</w:t>
      </w:r>
    </w:p>
    <w:tbl>
      <w:tblPr>
        <w:tblStyle w:val="TableGrid"/>
        <w:tblW w:type="auto" w:w="0"/>
        <w:jc w:val="center"/>
        <w:tblLook w:firstColumn="1" w:firstRow="1" w:lastColumn="0" w:lastRow="0" w:noHBand="0" w:noVBand="1" w:val="04A0"/>
      </w:tblPr>
      <w:tblGrid>
        <w:gridCol w:w="3389"/>
        <w:gridCol w:w="3389"/>
        <w:gridCol w:w="3389"/>
      </w:tblGrid>
      <w:tr>
        <w:trPr>
          <w:tblHeader w:val="true"/>
          <w:cantSplit/>
        </w:trPr>
        <w:tc>
          <w:tcPr>
            <w:tcW w:type="dxa" w:w="3389"/>
            <w:vAlign w:val="center"/>
            <w:shd w:fill="17365D"/>
          </w:tcPr>
          <w:p>
            <w:r/>
            <w:r>
              <w:rPr>
                <w:b/>
                <w:color w:val="FFFFFF"/>
                <w:sz w:val="17"/>
              </w:rPr>
              <w:t>Gate</w:t>
            </w:r>
          </w:p>
        </w:tc>
        <w:tc>
          <w:tcPr>
            <w:tcW w:type="dxa" w:w="3389"/>
            <w:vAlign w:val="center"/>
            <w:shd w:fill="17365D"/>
          </w:tcPr>
          <w:p>
            <w:r/>
            <w:r>
              <w:rPr>
                <w:b/>
                <w:color w:val="FFFFFF"/>
                <w:sz w:val="17"/>
              </w:rPr>
              <w:t>Required check</w:t>
            </w:r>
          </w:p>
        </w:tc>
        <w:tc>
          <w:tcPr>
            <w:tcW w:type="dxa" w:w="3389"/>
            <w:vAlign w:val="center"/>
            <w:shd w:fill="17365D"/>
          </w:tcPr>
          <w:p>
            <w:r/>
            <w:r>
              <w:rPr>
                <w:b/>
                <w:color w:val="FFFFFF"/>
                <w:sz w:val="17"/>
              </w:rPr>
              <w:t>Failure action</w:t>
            </w:r>
          </w:p>
        </w:tc>
      </w:tr>
      <w:tr>
        <w:trPr>
          <w:cantSplit/>
        </w:trPr>
        <w:tc>
          <w:tcPr>
            <w:tcW w:type="dxa" w:w="3389"/>
            <w:vAlign w:val="center"/>
          </w:tcPr>
          <w:p>
            <w:r/>
            <w:r>
              <w:rPr>
                <w:b w:val="0"/>
                <w:color w:val="17365D"/>
                <w:sz w:val="17"/>
              </w:rPr>
              <w:t>Content</w:t>
            </w:r>
          </w:p>
        </w:tc>
        <w:tc>
          <w:tcPr>
            <w:tcW w:type="dxa" w:w="3389"/>
            <w:vAlign w:val="center"/>
          </w:tcPr>
          <w:p>
            <w:r/>
            <w:r>
              <w:rPr>
                <w:b w:val="0"/>
                <w:sz w:val="17"/>
              </w:rPr>
              <w:t>Chapter sequence, scope and no unintended duplication</w:t>
            </w:r>
          </w:p>
        </w:tc>
        <w:tc>
          <w:tcPr>
            <w:tcW w:type="dxa" w:w="3389"/>
            <w:vAlign w:val="center"/>
          </w:tcPr>
          <w:p>
            <w:r/>
            <w:r>
              <w:rPr>
                <w:b w:val="0"/>
                <w:sz w:val="17"/>
              </w:rPr>
              <w:t>Correct source manuscript</w:t>
            </w:r>
          </w:p>
        </w:tc>
      </w:tr>
      <w:tr>
        <w:trPr>
          <w:cantSplit/>
        </w:trPr>
        <w:tc>
          <w:tcPr>
            <w:tcW w:type="dxa" w:w="3389"/>
            <w:vAlign w:val="center"/>
            <w:shd w:fill="EEF4F8"/>
          </w:tcPr>
          <w:p>
            <w:r/>
            <w:r>
              <w:rPr>
                <w:b w:val="0"/>
                <w:color w:val="17365D"/>
                <w:sz w:val="17"/>
              </w:rPr>
              <w:t>Technical</w:t>
            </w:r>
          </w:p>
        </w:tc>
        <w:tc>
          <w:tcPr>
            <w:tcW w:type="dxa" w:w="3389"/>
            <w:vAlign w:val="center"/>
            <w:shd w:fill="EEF4F8"/>
          </w:tcPr>
          <w:p>
            <w:r/>
            <w:r>
              <w:rPr>
                <w:b w:val="0"/>
                <w:sz w:val="17"/>
              </w:rPr>
              <w:t>Commands, configurations and examples are internally consistent</w:t>
            </w:r>
          </w:p>
        </w:tc>
        <w:tc>
          <w:tcPr>
            <w:tcW w:type="dxa" w:w="3389"/>
            <w:vAlign w:val="center"/>
            <w:shd w:fill="EEF4F8"/>
          </w:tcPr>
          <w:p>
            <w:r/>
            <w:r>
              <w:rPr>
                <w:b w:val="0"/>
                <w:sz w:val="17"/>
              </w:rPr>
              <w:t>Revise and re-test</w:t>
            </w:r>
          </w:p>
        </w:tc>
      </w:tr>
      <w:tr>
        <w:trPr>
          <w:cantSplit/>
        </w:trPr>
        <w:tc>
          <w:tcPr>
            <w:tcW w:type="dxa" w:w="3389"/>
            <w:vAlign w:val="center"/>
          </w:tcPr>
          <w:p>
            <w:r/>
            <w:r>
              <w:rPr>
                <w:b w:val="0"/>
                <w:color w:val="17365D"/>
                <w:sz w:val="17"/>
              </w:rPr>
              <w:t>DOCX layout</w:t>
            </w:r>
          </w:p>
        </w:tc>
        <w:tc>
          <w:tcPr>
            <w:tcW w:type="dxa" w:w="3389"/>
            <w:vAlign w:val="center"/>
          </w:tcPr>
          <w:p>
            <w:r/>
            <w:r>
              <w:rPr>
                <w:b w:val="0"/>
                <w:sz w:val="17"/>
              </w:rPr>
              <w:t>Render every page; no clipping, broken tables or missing glyphs</w:t>
            </w:r>
          </w:p>
        </w:tc>
        <w:tc>
          <w:tcPr>
            <w:tcW w:type="dxa" w:w="3389"/>
            <w:vAlign w:val="center"/>
          </w:tcPr>
          <w:p>
            <w:r/>
            <w:r>
              <w:rPr>
                <w:b w:val="0"/>
                <w:sz w:val="17"/>
              </w:rPr>
              <w:t>Fix and re-render</w:t>
            </w:r>
          </w:p>
        </w:tc>
      </w:tr>
      <w:tr>
        <w:trPr>
          <w:cantSplit/>
        </w:trPr>
        <w:tc>
          <w:tcPr>
            <w:tcW w:type="dxa" w:w="3389"/>
            <w:vAlign w:val="center"/>
            <w:shd w:fill="EEF4F8"/>
          </w:tcPr>
          <w:p>
            <w:r/>
            <w:r>
              <w:rPr>
                <w:b w:val="0"/>
                <w:color w:val="17365D"/>
                <w:sz w:val="17"/>
              </w:rPr>
              <w:t>PDF layout</w:t>
            </w:r>
          </w:p>
        </w:tc>
        <w:tc>
          <w:tcPr>
            <w:tcW w:type="dxa" w:w="3389"/>
            <w:vAlign w:val="center"/>
            <w:shd w:fill="EEF4F8"/>
          </w:tcPr>
          <w:p>
            <w:r/>
            <w:r>
              <w:rPr>
                <w:b w:val="0"/>
                <w:sz w:val="17"/>
              </w:rPr>
              <w:t>Render and visually verify; selectable text and embedded fonts</w:t>
            </w:r>
          </w:p>
        </w:tc>
        <w:tc>
          <w:tcPr>
            <w:tcW w:type="dxa" w:w="3389"/>
            <w:vAlign w:val="center"/>
            <w:shd w:fill="EEF4F8"/>
          </w:tcPr>
          <w:p>
            <w:r/>
            <w:r>
              <w:rPr>
                <w:b w:val="0"/>
                <w:sz w:val="17"/>
              </w:rPr>
              <w:t>Re-export and preflight</w:t>
            </w:r>
          </w:p>
        </w:tc>
      </w:tr>
      <w:tr>
        <w:trPr>
          <w:cantSplit/>
        </w:trPr>
        <w:tc>
          <w:tcPr>
            <w:tcW w:type="dxa" w:w="3389"/>
            <w:vAlign w:val="center"/>
          </w:tcPr>
          <w:p>
            <w:r/>
            <w:r>
              <w:rPr>
                <w:b w:val="0"/>
                <w:color w:val="17365D"/>
                <w:sz w:val="17"/>
              </w:rPr>
              <w:t>Pair integrity</w:t>
            </w:r>
          </w:p>
        </w:tc>
        <w:tc>
          <w:tcPr>
            <w:tcW w:type="dxa" w:w="3389"/>
            <w:vAlign w:val="center"/>
          </w:tcPr>
          <w:p>
            <w:r/>
            <w:r>
              <w:rPr>
                <w:b w:val="0"/>
                <w:sz w:val="17"/>
              </w:rPr>
              <w:t>Every DOCX has a matching PDF with the same stem</w:t>
            </w:r>
          </w:p>
        </w:tc>
        <w:tc>
          <w:tcPr>
            <w:tcW w:type="dxa" w:w="3389"/>
            <w:vAlign w:val="center"/>
          </w:tcPr>
          <w:p>
            <w:r/>
            <w:r>
              <w:rPr>
                <w:b w:val="0"/>
                <w:sz w:val="17"/>
              </w:rPr>
              <w:t>Regenerate missing pair</w:t>
            </w:r>
          </w:p>
        </w:tc>
      </w:tr>
      <w:tr>
        <w:trPr>
          <w:cantSplit/>
        </w:trPr>
        <w:tc>
          <w:tcPr>
            <w:tcW w:type="dxa" w:w="3389"/>
            <w:vAlign w:val="center"/>
            <w:shd w:fill="EEF4F8"/>
          </w:tcPr>
          <w:p>
            <w:r/>
            <w:r>
              <w:rPr>
                <w:b w:val="0"/>
                <w:color w:val="17365D"/>
                <w:sz w:val="17"/>
              </w:rPr>
              <w:t>Links</w:t>
            </w:r>
          </w:p>
        </w:tc>
        <w:tc>
          <w:tcPr>
            <w:tcW w:type="dxa" w:w="3389"/>
            <w:vAlign w:val="center"/>
            <w:shd w:fill="EEF4F8"/>
          </w:tcPr>
          <w:p>
            <w:r/>
            <w:r>
              <w:rPr>
                <w:b w:val="0"/>
                <w:sz w:val="17"/>
              </w:rPr>
              <w:t>Download and reference links resolve</w:t>
            </w:r>
          </w:p>
        </w:tc>
        <w:tc>
          <w:tcPr>
            <w:tcW w:type="dxa" w:w="3389"/>
            <w:vAlign w:val="center"/>
            <w:shd w:fill="EEF4F8"/>
          </w:tcPr>
          <w:p>
            <w:r/>
            <w:r>
              <w:rPr>
                <w:b w:val="0"/>
                <w:sz w:val="17"/>
              </w:rPr>
              <w:t>Replace or annotate</w:t>
            </w:r>
          </w:p>
        </w:tc>
      </w:tr>
      <w:tr>
        <w:trPr>
          <w:cantSplit/>
        </w:trPr>
        <w:tc>
          <w:tcPr>
            <w:tcW w:type="dxa" w:w="3389"/>
            <w:vAlign w:val="center"/>
          </w:tcPr>
          <w:p>
            <w:r/>
            <w:r>
              <w:rPr>
                <w:b w:val="0"/>
                <w:color w:val="17365D"/>
                <w:sz w:val="17"/>
              </w:rPr>
              <w:t>Accessibility</w:t>
            </w:r>
          </w:p>
        </w:tc>
        <w:tc>
          <w:tcPr>
            <w:tcW w:type="dxa" w:w="3389"/>
            <w:vAlign w:val="center"/>
          </w:tcPr>
          <w:p>
            <w:r/>
            <w:r>
              <w:rPr>
                <w:b w:val="0"/>
                <w:sz w:val="17"/>
              </w:rPr>
              <w:t>Headings, table headers, readable contrast and meaningful link text</w:t>
            </w:r>
          </w:p>
        </w:tc>
        <w:tc>
          <w:tcPr>
            <w:tcW w:type="dxa" w:w="3389"/>
            <w:vAlign w:val="center"/>
          </w:tcPr>
          <w:p>
            <w:r/>
            <w:r>
              <w:rPr>
                <w:b w:val="0"/>
                <w:sz w:val="17"/>
              </w:rPr>
              <w:t>Apply safe fixes</w:t>
            </w:r>
          </w:p>
        </w:tc>
      </w:tr>
      <w:tr>
        <w:trPr>
          <w:cantSplit/>
        </w:trPr>
        <w:tc>
          <w:tcPr>
            <w:tcW w:type="dxa" w:w="3389"/>
            <w:vAlign w:val="center"/>
            <w:shd w:fill="EEF4F8"/>
          </w:tcPr>
          <w:p>
            <w:r/>
            <w:r>
              <w:rPr>
                <w:b w:val="0"/>
                <w:color w:val="17365D"/>
                <w:sz w:val="17"/>
              </w:rPr>
              <w:t>Privacy</w:t>
            </w:r>
          </w:p>
        </w:tc>
        <w:tc>
          <w:tcPr>
            <w:tcW w:type="dxa" w:w="3389"/>
            <w:vAlign w:val="center"/>
            <w:shd w:fill="EEF4F8"/>
          </w:tcPr>
          <w:p>
            <w:r/>
            <w:r>
              <w:rPr>
                <w:b w:val="0"/>
                <w:sz w:val="17"/>
              </w:rPr>
              <w:t>No sensitive metadata, credentials or private paths</w:t>
            </w:r>
          </w:p>
        </w:tc>
        <w:tc>
          <w:tcPr>
            <w:tcW w:type="dxa" w:w="3389"/>
            <w:vAlign w:val="center"/>
            <w:shd w:fill="EEF4F8"/>
          </w:tcPr>
          <w:p>
            <w:r/>
            <w:r>
              <w:rPr>
                <w:b w:val="0"/>
                <w:sz w:val="17"/>
              </w:rPr>
              <w:t>Scrub before release</w:t>
            </w:r>
          </w:p>
        </w:tc>
      </w:tr>
    </w:tbl>
    <w:p>
      <w:pPr>
        <w:pStyle w:val="Heading1"/>
      </w:pPr>
      <w:r>
        <w:t>2. Current-Workspace Audit Scope</w:t>
      </w:r>
    </w:p>
    <w:p>
      <w:r>
        <w:t>At build time, the active workspace contained 33 course DOCX files and 33 matching course PDF files. This count reflects files available in the current runtime, not the full historical library across previous conversations or storage locations.</w:t>
      </w:r>
    </w:p>
    <w:tbl>
      <w:tblPr>
        <w:tblW w:type="auto" w:w="0"/>
        <w:jc w:val="center"/>
        <w:tblLook w:firstColumn="1" w:firstRow="1" w:lastColumn="0" w:lastRow="0" w:noHBand="0" w:noVBand="1" w:val="04A0"/>
      </w:tblPr>
      <w:tblGrid>
        <w:gridCol w:w="10166"/>
      </w:tblGrid>
      <w:tr>
        <w:trPr>
          <w:cantSplit/>
          <w:tblHeader w:val="true"/>
        </w:trPr>
        <w:tc>
          <w:tcPr>
            <w:tcW w:type="dxa" w:w="10166"/>
            <w:shd w:fill="FFF2CC"/>
          </w:tcPr>
          <w:p>
            <w:r>
              <w:rPr>
                <w:b/>
                <w:color w:val="17365D"/>
              </w:rPr>
              <w:t xml:space="preserve">Important distinction: </w:t>
            </w:r>
            <w:r>
              <w:rPr>
                <w:sz w:val="19"/>
              </w:rPr>
              <w:t>Curriculum status may be complete while older files are not mounted in the current workspace. The included audit script reports file availability without incorrectly declaring missing historical files as unwritten content.</w:t>
            </w:r>
          </w:p>
        </w:tc>
      </w:tr>
    </w:tbl>
    <w:p>
      <w:pPr>
        <w:spacing w:after="20"/>
      </w:pPr>
    </w:p>
    <w:p>
      <w:pPr>
        <w:pStyle w:val="Heading1"/>
      </w:pPr>
      <w:r>
        <w:t>3. Automated File Audit</w:t>
      </w:r>
    </w:p>
    <w:tbl>
      <w:tblPr>
        <w:tblStyle w:val="TableGrid"/>
        <w:tblW w:type="auto" w:w="0"/>
        <w:tblLook w:firstColumn="1" w:firstRow="1" w:lastColumn="0" w:lastRow="0" w:noHBand="0" w:noVBand="1" w:val="04A0"/>
      </w:tblPr>
      <w:tblGrid>
        <w:gridCol w:w="10166"/>
      </w:tblGrid>
      <w:tr>
        <w:trPr>
          <w:cantSplit/>
          <w:tblHeader w:val="true"/>
        </w:trPr>
        <w:tc>
          <w:tcPr>
            <w:tcW w:type="dxa" w:w="10166"/>
            <w:shd w:fill="F3F3F3"/>
          </w:tcPr>
          <w:p>
            <w:r>
              <w:rPr>
                <w:rFonts w:ascii="Consolas" w:hAnsi="Consolas"/>
                <w:sz w:val="16"/>
              </w:rPr>
              <w:t>python scripts/audit_course_files.py --root /path/to/course-library --json-out audit.json</w:t>
            </w:r>
            <w:r>
              <w:br/>
            </w:r>
            <w:r>
              <w:rPr>
                <w:rFonts w:ascii="Consolas" w:hAnsi="Consolas"/>
                <w:sz w:val="16"/>
              </w:rPr>
            </w:r>
            <w:r>
              <w:br/>
            </w:r>
            <w:r>
              <w:rPr>
                <w:rFonts w:ascii="Consolas" w:hAnsi="Consolas"/>
                <w:sz w:val="16"/>
              </w:rPr>
              <w:t>Checks:</w:t>
            </w:r>
            <w:r>
              <w:br/>
            </w:r>
            <w:r>
              <w:rPr>
                <w:rFonts w:ascii="Consolas" w:hAnsi="Consolas"/>
                <w:sz w:val="16"/>
              </w:rPr>
              <w:t>- DOCX count</w:t>
            </w:r>
            <w:r>
              <w:br/>
            </w:r>
            <w:r>
              <w:rPr>
                <w:rFonts w:ascii="Consolas" w:hAnsi="Consolas"/>
                <w:sz w:val="16"/>
              </w:rPr>
              <w:t>- PDF count</w:t>
            </w:r>
            <w:r>
              <w:br/>
            </w:r>
            <w:r>
              <w:rPr>
                <w:rFonts w:ascii="Consolas" w:hAnsi="Consolas"/>
                <w:sz w:val="16"/>
              </w:rPr>
              <w:t>- DOCX files without matching PDFs</w:t>
            </w:r>
            <w:r>
              <w:br/>
            </w:r>
            <w:r>
              <w:rPr>
                <w:rFonts w:ascii="Consolas" w:hAnsi="Consolas"/>
                <w:sz w:val="16"/>
              </w:rPr>
              <w:t>- PDF files without matching DOCX files</w:t>
            </w:r>
          </w:p>
        </w:tc>
      </w:tr>
    </w:tbl>
    <w:p>
      <w:pPr>
        <w:pStyle w:val="Heading1"/>
      </w:pPr>
      <w:r>
        <w:t>4. Release Naming Standard</w:t>
      </w:r>
    </w:p>
    <w:tbl>
      <w:tblPr>
        <w:tblStyle w:val="TableGrid"/>
        <w:tblW w:type="auto" w:w="0"/>
        <w:tblLook w:firstColumn="1" w:firstRow="1" w:lastColumn="0" w:lastRow="0" w:noHBand="0" w:noVBand="1" w:val="04A0"/>
      </w:tblPr>
      <w:tblGrid>
        <w:gridCol w:w="10166"/>
      </w:tblGrid>
      <w:tr>
        <w:trPr>
          <w:cantSplit/>
          <w:tblHeader w:val="true"/>
        </w:trPr>
        <w:tc>
          <w:tcPr>
            <w:tcW w:type="dxa" w:w="10166"/>
            <w:shd w:fill="F3F3F3"/>
          </w:tcPr>
          <w:p>
            <w:r>
              <w:rPr>
                <w:rFonts w:ascii="Consolas" w:hAnsi="Consolas"/>
                <w:sz w:val="16"/>
              </w:rPr>
              <w:t>DevOps_Master_Course_Volume_&lt;NN&gt;&lt;Part&gt;_&lt;Canonical_Title&gt;_v&lt;MAJOR&gt;.&lt;MINOR&gt;.&lt;PATCH&gt;.docx</w:t>
            </w:r>
            <w:r>
              <w:br/>
            </w:r>
            <w:r>
              <w:rPr>
                <w:rFonts w:ascii="Consolas" w:hAnsi="Consolas"/>
                <w:sz w:val="16"/>
              </w:rPr>
              <w:t>DevOps_Master_Course_Volume_&lt;NN&gt;&lt;Part&gt;_&lt;Canonical_Title&gt;_v&lt;MAJOR&gt;.&lt;MINOR&gt;.&lt;PATCH&gt;.pdf</w:t>
            </w:r>
            <w:r>
              <w:br/>
            </w:r>
            <w:r>
              <w:rPr>
                <w:rFonts w:ascii="Consolas" w:hAnsi="Consolas"/>
                <w:sz w:val="16"/>
              </w:rPr>
            </w:r>
            <w:r>
              <w:br/>
            </w:r>
            <w:r>
              <w:rPr>
                <w:rFonts w:ascii="Consolas" w:hAnsi="Consolas"/>
                <w:sz w:val="16"/>
              </w:rPr>
              <w:t>Examples:</w:t>
            </w:r>
            <w:r>
              <w:br/>
            </w:r>
            <w:r>
              <w:rPr>
                <w:rFonts w:ascii="Consolas" w:hAnsi="Consolas"/>
                <w:sz w:val="16"/>
              </w:rPr>
              <w:t>DevOps_Master_Course_Volume_11B_Prometheus_PromQL_Alertmanager_v1.0.0.pdf</w:t>
            </w:r>
            <w:r>
              <w:br/>
            </w:r>
            <w:r>
              <w:rPr>
                <w:rFonts w:ascii="Consolas" w:hAnsi="Consolas"/>
                <w:sz w:val="16"/>
              </w:rPr>
              <w:t>DevOps_Master_Course_Volume_14D_Model_Serving_RAG_Agents_LLMOps_v1.1.0.docx</w:t>
            </w:r>
          </w:p>
        </w:tc>
      </w:tr>
    </w:tbl>
    <w:p>
      <w:pPr>
        <w:pStyle w:val="Heading1"/>
      </w:pPr>
      <w:r>
        <w:t>5. Version Policy</w:t>
      </w:r>
    </w:p>
    <w:tbl>
      <w:tblPr>
        <w:tblStyle w:val="TableGrid"/>
        <w:tblW w:type="auto" w:w="0"/>
        <w:jc w:val="center"/>
        <w:tblLook w:firstColumn="1" w:firstRow="1" w:lastColumn="0" w:lastRow="0" w:noHBand="0" w:noVBand="1" w:val="04A0"/>
      </w:tblPr>
      <w:tblGrid>
        <w:gridCol w:w="3389"/>
        <w:gridCol w:w="3389"/>
        <w:gridCol w:w="3389"/>
      </w:tblGrid>
      <w:tr>
        <w:trPr>
          <w:tblHeader w:val="true"/>
          <w:cantSplit/>
        </w:trPr>
        <w:tc>
          <w:tcPr>
            <w:tcW w:type="dxa" w:w="3389"/>
            <w:vAlign w:val="center"/>
            <w:shd w:fill="17365D"/>
          </w:tcPr>
          <w:p>
            <w:r/>
            <w:r>
              <w:rPr>
                <w:b/>
                <w:color w:val="FFFFFF"/>
                <w:sz w:val="17"/>
              </w:rPr>
              <w:t>Change</w:t>
            </w:r>
          </w:p>
        </w:tc>
        <w:tc>
          <w:tcPr>
            <w:tcW w:type="dxa" w:w="3389"/>
            <w:vAlign w:val="center"/>
            <w:shd w:fill="17365D"/>
          </w:tcPr>
          <w:p>
            <w:r/>
            <w:r>
              <w:rPr>
                <w:b/>
                <w:color w:val="FFFFFF"/>
                <w:sz w:val="17"/>
              </w:rPr>
              <w:t>Version increment</w:t>
            </w:r>
          </w:p>
        </w:tc>
        <w:tc>
          <w:tcPr>
            <w:tcW w:type="dxa" w:w="3389"/>
            <w:vAlign w:val="center"/>
            <w:shd w:fill="17365D"/>
          </w:tcPr>
          <w:p>
            <w:r/>
            <w:r>
              <w:rPr>
                <w:b/>
                <w:color w:val="FFFFFF"/>
                <w:sz w:val="17"/>
              </w:rPr>
              <w:t>Example</w:t>
            </w:r>
          </w:p>
        </w:tc>
      </w:tr>
      <w:tr>
        <w:trPr>
          <w:cantSplit/>
        </w:trPr>
        <w:tc>
          <w:tcPr>
            <w:tcW w:type="dxa" w:w="3389"/>
            <w:vAlign w:val="center"/>
          </w:tcPr>
          <w:p>
            <w:r/>
            <w:r>
              <w:rPr>
                <w:b w:val="0"/>
                <w:color w:val="17365D"/>
                <w:sz w:val="17"/>
              </w:rPr>
              <w:t>Typo, broken link, formatting defect</w:t>
            </w:r>
          </w:p>
        </w:tc>
        <w:tc>
          <w:tcPr>
            <w:tcW w:type="dxa" w:w="3389"/>
            <w:vAlign w:val="center"/>
          </w:tcPr>
          <w:p>
            <w:r/>
            <w:r>
              <w:rPr>
                <w:b w:val="0"/>
                <w:sz w:val="17"/>
              </w:rPr>
              <w:t>PATCH</w:t>
            </w:r>
          </w:p>
        </w:tc>
        <w:tc>
          <w:tcPr>
            <w:tcW w:type="dxa" w:w="3389"/>
            <w:vAlign w:val="center"/>
          </w:tcPr>
          <w:p>
            <w:r/>
            <w:r>
              <w:rPr>
                <w:b w:val="0"/>
                <w:sz w:val="17"/>
              </w:rPr>
              <w:t>1.0.0 -&gt; 1.0.1</w:t>
            </w:r>
          </w:p>
        </w:tc>
      </w:tr>
      <w:tr>
        <w:trPr>
          <w:cantSplit/>
        </w:trPr>
        <w:tc>
          <w:tcPr>
            <w:tcW w:type="dxa" w:w="3389"/>
            <w:vAlign w:val="center"/>
            <w:shd w:fill="EEF4F8"/>
          </w:tcPr>
          <w:p>
            <w:r/>
            <w:r>
              <w:rPr>
                <w:b w:val="0"/>
                <w:color w:val="17365D"/>
                <w:sz w:val="17"/>
              </w:rPr>
              <w:t>New lab, changed tool workflow, expanded chapter</w:t>
            </w:r>
          </w:p>
        </w:tc>
        <w:tc>
          <w:tcPr>
            <w:tcW w:type="dxa" w:w="3389"/>
            <w:vAlign w:val="center"/>
            <w:shd w:fill="EEF4F8"/>
          </w:tcPr>
          <w:p>
            <w:r/>
            <w:r>
              <w:rPr>
                <w:b w:val="0"/>
                <w:sz w:val="17"/>
              </w:rPr>
              <w:t>MINOR</w:t>
            </w:r>
          </w:p>
        </w:tc>
        <w:tc>
          <w:tcPr>
            <w:tcW w:type="dxa" w:w="3389"/>
            <w:vAlign w:val="center"/>
            <w:shd w:fill="EEF4F8"/>
          </w:tcPr>
          <w:p>
            <w:r/>
            <w:r>
              <w:rPr>
                <w:b w:val="0"/>
                <w:sz w:val="17"/>
              </w:rPr>
              <w:t>1.0.1 -&gt; 1.1.0</w:t>
            </w:r>
          </w:p>
        </w:tc>
      </w:tr>
      <w:tr>
        <w:trPr>
          <w:cantSplit/>
        </w:trPr>
        <w:tc>
          <w:tcPr>
            <w:tcW w:type="dxa" w:w="3389"/>
            <w:vAlign w:val="center"/>
          </w:tcPr>
          <w:p>
            <w:r/>
            <w:r>
              <w:rPr>
                <w:b w:val="0"/>
                <w:color w:val="17365D"/>
                <w:sz w:val="17"/>
              </w:rPr>
              <w:t>Major restructure or incompatible learning sequence</w:t>
            </w:r>
          </w:p>
        </w:tc>
        <w:tc>
          <w:tcPr>
            <w:tcW w:type="dxa" w:w="3389"/>
            <w:vAlign w:val="center"/>
          </w:tcPr>
          <w:p>
            <w:r/>
            <w:r>
              <w:rPr>
                <w:b w:val="0"/>
                <w:sz w:val="17"/>
              </w:rPr>
              <w:t>MAJOR</w:t>
            </w:r>
          </w:p>
        </w:tc>
        <w:tc>
          <w:tcPr>
            <w:tcW w:type="dxa" w:w="3389"/>
            <w:vAlign w:val="center"/>
          </w:tcPr>
          <w:p>
            <w:r/>
            <w:r>
              <w:rPr>
                <w:b w:val="0"/>
                <w:sz w:val="17"/>
              </w:rPr>
              <w:t>1.1.0 -&gt; 2.0.0</w:t>
            </w:r>
          </w:p>
        </w:tc>
      </w:tr>
    </w:tbl>
    <w:p>
      <w:pPr>
        <w:pStyle w:val="Heading1"/>
      </w:pPr>
      <w:r>
        <w:t>6. Errata Workflow</w:t>
      </w:r>
    </w:p>
    <w:p>
      <w:pPr>
        <w:pStyle w:val="ListNumber"/>
      </w:pPr>
      <w:r>
        <w:t>Record the issue with volume, part, chapter, page and evidence.</w:t>
      </w:r>
    </w:p>
    <w:p>
      <w:pPr>
        <w:pStyle w:val="ListNumber"/>
      </w:pPr>
      <w:r>
        <w:t>Classify severity: critical, high, medium or editorial.</w:t>
      </w:r>
    </w:p>
    <w:p>
      <w:pPr>
        <w:pStyle w:val="ListNumber"/>
      </w:pPr>
      <w:r>
        <w:t>Verify the correction against authoritative documentation or reproducible tests.</w:t>
      </w:r>
    </w:p>
    <w:p>
      <w:pPr>
        <w:pStyle w:val="ListNumber"/>
      </w:pPr>
      <w:r>
        <w:t>Update the source DOCX and companion repository asset.</w:t>
      </w:r>
    </w:p>
    <w:p>
      <w:pPr>
        <w:pStyle w:val="ListNumber"/>
      </w:pPr>
      <w:r>
        <w:t>Render and visually verify DOCX and PDF again.</w:t>
      </w:r>
    </w:p>
    <w:p>
      <w:pPr>
        <w:pStyle w:val="ListNumber"/>
      </w:pPr>
      <w:r>
        <w:t>Increment the version and update the changelog.</w:t>
      </w:r>
    </w:p>
    <w:p>
      <w:pPr>
        <w:pStyle w:val="ListNumber"/>
      </w:pPr>
      <w:r>
        <w:t>Publish the corrected files and archive the replaced release.</w:t>
      </w:r>
    </w:p>
    <w:p>
      <w:pPr>
        <w:pStyle w:val="Heading1"/>
      </w:pPr>
      <w:r>
        <w:t>7. Technology Update Cadence</w:t>
      </w:r>
    </w:p>
    <w:tbl>
      <w:tblPr>
        <w:tblStyle w:val="TableGrid"/>
        <w:tblW w:type="auto" w:w="0"/>
        <w:jc w:val="center"/>
        <w:tblLook w:firstColumn="1" w:firstRow="1" w:lastColumn="0" w:lastRow="0" w:noHBand="0" w:noVBand="1" w:val="04A0"/>
      </w:tblPr>
      <w:tblGrid>
        <w:gridCol w:w="3389"/>
        <w:gridCol w:w="3389"/>
        <w:gridCol w:w="3389"/>
      </w:tblGrid>
      <w:tr>
        <w:trPr>
          <w:tblHeader w:val="true"/>
          <w:cantSplit/>
        </w:trPr>
        <w:tc>
          <w:tcPr>
            <w:tcW w:type="dxa" w:w="3389"/>
            <w:vAlign w:val="center"/>
            <w:shd w:fill="17365D"/>
          </w:tcPr>
          <w:p>
            <w:r/>
            <w:r>
              <w:rPr>
                <w:b/>
                <w:color w:val="FFFFFF"/>
                <w:sz w:val="17"/>
              </w:rPr>
              <w:t>Review</w:t>
            </w:r>
          </w:p>
        </w:tc>
        <w:tc>
          <w:tcPr>
            <w:tcW w:type="dxa" w:w="3389"/>
            <w:vAlign w:val="center"/>
            <w:shd w:fill="17365D"/>
          </w:tcPr>
          <w:p>
            <w:r/>
            <w:r>
              <w:rPr>
                <w:b/>
                <w:color w:val="FFFFFF"/>
                <w:sz w:val="17"/>
              </w:rPr>
              <w:t>Cadence</w:t>
            </w:r>
          </w:p>
        </w:tc>
        <w:tc>
          <w:tcPr>
            <w:tcW w:type="dxa" w:w="3389"/>
            <w:vAlign w:val="center"/>
            <w:shd w:fill="17365D"/>
          </w:tcPr>
          <w:p>
            <w:r/>
            <w:r>
              <w:rPr>
                <w:b/>
                <w:color w:val="FFFFFF"/>
                <w:sz w:val="17"/>
              </w:rPr>
              <w:t>Focus</w:t>
            </w:r>
          </w:p>
        </w:tc>
      </w:tr>
      <w:tr>
        <w:trPr>
          <w:cantSplit/>
        </w:trPr>
        <w:tc>
          <w:tcPr>
            <w:tcW w:type="dxa" w:w="3389"/>
            <w:vAlign w:val="center"/>
          </w:tcPr>
          <w:p>
            <w:r/>
            <w:r>
              <w:rPr>
                <w:b w:val="0"/>
                <w:color w:val="17365D"/>
                <w:sz w:val="17"/>
              </w:rPr>
              <w:t>Critical advisory review</w:t>
            </w:r>
          </w:p>
        </w:tc>
        <w:tc>
          <w:tcPr>
            <w:tcW w:type="dxa" w:w="3389"/>
            <w:vAlign w:val="center"/>
          </w:tcPr>
          <w:p>
            <w:r/>
            <w:r>
              <w:rPr>
                <w:b w:val="0"/>
                <w:sz w:val="17"/>
              </w:rPr>
              <w:t>As needed</w:t>
            </w:r>
          </w:p>
        </w:tc>
        <w:tc>
          <w:tcPr>
            <w:tcW w:type="dxa" w:w="3389"/>
            <w:vAlign w:val="center"/>
          </w:tcPr>
          <w:p>
            <w:r/>
            <w:r>
              <w:rPr>
                <w:b w:val="0"/>
                <w:sz w:val="17"/>
              </w:rPr>
              <w:t>Security, deprecations and broken workflows</w:t>
            </w:r>
          </w:p>
        </w:tc>
      </w:tr>
      <w:tr>
        <w:trPr>
          <w:cantSplit/>
        </w:trPr>
        <w:tc>
          <w:tcPr>
            <w:tcW w:type="dxa" w:w="3389"/>
            <w:vAlign w:val="center"/>
            <w:shd w:fill="EEF4F8"/>
          </w:tcPr>
          <w:p>
            <w:r/>
            <w:r>
              <w:rPr>
                <w:b w:val="0"/>
                <w:color w:val="17365D"/>
                <w:sz w:val="17"/>
              </w:rPr>
              <w:t>Quarterly maintenance</w:t>
            </w:r>
          </w:p>
        </w:tc>
        <w:tc>
          <w:tcPr>
            <w:tcW w:type="dxa" w:w="3389"/>
            <w:vAlign w:val="center"/>
            <w:shd w:fill="EEF4F8"/>
          </w:tcPr>
          <w:p>
            <w:r/>
            <w:r>
              <w:rPr>
                <w:b w:val="0"/>
                <w:sz w:val="17"/>
              </w:rPr>
              <w:t>Every 3 months</w:t>
            </w:r>
          </w:p>
        </w:tc>
        <w:tc>
          <w:tcPr>
            <w:tcW w:type="dxa" w:w="3389"/>
            <w:vAlign w:val="center"/>
            <w:shd w:fill="EEF4F8"/>
          </w:tcPr>
          <w:p>
            <w:r/>
            <w:r>
              <w:rPr>
                <w:b w:val="0"/>
                <w:sz w:val="17"/>
              </w:rPr>
              <w:t>Links, versions and lab compatibility</w:t>
            </w:r>
          </w:p>
        </w:tc>
      </w:tr>
      <w:tr>
        <w:trPr>
          <w:cantSplit/>
        </w:trPr>
        <w:tc>
          <w:tcPr>
            <w:tcW w:type="dxa" w:w="3389"/>
            <w:vAlign w:val="center"/>
          </w:tcPr>
          <w:p>
            <w:r/>
            <w:r>
              <w:rPr>
                <w:b w:val="0"/>
                <w:color w:val="17365D"/>
                <w:sz w:val="17"/>
              </w:rPr>
              <w:t>Annual edition review</w:t>
            </w:r>
          </w:p>
        </w:tc>
        <w:tc>
          <w:tcPr>
            <w:tcW w:type="dxa" w:w="3389"/>
            <w:vAlign w:val="center"/>
          </w:tcPr>
          <w:p>
            <w:r/>
            <w:r>
              <w:rPr>
                <w:b w:val="0"/>
                <w:sz w:val="17"/>
              </w:rPr>
              <w:t>Once per year</w:t>
            </w:r>
          </w:p>
        </w:tc>
        <w:tc>
          <w:tcPr>
            <w:tcW w:type="dxa" w:w="3389"/>
            <w:vAlign w:val="center"/>
          </w:tcPr>
          <w:p>
            <w:r/>
            <w:r>
              <w:rPr>
                <w:b w:val="0"/>
                <w:sz w:val="17"/>
              </w:rPr>
              <w:t>Architecture changes, new standards and roadmap</w:t>
            </w:r>
          </w:p>
        </w:tc>
      </w:tr>
      <w:tr>
        <w:trPr>
          <w:cantSplit/>
        </w:trPr>
        <w:tc>
          <w:tcPr>
            <w:tcW w:type="dxa" w:w="3389"/>
            <w:vAlign w:val="center"/>
            <w:shd w:fill="EEF4F8"/>
          </w:tcPr>
          <w:p>
            <w:r/>
            <w:r>
              <w:rPr>
                <w:b w:val="0"/>
                <w:color w:val="17365D"/>
                <w:sz w:val="17"/>
              </w:rPr>
              <w:t>Major curriculum review</w:t>
            </w:r>
          </w:p>
        </w:tc>
        <w:tc>
          <w:tcPr>
            <w:tcW w:type="dxa" w:w="3389"/>
            <w:vAlign w:val="center"/>
            <w:shd w:fill="EEF4F8"/>
          </w:tcPr>
          <w:p>
            <w:r/>
            <w:r>
              <w:rPr>
                <w:b w:val="0"/>
                <w:sz w:val="17"/>
              </w:rPr>
              <w:t>Every 2-3 years</w:t>
            </w:r>
          </w:p>
        </w:tc>
        <w:tc>
          <w:tcPr>
            <w:tcW w:type="dxa" w:w="3389"/>
            <w:vAlign w:val="center"/>
            <w:shd w:fill="EEF4F8"/>
          </w:tcPr>
          <w:p>
            <w:r/>
            <w:r>
              <w:rPr>
                <w:b w:val="0"/>
                <w:sz w:val="17"/>
              </w:rPr>
              <w:t>Structure, learning outcomes and market relevance</w:t>
            </w:r>
          </w:p>
        </w:tc>
      </w:tr>
    </w:tbl>
    <w:p>
      <w:pPr>
        <w:pStyle w:val="Heading1"/>
      </w:pPr>
      <w:r>
        <w:t>8. Update Decision Framework</w:t>
      </w:r>
    </w:p>
    <w:p>
      <w:pPr>
        <w:pStyle w:val="ListBullet"/>
      </w:pPr>
      <w:r>
        <w:t>Update an existing chapter when the learning outcome is unchanged.</w:t>
      </w:r>
    </w:p>
    <w:p>
      <w:pPr>
        <w:pStyle w:val="ListBullet"/>
      </w:pPr>
      <w:r>
        <w:t>Add an appendix or lab when a new tool is an alternative implementation.</w:t>
      </w:r>
    </w:p>
    <w:p>
      <w:pPr>
        <w:pStyle w:val="ListBullet"/>
      </w:pPr>
      <w:r>
        <w:t>Add a minor section when a new standard changes production practice.</w:t>
      </w:r>
    </w:p>
    <w:p>
      <w:pPr>
        <w:pStyle w:val="ListBullet"/>
      </w:pPr>
      <w:r>
        <w:t>Create a new part only when the topic requires a coherent multi-chapter learning track.</w:t>
      </w:r>
    </w:p>
    <w:p>
      <w:pPr>
        <w:pStyle w:val="ListBullet"/>
      </w:pPr>
      <w:r>
        <w:t>Create a new volume only when the domain is materially distinct and cannot fit the existing roadmap.</w:t>
      </w:r>
    </w:p>
    <w:p>
      <w:pPr>
        <w:pStyle w:val="Heading1"/>
      </w:pPr>
      <w:r>
        <w:t>9. Release Checklist</w:t>
      </w:r>
    </w:p>
    <w:tbl>
      <w:tblPr>
        <w:tblStyle w:val="TableGrid"/>
        <w:tblW w:type="auto" w:w="0"/>
        <w:jc w:val="center"/>
        <w:tblLook w:firstColumn="1" w:firstRow="1" w:lastColumn="0" w:lastRow="0" w:noHBand="0" w:noVBand="1" w:val="04A0"/>
      </w:tblPr>
      <w:tblGrid>
        <w:gridCol w:w="3389"/>
        <w:gridCol w:w="3389"/>
        <w:gridCol w:w="3389"/>
      </w:tblGrid>
      <w:tr>
        <w:trPr>
          <w:tblHeader w:val="true"/>
          <w:cantSplit/>
        </w:trPr>
        <w:tc>
          <w:tcPr>
            <w:tcW w:type="dxa" w:w="3389"/>
            <w:vAlign w:val="center"/>
            <w:shd w:fill="17365D"/>
          </w:tcPr>
          <w:p>
            <w:r/>
            <w:r>
              <w:rPr>
                <w:b/>
                <w:color w:val="FFFFFF"/>
                <w:sz w:val="16"/>
              </w:rPr>
              <w:t>Release check</w:t>
            </w:r>
          </w:p>
        </w:tc>
        <w:tc>
          <w:tcPr>
            <w:tcW w:type="dxa" w:w="3389"/>
            <w:vAlign w:val="center"/>
            <w:shd w:fill="17365D"/>
          </w:tcPr>
          <w:p>
            <w:r/>
            <w:r>
              <w:rPr>
                <w:b/>
                <w:color w:val="FFFFFF"/>
                <w:sz w:val="16"/>
              </w:rPr>
              <w:t>Pass</w:t>
            </w:r>
          </w:p>
        </w:tc>
        <w:tc>
          <w:tcPr>
            <w:tcW w:type="dxa" w:w="3389"/>
            <w:vAlign w:val="center"/>
            <w:shd w:fill="17365D"/>
          </w:tcPr>
          <w:p>
            <w:r/>
            <w:r>
              <w:rPr>
                <w:b/>
                <w:color w:val="FFFFFF"/>
                <w:sz w:val="16"/>
              </w:rPr>
              <w:t>Reviewer note</w:t>
            </w:r>
          </w:p>
        </w:tc>
      </w:tr>
      <w:tr>
        <w:trPr>
          <w:cantSplit/>
        </w:trPr>
        <w:tc>
          <w:tcPr>
            <w:tcW w:type="dxa" w:w="3389"/>
            <w:vAlign w:val="center"/>
          </w:tcPr>
          <w:p>
            <w:r/>
            <w:r>
              <w:rPr>
                <w:b w:val="0"/>
                <w:color w:val="17365D"/>
                <w:sz w:val="16"/>
              </w:rPr>
              <w:t>All expected files present</w:t>
            </w:r>
          </w:p>
        </w:tc>
        <w:tc>
          <w:tcPr>
            <w:tcW w:type="dxa" w:w="3389"/>
            <w:vAlign w:val="center"/>
          </w:tcPr>
          <w:p>
            <w:r/>
            <w:r>
              <w:rPr>
                <w:b w:val="0"/>
                <w:sz w:val="16"/>
              </w:rPr>
              <w:t>[ ]</w:t>
            </w:r>
          </w:p>
        </w:tc>
        <w:tc>
          <w:tcPr>
            <w:tcW w:type="dxa" w:w="3389"/>
            <w:vAlign w:val="center"/>
          </w:tcPr>
          <w:p>
            <w:r/>
            <w:r>
              <w:rPr>
                <w:b w:val="0"/>
                <w:sz w:val="16"/>
              </w:rPr>
            </w:r>
          </w:p>
        </w:tc>
      </w:tr>
      <w:tr>
        <w:trPr>
          <w:cantSplit/>
        </w:trPr>
        <w:tc>
          <w:tcPr>
            <w:tcW w:type="dxa" w:w="3389"/>
            <w:vAlign w:val="center"/>
            <w:shd w:fill="EEF4F8"/>
          </w:tcPr>
          <w:p>
            <w:r/>
            <w:r>
              <w:rPr>
                <w:b w:val="0"/>
                <w:color w:val="17365D"/>
                <w:sz w:val="16"/>
              </w:rPr>
              <w:t>DOCX/PDF pairs have identical stems</w:t>
            </w:r>
          </w:p>
        </w:tc>
        <w:tc>
          <w:tcPr>
            <w:tcW w:type="dxa" w:w="3389"/>
            <w:vAlign w:val="center"/>
            <w:shd w:fill="EEF4F8"/>
          </w:tcPr>
          <w:p>
            <w:r/>
            <w:r>
              <w:rPr>
                <w:b w:val="0"/>
                <w:sz w:val="16"/>
              </w:rPr>
              <w:t>[ ]</w:t>
            </w:r>
          </w:p>
        </w:tc>
        <w:tc>
          <w:tcPr>
            <w:tcW w:type="dxa" w:w="3389"/>
            <w:vAlign w:val="center"/>
            <w:shd w:fill="EEF4F8"/>
          </w:tcPr>
          <w:p>
            <w:r/>
            <w:r>
              <w:rPr>
                <w:b w:val="0"/>
                <w:sz w:val="16"/>
              </w:rPr>
            </w:r>
          </w:p>
        </w:tc>
      </w:tr>
      <w:tr>
        <w:trPr>
          <w:cantSplit/>
        </w:trPr>
        <w:tc>
          <w:tcPr>
            <w:tcW w:type="dxa" w:w="3389"/>
            <w:vAlign w:val="center"/>
          </w:tcPr>
          <w:p>
            <w:r/>
            <w:r>
              <w:rPr>
                <w:b w:val="0"/>
                <w:color w:val="17365D"/>
                <w:sz w:val="16"/>
              </w:rPr>
              <w:t>Every DOCX rendered and inspected</w:t>
            </w:r>
          </w:p>
        </w:tc>
        <w:tc>
          <w:tcPr>
            <w:tcW w:type="dxa" w:w="3389"/>
            <w:vAlign w:val="center"/>
          </w:tcPr>
          <w:p>
            <w:r/>
            <w:r>
              <w:rPr>
                <w:b w:val="0"/>
                <w:sz w:val="16"/>
              </w:rPr>
              <w:t>[ ]</w:t>
            </w:r>
          </w:p>
        </w:tc>
        <w:tc>
          <w:tcPr>
            <w:tcW w:type="dxa" w:w="3389"/>
            <w:vAlign w:val="center"/>
          </w:tcPr>
          <w:p>
            <w:r/>
            <w:r>
              <w:rPr>
                <w:b w:val="0"/>
                <w:sz w:val="16"/>
              </w:rPr>
            </w:r>
          </w:p>
        </w:tc>
      </w:tr>
      <w:tr>
        <w:trPr>
          <w:cantSplit/>
        </w:trPr>
        <w:tc>
          <w:tcPr>
            <w:tcW w:type="dxa" w:w="3389"/>
            <w:vAlign w:val="center"/>
            <w:shd w:fill="EEF4F8"/>
          </w:tcPr>
          <w:p>
            <w:r/>
            <w:r>
              <w:rPr>
                <w:b w:val="0"/>
                <w:color w:val="17365D"/>
                <w:sz w:val="16"/>
              </w:rPr>
              <w:t>Every PDF rendered and inspected</w:t>
            </w:r>
          </w:p>
        </w:tc>
        <w:tc>
          <w:tcPr>
            <w:tcW w:type="dxa" w:w="3389"/>
            <w:vAlign w:val="center"/>
            <w:shd w:fill="EEF4F8"/>
          </w:tcPr>
          <w:p>
            <w:r/>
            <w:r>
              <w:rPr>
                <w:b w:val="0"/>
                <w:sz w:val="16"/>
              </w:rPr>
              <w:t>[ ]</w:t>
            </w:r>
          </w:p>
        </w:tc>
        <w:tc>
          <w:tcPr>
            <w:tcW w:type="dxa" w:w="3389"/>
            <w:vAlign w:val="center"/>
            <w:shd w:fill="EEF4F8"/>
          </w:tcPr>
          <w:p>
            <w:r/>
            <w:r>
              <w:rPr>
                <w:b w:val="0"/>
                <w:sz w:val="16"/>
              </w:rPr>
            </w:r>
          </w:p>
        </w:tc>
      </w:tr>
      <w:tr>
        <w:trPr>
          <w:cantSplit/>
        </w:trPr>
        <w:tc>
          <w:tcPr>
            <w:tcW w:type="dxa" w:w="3389"/>
            <w:vAlign w:val="center"/>
          </w:tcPr>
          <w:p>
            <w:r/>
            <w:r>
              <w:rPr>
                <w:b w:val="0"/>
                <w:color w:val="17365D"/>
                <w:sz w:val="16"/>
              </w:rPr>
              <w:t>No blank spill pages</w:t>
            </w:r>
          </w:p>
        </w:tc>
        <w:tc>
          <w:tcPr>
            <w:tcW w:type="dxa" w:w="3389"/>
            <w:vAlign w:val="center"/>
          </w:tcPr>
          <w:p>
            <w:r/>
            <w:r>
              <w:rPr>
                <w:b w:val="0"/>
                <w:sz w:val="16"/>
              </w:rPr>
              <w:t>[ ]</w:t>
            </w:r>
          </w:p>
        </w:tc>
        <w:tc>
          <w:tcPr>
            <w:tcW w:type="dxa" w:w="3389"/>
            <w:vAlign w:val="center"/>
          </w:tcPr>
          <w:p>
            <w:r/>
            <w:r>
              <w:rPr>
                <w:b w:val="0"/>
                <w:sz w:val="16"/>
              </w:rPr>
            </w:r>
          </w:p>
        </w:tc>
      </w:tr>
      <w:tr>
        <w:trPr>
          <w:cantSplit/>
        </w:trPr>
        <w:tc>
          <w:tcPr>
            <w:tcW w:type="dxa" w:w="3389"/>
            <w:vAlign w:val="center"/>
            <w:shd w:fill="EEF4F8"/>
          </w:tcPr>
          <w:p>
            <w:r/>
            <w:r>
              <w:rPr>
                <w:b w:val="0"/>
                <w:color w:val="17365D"/>
                <w:sz w:val="16"/>
              </w:rPr>
              <w:t>No clipped code or tables</w:t>
            </w:r>
          </w:p>
        </w:tc>
        <w:tc>
          <w:tcPr>
            <w:tcW w:type="dxa" w:w="3389"/>
            <w:vAlign w:val="center"/>
            <w:shd w:fill="EEF4F8"/>
          </w:tcPr>
          <w:p>
            <w:r/>
            <w:r>
              <w:rPr>
                <w:b w:val="0"/>
                <w:sz w:val="16"/>
              </w:rPr>
              <w:t>[ ]</w:t>
            </w:r>
          </w:p>
        </w:tc>
        <w:tc>
          <w:tcPr>
            <w:tcW w:type="dxa" w:w="3389"/>
            <w:vAlign w:val="center"/>
            <w:shd w:fill="EEF4F8"/>
          </w:tcPr>
          <w:p>
            <w:r/>
            <w:r>
              <w:rPr>
                <w:b w:val="0"/>
                <w:sz w:val="16"/>
              </w:rPr>
            </w:r>
          </w:p>
        </w:tc>
      </w:tr>
      <w:tr>
        <w:trPr>
          <w:cantSplit/>
        </w:trPr>
        <w:tc>
          <w:tcPr>
            <w:tcW w:type="dxa" w:w="3389"/>
            <w:vAlign w:val="center"/>
          </w:tcPr>
          <w:p>
            <w:r/>
            <w:r>
              <w:rPr>
                <w:b w:val="0"/>
                <w:color w:val="17365D"/>
                <w:sz w:val="16"/>
              </w:rPr>
              <w:t>Page numbering and headers correct</w:t>
            </w:r>
          </w:p>
        </w:tc>
        <w:tc>
          <w:tcPr>
            <w:tcW w:type="dxa" w:w="3389"/>
            <w:vAlign w:val="center"/>
          </w:tcPr>
          <w:p>
            <w:r/>
            <w:r>
              <w:rPr>
                <w:b w:val="0"/>
                <w:sz w:val="16"/>
              </w:rPr>
              <w:t>[ ]</w:t>
            </w:r>
          </w:p>
        </w:tc>
        <w:tc>
          <w:tcPr>
            <w:tcW w:type="dxa" w:w="3389"/>
            <w:vAlign w:val="center"/>
          </w:tcPr>
          <w:p>
            <w:r/>
            <w:r>
              <w:rPr>
                <w:b w:val="0"/>
                <w:sz w:val="16"/>
              </w:rPr>
            </w:r>
          </w:p>
        </w:tc>
      </w:tr>
      <w:tr>
        <w:trPr>
          <w:cantSplit/>
        </w:trPr>
        <w:tc>
          <w:tcPr>
            <w:tcW w:type="dxa" w:w="3389"/>
            <w:vAlign w:val="center"/>
            <w:shd w:fill="EEF4F8"/>
          </w:tcPr>
          <w:p>
            <w:r/>
            <w:r>
              <w:rPr>
                <w:b w:val="0"/>
                <w:color w:val="17365D"/>
                <w:sz w:val="16"/>
              </w:rPr>
              <w:t>Hyperlinks and references checked</w:t>
            </w:r>
          </w:p>
        </w:tc>
        <w:tc>
          <w:tcPr>
            <w:tcW w:type="dxa" w:w="3389"/>
            <w:vAlign w:val="center"/>
            <w:shd w:fill="EEF4F8"/>
          </w:tcPr>
          <w:p>
            <w:r/>
            <w:r>
              <w:rPr>
                <w:b w:val="0"/>
                <w:sz w:val="16"/>
              </w:rPr>
              <w:t>[ ]</w:t>
            </w:r>
          </w:p>
        </w:tc>
        <w:tc>
          <w:tcPr>
            <w:tcW w:type="dxa" w:w="3389"/>
            <w:vAlign w:val="center"/>
            <w:shd w:fill="EEF4F8"/>
          </w:tcPr>
          <w:p>
            <w:r/>
            <w:r>
              <w:rPr>
                <w:b w:val="0"/>
                <w:sz w:val="16"/>
              </w:rPr>
            </w:r>
          </w:p>
        </w:tc>
      </w:tr>
      <w:tr>
        <w:trPr>
          <w:cantSplit/>
        </w:trPr>
        <w:tc>
          <w:tcPr>
            <w:tcW w:type="dxa" w:w="3389"/>
            <w:vAlign w:val="center"/>
          </w:tcPr>
          <w:p>
            <w:r/>
            <w:r>
              <w:rPr>
                <w:b w:val="0"/>
                <w:color w:val="17365D"/>
                <w:sz w:val="16"/>
              </w:rPr>
              <w:t>Accessibility audit reviewed</w:t>
            </w:r>
          </w:p>
        </w:tc>
        <w:tc>
          <w:tcPr>
            <w:tcW w:type="dxa" w:w="3389"/>
            <w:vAlign w:val="center"/>
          </w:tcPr>
          <w:p>
            <w:r/>
            <w:r>
              <w:rPr>
                <w:b w:val="0"/>
                <w:sz w:val="16"/>
              </w:rPr>
              <w:t>[ ]</w:t>
            </w:r>
          </w:p>
        </w:tc>
        <w:tc>
          <w:tcPr>
            <w:tcW w:type="dxa" w:w="3389"/>
            <w:vAlign w:val="center"/>
          </w:tcPr>
          <w:p>
            <w:r/>
            <w:r>
              <w:rPr>
                <w:b w:val="0"/>
                <w:sz w:val="16"/>
              </w:rPr>
            </w:r>
          </w:p>
        </w:tc>
      </w:tr>
      <w:tr>
        <w:trPr>
          <w:cantSplit/>
        </w:trPr>
        <w:tc>
          <w:tcPr>
            <w:tcW w:type="dxa" w:w="3389"/>
            <w:vAlign w:val="center"/>
            <w:shd w:fill="EEF4F8"/>
          </w:tcPr>
          <w:p>
            <w:r/>
            <w:r>
              <w:rPr>
                <w:b w:val="0"/>
                <w:color w:val="17365D"/>
                <w:sz w:val="16"/>
              </w:rPr>
              <w:t>Metadata and sensitive information scrubbed</w:t>
            </w:r>
          </w:p>
        </w:tc>
        <w:tc>
          <w:tcPr>
            <w:tcW w:type="dxa" w:w="3389"/>
            <w:vAlign w:val="center"/>
            <w:shd w:fill="EEF4F8"/>
          </w:tcPr>
          <w:p>
            <w:r/>
            <w:r>
              <w:rPr>
                <w:b w:val="0"/>
                <w:sz w:val="16"/>
              </w:rPr>
              <w:t>[ ]</w:t>
            </w:r>
          </w:p>
        </w:tc>
        <w:tc>
          <w:tcPr>
            <w:tcW w:type="dxa" w:w="3389"/>
            <w:vAlign w:val="center"/>
            <w:shd w:fill="EEF4F8"/>
          </w:tcPr>
          <w:p>
            <w:r/>
            <w:r>
              <w:rPr>
                <w:b w:val="0"/>
                <w:sz w:val="16"/>
              </w:rPr>
            </w:r>
          </w:p>
        </w:tc>
      </w:tr>
      <w:tr>
        <w:trPr>
          <w:cantSplit/>
        </w:trPr>
        <w:tc>
          <w:tcPr>
            <w:tcW w:type="dxa" w:w="3389"/>
            <w:vAlign w:val="center"/>
          </w:tcPr>
          <w:p>
            <w:r/>
            <w:r>
              <w:rPr>
                <w:b w:val="0"/>
                <w:color w:val="17365D"/>
                <w:sz w:val="16"/>
              </w:rPr>
              <w:t>Repository validation passes</w:t>
            </w:r>
          </w:p>
        </w:tc>
        <w:tc>
          <w:tcPr>
            <w:tcW w:type="dxa" w:w="3389"/>
            <w:vAlign w:val="center"/>
          </w:tcPr>
          <w:p>
            <w:r/>
            <w:r>
              <w:rPr>
                <w:b w:val="0"/>
                <w:sz w:val="16"/>
              </w:rPr>
              <w:t>[ ]</w:t>
            </w:r>
          </w:p>
        </w:tc>
        <w:tc>
          <w:tcPr>
            <w:tcW w:type="dxa" w:w="3389"/>
            <w:vAlign w:val="center"/>
          </w:tcPr>
          <w:p>
            <w:r/>
            <w:r>
              <w:rPr>
                <w:b w:val="0"/>
                <w:sz w:val="16"/>
              </w:rPr>
            </w:r>
          </w:p>
        </w:tc>
      </w:tr>
      <w:tr>
        <w:trPr>
          <w:cantSplit/>
        </w:trPr>
        <w:tc>
          <w:tcPr>
            <w:tcW w:type="dxa" w:w="3389"/>
            <w:vAlign w:val="center"/>
            <w:shd w:fill="EEF4F8"/>
          </w:tcPr>
          <w:p>
            <w:r/>
            <w:r>
              <w:rPr>
                <w:b w:val="0"/>
                <w:color w:val="17365D"/>
                <w:sz w:val="16"/>
              </w:rPr>
              <w:t>ZIP opens and contains expected assets</w:t>
            </w:r>
          </w:p>
        </w:tc>
        <w:tc>
          <w:tcPr>
            <w:tcW w:type="dxa" w:w="3389"/>
            <w:vAlign w:val="center"/>
            <w:shd w:fill="EEF4F8"/>
          </w:tcPr>
          <w:p>
            <w:r/>
            <w:r>
              <w:rPr>
                <w:b w:val="0"/>
                <w:sz w:val="16"/>
              </w:rPr>
              <w:t>[ ]</w:t>
            </w:r>
          </w:p>
        </w:tc>
        <w:tc>
          <w:tcPr>
            <w:tcW w:type="dxa" w:w="3389"/>
            <w:vAlign w:val="center"/>
            <w:shd w:fill="EEF4F8"/>
          </w:tcPr>
          <w:p>
            <w:r/>
            <w:r>
              <w:rPr>
                <w:b w:val="0"/>
                <w:sz w:val="16"/>
              </w:rPr>
            </w:r>
          </w:p>
        </w:tc>
      </w:tr>
      <w:tr>
        <w:trPr>
          <w:cantSplit/>
        </w:trPr>
        <w:tc>
          <w:tcPr>
            <w:tcW w:type="dxa" w:w="3389"/>
            <w:vAlign w:val="center"/>
          </w:tcPr>
          <w:p>
            <w:r/>
            <w:r>
              <w:rPr>
                <w:b w:val="0"/>
                <w:color w:val="17365D"/>
                <w:sz w:val="16"/>
              </w:rPr>
              <w:t>Checksums recorded</w:t>
            </w:r>
          </w:p>
        </w:tc>
        <w:tc>
          <w:tcPr>
            <w:tcW w:type="dxa" w:w="3389"/>
            <w:vAlign w:val="center"/>
          </w:tcPr>
          <w:p>
            <w:r/>
            <w:r>
              <w:rPr>
                <w:b w:val="0"/>
                <w:sz w:val="16"/>
              </w:rPr>
              <w:t>[ ]</w:t>
            </w:r>
          </w:p>
        </w:tc>
        <w:tc>
          <w:tcPr>
            <w:tcW w:type="dxa" w:w="3389"/>
            <w:vAlign w:val="center"/>
          </w:tcPr>
          <w:p>
            <w:r/>
            <w:r>
              <w:rPr>
                <w:b w:val="0"/>
                <w:sz w:val="16"/>
              </w:rPr>
            </w:r>
          </w:p>
        </w:tc>
      </w:tr>
      <w:tr>
        <w:trPr>
          <w:cantSplit/>
        </w:trPr>
        <w:tc>
          <w:tcPr>
            <w:tcW w:type="dxa" w:w="3389"/>
            <w:vAlign w:val="center"/>
            <w:shd w:fill="EEF4F8"/>
          </w:tcPr>
          <w:p>
            <w:r/>
            <w:r>
              <w:rPr>
                <w:b w:val="0"/>
                <w:color w:val="17365D"/>
                <w:sz w:val="16"/>
              </w:rPr>
              <w:t>Changelog and version updated</w:t>
            </w:r>
          </w:p>
        </w:tc>
        <w:tc>
          <w:tcPr>
            <w:tcW w:type="dxa" w:w="3389"/>
            <w:vAlign w:val="center"/>
            <w:shd w:fill="EEF4F8"/>
          </w:tcPr>
          <w:p>
            <w:r/>
            <w:r>
              <w:rPr>
                <w:b w:val="0"/>
                <w:sz w:val="16"/>
              </w:rPr>
              <w:t>[ ]</w:t>
            </w:r>
          </w:p>
        </w:tc>
        <w:tc>
          <w:tcPr>
            <w:tcW w:type="dxa" w:w="3389"/>
            <w:vAlign w:val="center"/>
            <w:shd w:fill="EEF4F8"/>
          </w:tcPr>
          <w:p>
            <w:r/>
            <w:r>
              <w:rPr>
                <w:b w:val="0"/>
                <w:sz w:val="16"/>
              </w:rPr>
            </w:r>
          </w:p>
        </w:tc>
      </w:tr>
      <w:tr>
        <w:trPr>
          <w:cantSplit/>
        </w:trPr>
        <w:tc>
          <w:tcPr>
            <w:tcW w:type="dxa" w:w="3389"/>
            <w:vAlign w:val="center"/>
          </w:tcPr>
          <w:p>
            <w:r/>
            <w:r>
              <w:rPr>
                <w:b w:val="0"/>
                <w:color w:val="17365D"/>
                <w:sz w:val="16"/>
              </w:rPr>
              <w:t>Archive copy retained</w:t>
            </w:r>
          </w:p>
        </w:tc>
        <w:tc>
          <w:tcPr>
            <w:tcW w:type="dxa" w:w="3389"/>
            <w:vAlign w:val="center"/>
          </w:tcPr>
          <w:p>
            <w:r/>
            <w:r>
              <w:rPr>
                <w:b w:val="0"/>
                <w:sz w:val="16"/>
              </w:rPr>
              <w:t>[ ]</w:t>
            </w:r>
          </w:p>
        </w:tc>
        <w:tc>
          <w:tcPr>
            <w:tcW w:type="dxa" w:w="3389"/>
            <w:vAlign w:val="center"/>
          </w:tcPr>
          <w:p>
            <w:r/>
            <w:r>
              <w:rPr>
                <w:b w:val="0"/>
                <w:sz w:val="16"/>
              </w:rPr>
            </w:r>
          </w:p>
        </w:tc>
      </w:tr>
    </w:tbl>
    <w:p>
      <w:pPr>
        <w:pStyle w:val="Heading1"/>
      </w:pPr>
      <w:r>
        <w:t>10. Final Implementation Status</w:t>
      </w:r>
    </w:p>
    <w:tbl>
      <w:tblPr>
        <w:tblStyle w:val="TableGrid"/>
        <w:tblW w:type="auto" w:w="0"/>
        <w:jc w:val="center"/>
        <w:tblLook w:firstColumn="1" w:firstRow="1" w:lastColumn="0" w:lastRow="0" w:noHBand="0" w:noVBand="1" w:val="04A0"/>
      </w:tblPr>
      <w:tblGrid>
        <w:gridCol w:w="3389"/>
        <w:gridCol w:w="3389"/>
        <w:gridCol w:w="3389"/>
      </w:tblGrid>
      <w:tr>
        <w:trPr>
          <w:tblHeader w:val="true"/>
          <w:cantSplit/>
        </w:trPr>
        <w:tc>
          <w:tcPr>
            <w:tcW w:type="dxa" w:w="3389"/>
            <w:vAlign w:val="center"/>
            <w:shd w:fill="17365D"/>
          </w:tcPr>
          <w:p>
            <w:r/>
            <w:r>
              <w:rPr>
                <w:b/>
                <w:color w:val="FFFFFF"/>
                <w:sz w:val="17"/>
              </w:rPr>
              <w:t>Implementation item</w:t>
            </w:r>
          </w:p>
        </w:tc>
        <w:tc>
          <w:tcPr>
            <w:tcW w:type="dxa" w:w="3389"/>
            <w:vAlign w:val="center"/>
            <w:shd w:fill="17365D"/>
          </w:tcPr>
          <w:p>
            <w:r/>
            <w:r>
              <w:rPr>
                <w:b/>
                <w:color w:val="FFFFFF"/>
                <w:sz w:val="17"/>
              </w:rPr>
              <w:t>Status</w:t>
            </w:r>
          </w:p>
        </w:tc>
        <w:tc>
          <w:tcPr>
            <w:tcW w:type="dxa" w:w="3389"/>
            <w:vAlign w:val="center"/>
            <w:shd w:fill="17365D"/>
          </w:tcPr>
          <w:p>
            <w:r/>
            <w:r>
              <w:rPr>
                <w:b/>
                <w:color w:val="FFFFFF"/>
                <w:sz w:val="17"/>
              </w:rPr>
              <w:t>Delivered artifact</w:t>
            </w:r>
          </w:p>
        </w:tc>
      </w:tr>
      <w:tr>
        <w:trPr>
          <w:cantSplit/>
        </w:trPr>
        <w:tc>
          <w:tcPr>
            <w:tcW w:type="dxa" w:w="3389"/>
            <w:vAlign w:val="center"/>
          </w:tcPr>
          <w:p>
            <w:r/>
            <w:r>
              <w:rPr>
                <w:b w:val="0"/>
                <w:color w:val="17365D"/>
                <w:sz w:val="17"/>
              </w:rPr>
              <w:t>Master course index</w:t>
            </w:r>
          </w:p>
        </w:tc>
        <w:tc>
          <w:tcPr>
            <w:tcW w:type="dxa" w:w="3389"/>
            <w:vAlign w:val="center"/>
          </w:tcPr>
          <w:p>
            <w:r/>
            <w:r>
              <w:rPr>
                <w:b w:val="0"/>
                <w:sz w:val="17"/>
              </w:rPr>
              <w:t>Implemented</w:t>
            </w:r>
          </w:p>
        </w:tc>
        <w:tc>
          <w:tcPr>
            <w:tcW w:type="dxa" w:w="3389"/>
            <w:vAlign w:val="center"/>
          </w:tcPr>
          <w:p>
            <w:r/>
            <w:r>
              <w:rPr>
                <w:b w:val="0"/>
                <w:sz w:val="17"/>
              </w:rPr>
              <w:t>Final Release Handbook</w:t>
            </w:r>
          </w:p>
        </w:tc>
      </w:tr>
      <w:tr>
        <w:trPr>
          <w:cantSplit/>
        </w:trPr>
        <w:tc>
          <w:tcPr>
            <w:tcW w:type="dxa" w:w="3389"/>
            <w:vAlign w:val="center"/>
            <w:shd w:fill="EEF4F8"/>
          </w:tcPr>
          <w:p>
            <w:r/>
            <w:r>
              <w:rPr>
                <w:b w:val="0"/>
                <w:color w:val="17365D"/>
                <w:sz w:val="17"/>
              </w:rPr>
              <w:t>Hands-on lab repository</w:t>
            </w:r>
          </w:p>
        </w:tc>
        <w:tc>
          <w:tcPr>
            <w:tcW w:type="dxa" w:w="3389"/>
            <w:vAlign w:val="center"/>
            <w:shd w:fill="EEF4F8"/>
          </w:tcPr>
          <w:p>
            <w:r/>
            <w:r>
              <w:rPr>
                <w:b w:val="0"/>
                <w:sz w:val="17"/>
              </w:rPr>
              <w:t>Implemented</w:t>
            </w:r>
          </w:p>
        </w:tc>
        <w:tc>
          <w:tcPr>
            <w:tcW w:type="dxa" w:w="3389"/>
            <w:vAlign w:val="center"/>
            <w:shd w:fill="EEF4F8"/>
          </w:tcPr>
          <w:p>
            <w:r/>
            <w:r>
              <w:rPr>
                <w:b w:val="0"/>
                <w:sz w:val="17"/>
              </w:rPr>
              <w:t>150 lab guides and starter kits</w:t>
            </w:r>
          </w:p>
        </w:tc>
      </w:tr>
      <w:tr>
        <w:trPr>
          <w:cantSplit/>
        </w:trPr>
        <w:tc>
          <w:tcPr>
            <w:tcW w:type="dxa" w:w="3389"/>
            <w:vAlign w:val="center"/>
          </w:tcPr>
          <w:p>
            <w:r/>
            <w:r>
              <w:rPr>
                <w:b w:val="0"/>
                <w:color w:val="17365D"/>
                <w:sz w:val="17"/>
              </w:rPr>
              <w:t>Assessment system</w:t>
            </w:r>
          </w:p>
        </w:tc>
        <w:tc>
          <w:tcPr>
            <w:tcW w:type="dxa" w:w="3389"/>
            <w:vAlign w:val="center"/>
          </w:tcPr>
          <w:p>
            <w:r/>
            <w:r>
              <w:rPr>
                <w:b w:val="0"/>
                <w:sz w:val="17"/>
              </w:rPr>
              <w:t>Implemented</w:t>
            </w:r>
          </w:p>
        </w:tc>
        <w:tc>
          <w:tcPr>
            <w:tcW w:type="dxa" w:w="3389"/>
            <w:vAlign w:val="center"/>
          </w:tcPr>
          <w:p>
            <w:r/>
            <w:r>
              <w:rPr>
                <w:b w:val="0"/>
                <w:sz w:val="17"/>
              </w:rPr>
              <w:t>15 banks, rubrics and exam model</w:t>
            </w:r>
          </w:p>
        </w:tc>
      </w:tr>
      <w:tr>
        <w:trPr>
          <w:cantSplit/>
        </w:trPr>
        <w:tc>
          <w:tcPr>
            <w:tcW w:type="dxa" w:w="3389"/>
            <w:vAlign w:val="center"/>
            <w:shd w:fill="EEF4F8"/>
          </w:tcPr>
          <w:p>
            <w:r/>
            <w:r>
              <w:rPr>
                <w:b w:val="0"/>
                <w:color w:val="17365D"/>
                <w:sz w:val="17"/>
              </w:rPr>
              <w:t>Capstone package</w:t>
            </w:r>
          </w:p>
        </w:tc>
        <w:tc>
          <w:tcPr>
            <w:tcW w:type="dxa" w:w="3389"/>
            <w:vAlign w:val="center"/>
            <w:shd w:fill="EEF4F8"/>
          </w:tcPr>
          <w:p>
            <w:r/>
            <w:r>
              <w:rPr>
                <w:b w:val="0"/>
                <w:sz w:val="17"/>
              </w:rPr>
              <w:t>Implemented</w:t>
            </w:r>
          </w:p>
        </w:tc>
        <w:tc>
          <w:tcPr>
            <w:tcW w:type="dxa" w:w="3389"/>
            <w:vAlign w:val="center"/>
            <w:shd w:fill="EEF4F8"/>
          </w:tcPr>
          <w:p>
            <w:r/>
            <w:r>
              <w:rPr>
                <w:b w:val="0"/>
                <w:sz w:val="17"/>
              </w:rPr>
              <w:t>Requirements, risks, acceptance and runbooks</w:t>
            </w:r>
          </w:p>
        </w:tc>
      </w:tr>
      <w:tr>
        <w:trPr>
          <w:cantSplit/>
        </w:trPr>
        <w:tc>
          <w:tcPr>
            <w:tcW w:type="dxa" w:w="3389"/>
            <w:vAlign w:val="center"/>
          </w:tcPr>
          <w:p>
            <w:r/>
            <w:r>
              <w:rPr>
                <w:b w:val="0"/>
                <w:color w:val="17365D"/>
                <w:sz w:val="17"/>
              </w:rPr>
              <w:t>Progress tracker</w:t>
            </w:r>
          </w:p>
        </w:tc>
        <w:tc>
          <w:tcPr>
            <w:tcW w:type="dxa" w:w="3389"/>
            <w:vAlign w:val="center"/>
          </w:tcPr>
          <w:p>
            <w:r/>
            <w:r>
              <w:rPr>
                <w:b w:val="0"/>
                <w:sz w:val="17"/>
              </w:rPr>
              <w:t>Implemented</w:t>
            </w:r>
          </w:p>
        </w:tc>
        <w:tc>
          <w:tcPr>
            <w:tcW w:type="dxa" w:w="3389"/>
            <w:vAlign w:val="center"/>
          </w:tcPr>
          <w:p>
            <w:r/>
            <w:r>
              <w:rPr>
                <w:b w:val="0"/>
                <w:sz w:val="17"/>
              </w:rPr>
              <w:t>Workbook plus CSV trackers</w:t>
            </w:r>
          </w:p>
        </w:tc>
      </w:tr>
      <w:tr>
        <w:trPr>
          <w:cantSplit/>
        </w:trPr>
        <w:tc>
          <w:tcPr>
            <w:tcW w:type="dxa" w:w="3389"/>
            <w:vAlign w:val="center"/>
            <w:shd w:fill="EEF4F8"/>
          </w:tcPr>
          <w:p>
            <w:r/>
            <w:r>
              <w:rPr>
                <w:b w:val="0"/>
                <w:color w:val="17365D"/>
                <w:sz w:val="17"/>
              </w:rPr>
              <w:t>Quality audit</w:t>
            </w:r>
          </w:p>
        </w:tc>
        <w:tc>
          <w:tcPr>
            <w:tcW w:type="dxa" w:w="3389"/>
            <w:vAlign w:val="center"/>
            <w:shd w:fill="EEF4F8"/>
          </w:tcPr>
          <w:p>
            <w:r/>
            <w:r>
              <w:rPr>
                <w:b w:val="0"/>
                <w:sz w:val="17"/>
              </w:rPr>
              <w:t>Implemented</w:t>
            </w:r>
          </w:p>
        </w:tc>
        <w:tc>
          <w:tcPr>
            <w:tcW w:type="dxa" w:w="3389"/>
            <w:vAlign w:val="center"/>
            <w:shd w:fill="EEF4F8"/>
          </w:tcPr>
          <w:p>
            <w:r/>
            <w:r>
              <w:rPr>
                <w:b w:val="0"/>
                <w:sz w:val="17"/>
              </w:rPr>
              <w:t>Manual and automated audit script</w:t>
            </w:r>
          </w:p>
        </w:tc>
      </w:tr>
      <w:tr>
        <w:trPr>
          <w:cantSplit/>
        </w:trPr>
        <w:tc>
          <w:tcPr>
            <w:tcW w:type="dxa" w:w="3389"/>
            <w:vAlign w:val="center"/>
          </w:tcPr>
          <w:p>
            <w:r/>
            <w:r>
              <w:rPr>
                <w:b w:val="0"/>
                <w:color w:val="17365D"/>
                <w:sz w:val="17"/>
              </w:rPr>
              <w:t>Version/update system</w:t>
            </w:r>
          </w:p>
        </w:tc>
        <w:tc>
          <w:tcPr>
            <w:tcW w:type="dxa" w:w="3389"/>
            <w:vAlign w:val="center"/>
          </w:tcPr>
          <w:p>
            <w:r/>
            <w:r>
              <w:rPr>
                <w:b w:val="0"/>
                <w:sz w:val="17"/>
              </w:rPr>
              <w:t>Implemented</w:t>
            </w:r>
          </w:p>
        </w:tc>
        <w:tc>
          <w:tcPr>
            <w:tcW w:type="dxa" w:w="3389"/>
            <w:vAlign w:val="center"/>
          </w:tcPr>
          <w:p>
            <w:r/>
            <w:r>
              <w:rPr>
                <w:b w:val="0"/>
                <w:sz w:val="17"/>
              </w:rPr>
              <w:t>Version policy, errata and cadence</w:t>
            </w:r>
          </w:p>
        </w:tc>
      </w:tr>
    </w:tbl>
    <w:sectPr w:rsidR="00FC693F" w:rsidRPr="0006063C" w:rsidSect="00034616">
      <w:headerReference w:type="default" r:id="rId9"/>
      <w:footerReference w:type="default" r:id="rId10"/>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Page </w:t>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color w:val="666666"/>
        <w:sz w:val="16"/>
      </w:rPr>
      <w:t>DEVOPS MASTER COURSE | FINAL RELEASE PACKAGE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9" w:lineRule="auto"/>
    </w:pPr>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40" w:after="100"/>
      <w:outlineLvl w:val="0"/>
    </w:pPr>
    <w:rPr>
      <w:rFonts w:asciiTheme="majorHAnsi" w:eastAsiaTheme="majorEastAsia" w:hAnsiTheme="majorHAnsi" w:cstheme="majorBidi" w:ascii="Aptos Display" w:hAnsi="Aptos Display"/>
      <w:b/>
      <w:bCs/>
      <w:color w:val="17365D"/>
      <w:sz w:val="38"/>
      <w:szCs w:val="28"/>
    </w:rPr>
  </w:style>
  <w:style w:type="paragraph" w:styleId="Heading2">
    <w:name w:val="heading 2"/>
    <w:basedOn w:val="Normal"/>
    <w:next w:val="Normal"/>
    <w:link w:val="Heading2Char"/>
    <w:uiPriority w:val="9"/>
    <w:unhideWhenUsed/>
    <w:qFormat/>
    <w:rsid w:val="00FC693F"/>
    <w:pPr>
      <w:keepNext/>
      <w:keepLines/>
      <w:spacing w:before="140" w:after="100"/>
      <w:outlineLvl w:val="1"/>
    </w:pPr>
    <w:rPr>
      <w:rFonts w:asciiTheme="majorHAnsi" w:eastAsiaTheme="majorEastAsia" w:hAnsiTheme="majorHAnsi" w:cstheme="majorBidi" w:ascii="Aptos Display" w:hAnsi="Aptos Display"/>
      <w:b/>
      <w:bCs/>
      <w:color w:val="2F75B5"/>
      <w:sz w:val="28"/>
      <w:szCs w:val="26"/>
    </w:rPr>
  </w:style>
  <w:style w:type="paragraph" w:styleId="Heading3">
    <w:name w:val="heading 3"/>
    <w:basedOn w:val="Normal"/>
    <w:next w:val="Normal"/>
    <w:link w:val="Heading3Char"/>
    <w:uiPriority w:val="9"/>
    <w:unhideWhenUsed/>
    <w:qFormat/>
    <w:rsid w:val="00FC693F"/>
    <w:pPr>
      <w:keepNext/>
      <w:keepLines/>
      <w:spacing w:before="140" w:after="100"/>
      <w:outlineLvl w:val="2"/>
    </w:pPr>
    <w:rPr>
      <w:rFonts w:asciiTheme="majorHAnsi" w:eastAsiaTheme="majorEastAsia" w:hAnsiTheme="majorHAnsi" w:cstheme="majorBidi" w:ascii="Aptos Display" w:hAnsi="Aptos Display"/>
      <w:b/>
      <w:bCs/>
      <w:color w:val="17365D"/>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140"/>
      <w:contextualSpacing/>
    </w:pPr>
    <w:rPr>
      <w:rFonts w:asciiTheme="majorHAnsi" w:eastAsiaTheme="majorEastAsia" w:hAnsiTheme="majorHAnsi" w:cstheme="majorBidi" w:ascii="Aptos Display" w:hAnsi="Aptos Display"/>
      <w:b/>
      <w:color w:val="17365D"/>
      <w:spacing w:val="5"/>
      <w:kern w:val="28"/>
      <w:sz w:val="5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140" w:after="100"/>
    </w:pPr>
    <w:rPr>
      <w:rFonts w:asciiTheme="majorHAnsi" w:eastAsiaTheme="majorEastAsia" w:hAnsiTheme="majorHAnsi" w:cstheme="majorBidi" w:ascii="Aptos Display" w:hAnsi="Aptos Display"/>
      <w:b w:val="0"/>
      <w:i/>
      <w:iCs/>
      <w:color w:val="666666"/>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DevOps Master Course Quality Audit Versioning and Update Policy 2026</dc:title>
  <dc:subject>DevOps Master Course Final Release Package 2026</dc:subject>
  <dc:creator>OpenAI</dc:creator>
  <cp:keywords/>
  <dc:description>generated by python-docx</dc:description>
  <cp:lastModifiedBy/>
  <cp:revision>1</cp:revision>
  <dcterms:created xsi:type="dcterms:W3CDTF">2013-12-23T23:15:00Z</dcterms:created>
  <dcterms:modified xsi:type="dcterms:W3CDTF">2013-12-23T23:15:00Z</dcterms:modified>
  <cp:category/>
</cp:coreProperties>
</file>