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jc w:val="center"/>
      </w:pPr>
      <w:r>
        <w:rPr>
          <w:b/>
          <w:color w:val="14919B"/>
          <w:sz w:val="26"/>
        </w:rPr>
        <w:t>DEVOPS MASTER COURSE</w:t>
      </w:r>
    </w:p>
    <w:p>
      <w:pPr>
        <w:pStyle w:val="Title"/>
        <w:jc w:val="center"/>
      </w:pPr>
      <w:r>
        <w:t>Volume 12A</w:t>
      </w:r>
    </w:p>
    <w:p>
      <w:pPr>
        <w:jc w:val="center"/>
      </w:pPr>
      <w:r>
        <w:rPr>
          <w:b/>
          <w:color w:val="17324D"/>
          <w:sz w:val="42"/>
        </w:rPr>
        <w:t>Multi-Cloud Architecture and Landing-Zone Foundations</w:t>
      </w:r>
    </w:p>
    <w:p>
      <w:pPr>
        <w:pStyle w:val="Subtitle"/>
        <w:jc w:val="center"/>
      </w:pPr>
      <w:r>
        <w:t>Strategy • Shared Responsibility • Well-Architected Reviews • Hierarchy • Identity • Networking • Guardrails • FinOps • Terraform</w:t>
      </w:r>
    </w:p>
    <w:p>
      <w:pPr>
        <w:spacing w:before="200"/>
        <w:jc w:val="center"/>
      </w:pPr>
      <w:r>
        <w:rPr>
          <w:b/>
          <w:color w:val="176B87"/>
          <w:sz w:val="20"/>
        </w:rPr>
        <w:t>Chapters 1-10  |  2026 Edition</w:t>
      </w:r>
    </w:p>
    <w:tbl>
      <w:tblPr>
        <w:tblW w:type="auto" w:w="0"/>
        <w:jc w:val="center"/>
        <w:tblLook w:firstColumn="1" w:firstRow="1" w:lastColumn="0" w:lastRow="0" w:noHBand="0" w:noVBand="1" w:val="04A0"/>
      </w:tblPr>
      <w:tblGrid>
        <w:gridCol w:w="10166"/>
      </w:tblGrid>
      <w:tr>
        <w:trPr>
          <w:cantSplit/>
        </w:trPr>
        <w:tc>
          <w:tcPr>
            <w:tcW w:type="dxa" w:w="10166"/>
            <w:shd w:fill="E8F2F5"/>
            <w:tcMar>
              <w:top w:w="110" w:type="dxa"/>
              <w:start w:w="140" w:type="dxa"/>
              <w:bottom w:w="110" w:type="dxa"/>
              <w:end w:w="140" w:type="dxa"/>
            </w:tcMar>
          </w:tcPr>
          <w:p>
            <w:pPr>
              <w:spacing w:after="0"/>
            </w:pPr>
            <w:r>
              <w:rPr>
                <w:b/>
                <w:color w:val="17324D"/>
              </w:rPr>
              <w:t>Production objective: design a governed multi-cloud foundation that places workloads deliberately, minimizes standing privilege, automates landing-zone controls, produces reliable audit and cost evidence, and can be upgraded or decommissioned safely.</w:t>
            </w:r>
          </w:p>
        </w:tc>
      </w:tr>
    </w:tbl>
    <w:p>
      <w:pPr>
        <w:spacing w:after="0"/>
      </w:pPr>
    </w:p>
    <w:p>
      <w:pPr>
        <w:spacing w:before="360"/>
        <w:jc w:val="center"/>
      </w:pPr>
      <w:r>
        <w:rPr>
          <w:b/>
          <w:color w:val="4B5563"/>
          <w:sz w:val="22"/>
        </w:rPr>
        <w:t>Beginner to Enterprise Cloud Platform Engineering</w:t>
      </w:r>
    </w:p>
    <w:p>
      <w:r>
        <w:br w:type="page"/>
      </w:r>
    </w:p>
    <w:p>
      <w:pPr>
        <w:pStyle w:val="Heading1"/>
        <w:keepNext w:val="0"/>
      </w:pPr>
      <w:r>
        <w:t>About This Part</w:t>
      </w:r>
    </w:p>
    <w:p>
      <w:pPr>
        <w:keepNext w:val="0"/>
      </w:pPr>
      <w:r>
        <w:t>Volume 12 begins the multi-cloud and enterprise cloud architecture sequence. Part A establishes the provider-neutral operating model and landing-zone controls required before deep engineering in AWS, Azure and Google Cloud. The emphasis is not on memorizing service catalogs; it is on designing durable controls for ownership, identity, network, hierarchy, policy, cost, evidence and infrastructure delivery.</w:t>
      </w:r>
    </w:p>
    <w:p>
      <w:pPr>
        <w:keepNext w:val="0"/>
      </w:pPr>
      <w:r>
        <w:t>The architecture is intentionally workload-driven. Multi-cloud is adopted only where measurable business, regulatory, resilience or service-specialization requirements justify the additional operational surface area.</w:t>
      </w:r>
    </w:p>
    <w:tbl>
      <w:tblPr>
        <w:tblW w:type="auto" w:w="0"/>
        <w:jc w:val="center"/>
        <w:tblLook w:firstColumn="1" w:firstRow="1" w:lastColumn="0" w:lastRow="0" w:noHBand="0" w:noVBand="1" w:val="04A0"/>
      </w:tblPr>
      <w:tblGrid>
        <w:gridCol w:w="10166"/>
      </w:tblGrid>
      <w:tr>
        <w:trPr>
          <w:cantSplit/>
        </w:trPr>
        <w:tc>
          <w:tcPr>
            <w:tcW w:type="dxa" w:w="10166"/>
            <w:shd w:fill="E8F2F5"/>
            <w:tcMar>
              <w:top w:w="110" w:type="dxa"/>
              <w:start w:w="140" w:type="dxa"/>
              <w:bottom w:w="110" w:type="dxa"/>
              <w:end w:w="140" w:type="dxa"/>
            </w:tcMar>
          </w:tcPr>
          <w:p>
            <w:pPr>
              <w:spacing w:after="0"/>
            </w:pPr>
            <w:r>
              <w:rPr>
                <w:b/>
                <w:color w:val="176B87"/>
              </w:rPr>
              <w:t>Foundation principle: use the smallest provider footprint that satisfies validated requirements, then automate the controls needed to operate that footprint safely.</w:t>
            </w:r>
          </w:p>
        </w:tc>
      </w:tr>
    </w:tbl>
    <w:p>
      <w:pPr>
        <w:spacing w:after="0"/>
      </w:pPr>
    </w:p>
    <w:p>
      <w:pPr>
        <w:pStyle w:val="Heading2"/>
        <w:keepNext w:val="0"/>
      </w:pPr>
      <w:r>
        <w:t>Volume 12 Roadmap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936"/>
            <w:shd w:fill="176B87"/>
            <w:tcMar>
              <w:top w:w="70" w:type="dxa"/>
              <w:start w:w="90" w:type="dxa"/>
              <w:bottom w:w="70" w:type="dxa"/>
              <w:end w:w="90" w:type="dxa"/>
            </w:tcMar>
            <w:vAlign w:val="center"/>
          </w:tcPr>
          <w:p>
            <w:r>
              <w:rPr>
                <w:b/>
                <w:color w:val="FFFFFF"/>
                <w:sz w:val="15"/>
              </w:rPr>
              <w:t>Part</w:t>
            </w:r>
          </w:p>
        </w:tc>
        <w:tc>
          <w:tcPr>
            <w:tcW w:type="dxa" w:w="7560"/>
            <w:shd w:fill="176B87"/>
            <w:tcMar>
              <w:top w:w="70" w:type="dxa"/>
              <w:start w:w="90" w:type="dxa"/>
              <w:bottom w:w="70" w:type="dxa"/>
              <w:end w:w="90" w:type="dxa"/>
            </w:tcMar>
            <w:vAlign w:val="center"/>
          </w:tcPr>
          <w:p>
            <w:r>
              <w:rPr>
                <w:b/>
                <w:color w:val="FFFFFF"/>
                <w:sz w:val="15"/>
              </w:rPr>
              <w:t>Coverage</w:t>
            </w:r>
          </w:p>
        </w:tc>
        <w:tc>
          <w:tcPr>
            <w:tcW w:type="dxa" w:w="1440"/>
            <w:shd w:fill="176B87"/>
            <w:tcMar>
              <w:top w:w="70" w:type="dxa"/>
              <w:start w:w="90" w:type="dxa"/>
              <w:bottom w:w="70" w:type="dxa"/>
              <w:end w:w="90" w:type="dxa"/>
            </w:tcMar>
            <w:vAlign w:val="center"/>
          </w:tcPr>
          <w:p>
            <w:r>
              <w:rPr>
                <w:b/>
                <w:color w:val="FFFFFF"/>
                <w:sz w:val="15"/>
              </w:rPr>
              <w:t>Status</w:t>
            </w:r>
          </w:p>
        </w:tc>
      </w:tr>
      <w:tr>
        <w:trPr>
          <w:cantSplit/>
        </w:trPr>
        <w:tc>
          <w:tcPr>
            <w:tcW w:type="dxa" w:w="936"/>
            <w:tcMar>
              <w:top w:w="70" w:type="dxa"/>
              <w:start w:w="90" w:type="dxa"/>
              <w:bottom w:w="70" w:type="dxa"/>
              <w:end w:w="90" w:type="dxa"/>
            </w:tcMar>
            <w:vAlign w:val="top"/>
          </w:tcPr>
          <w:p>
            <w:r>
              <w:rPr>
                <w:sz w:val="15"/>
              </w:rPr>
              <w:t>12A</w:t>
            </w:r>
          </w:p>
        </w:tc>
        <w:tc>
          <w:tcPr>
            <w:tcW w:type="dxa" w:w="7560"/>
            <w:tcMar>
              <w:top w:w="70" w:type="dxa"/>
              <w:start w:w="90" w:type="dxa"/>
              <w:bottom w:w="70" w:type="dxa"/>
              <w:end w:w="90" w:type="dxa"/>
            </w:tcMar>
            <w:vAlign w:val="top"/>
          </w:tcPr>
          <w:p>
            <w:r>
              <w:rPr>
                <w:sz w:val="15"/>
              </w:rPr>
              <w:t>Multi-cloud strategy, shared responsibility, well-architected reviews, hierarchy, identity, networking, landing zones, FinOps and IaC foundations</w:t>
            </w:r>
          </w:p>
        </w:tc>
        <w:tc>
          <w:tcPr>
            <w:tcW w:type="dxa" w:w="1440"/>
            <w:tcMar>
              <w:top w:w="70" w:type="dxa"/>
              <w:start w:w="90" w:type="dxa"/>
              <w:bottom w:w="70" w:type="dxa"/>
              <w:end w:w="90" w:type="dxa"/>
            </w:tcMar>
            <w:vAlign w:val="top"/>
          </w:tcPr>
          <w:p>
            <w:r>
              <w:rPr>
                <w:sz w:val="15"/>
              </w:rPr>
              <w:t>This book</w:t>
            </w:r>
          </w:p>
        </w:tc>
      </w:tr>
      <w:tr>
        <w:trPr>
          <w:cantSplit/>
        </w:trPr>
        <w:tc>
          <w:tcPr>
            <w:tcW w:type="dxa" w:w="936"/>
            <w:tcMar>
              <w:top w:w="70" w:type="dxa"/>
              <w:start w:w="90" w:type="dxa"/>
              <w:bottom w:w="70" w:type="dxa"/>
              <w:end w:w="90" w:type="dxa"/>
            </w:tcMar>
            <w:vAlign w:val="top"/>
          </w:tcPr>
          <w:p>
            <w:r>
              <w:rPr>
                <w:sz w:val="15"/>
              </w:rPr>
              <w:t>12B</w:t>
            </w:r>
          </w:p>
        </w:tc>
        <w:tc>
          <w:tcPr>
            <w:tcW w:type="dxa" w:w="7560"/>
            <w:tcMar>
              <w:top w:w="70" w:type="dxa"/>
              <w:start w:w="90" w:type="dxa"/>
              <w:bottom w:w="70" w:type="dxa"/>
              <w:end w:w="90" w:type="dxa"/>
            </w:tcMar>
            <w:vAlign w:val="top"/>
          </w:tcPr>
          <w:p>
            <w:r>
              <w:rPr>
                <w:sz w:val="15"/>
              </w:rPr>
              <w:t>AWS enterprise engineering: Organizations, Control Tower, IAM, VPC, compute, storage, databases, security, reliability and automation</w:t>
            </w:r>
          </w:p>
        </w:tc>
        <w:tc>
          <w:tcPr>
            <w:tcW w:type="dxa" w:w="1440"/>
            <w:tcMar>
              <w:top w:w="70" w:type="dxa"/>
              <w:start w:w="90" w:type="dxa"/>
              <w:bottom w:w="70" w:type="dxa"/>
              <w:end w:w="90" w:type="dxa"/>
            </w:tcMar>
            <w:vAlign w:val="top"/>
          </w:tcPr>
          <w:p>
            <w:r>
              <w:rPr>
                <w:sz w:val="15"/>
              </w:rPr>
              <w:t>Planned</w:t>
            </w:r>
          </w:p>
        </w:tc>
      </w:tr>
      <w:tr>
        <w:trPr>
          <w:cantSplit/>
        </w:trPr>
        <w:tc>
          <w:tcPr>
            <w:tcW w:type="dxa" w:w="936"/>
            <w:tcMar>
              <w:top w:w="70" w:type="dxa"/>
              <w:start w:w="90" w:type="dxa"/>
              <w:bottom w:w="70" w:type="dxa"/>
              <w:end w:w="90" w:type="dxa"/>
            </w:tcMar>
            <w:vAlign w:val="top"/>
          </w:tcPr>
          <w:p>
            <w:r>
              <w:rPr>
                <w:sz w:val="15"/>
              </w:rPr>
              <w:t>12C</w:t>
            </w:r>
          </w:p>
        </w:tc>
        <w:tc>
          <w:tcPr>
            <w:tcW w:type="dxa" w:w="7560"/>
            <w:tcMar>
              <w:top w:w="70" w:type="dxa"/>
              <w:start w:w="90" w:type="dxa"/>
              <w:bottom w:w="70" w:type="dxa"/>
              <w:end w:w="90" w:type="dxa"/>
            </w:tcMar>
            <w:vAlign w:val="top"/>
          </w:tcPr>
          <w:p>
            <w:r>
              <w:rPr>
                <w:sz w:val="15"/>
              </w:rPr>
              <w:t>Azure enterprise engineering: Entra ID, management groups, landing zones, networking, compute, data, security and automation</w:t>
            </w:r>
          </w:p>
        </w:tc>
        <w:tc>
          <w:tcPr>
            <w:tcW w:type="dxa" w:w="1440"/>
            <w:tcMar>
              <w:top w:w="70" w:type="dxa"/>
              <w:start w:w="90" w:type="dxa"/>
              <w:bottom w:w="70" w:type="dxa"/>
              <w:end w:w="90" w:type="dxa"/>
            </w:tcMar>
            <w:vAlign w:val="top"/>
          </w:tcPr>
          <w:p>
            <w:r>
              <w:rPr>
                <w:sz w:val="15"/>
              </w:rPr>
              <w:t>Planned</w:t>
            </w:r>
          </w:p>
        </w:tc>
      </w:tr>
      <w:tr>
        <w:trPr>
          <w:cantSplit/>
        </w:trPr>
        <w:tc>
          <w:tcPr>
            <w:tcW w:type="dxa" w:w="936"/>
            <w:tcMar>
              <w:top w:w="70" w:type="dxa"/>
              <w:start w:w="90" w:type="dxa"/>
              <w:bottom w:w="70" w:type="dxa"/>
              <w:end w:w="90" w:type="dxa"/>
            </w:tcMar>
            <w:vAlign w:val="top"/>
          </w:tcPr>
          <w:p>
            <w:r>
              <w:rPr>
                <w:sz w:val="15"/>
              </w:rPr>
              <w:t>12D</w:t>
            </w:r>
          </w:p>
        </w:tc>
        <w:tc>
          <w:tcPr>
            <w:tcW w:type="dxa" w:w="7560"/>
            <w:tcMar>
              <w:top w:w="70" w:type="dxa"/>
              <w:start w:w="90" w:type="dxa"/>
              <w:bottom w:w="70" w:type="dxa"/>
              <w:end w:w="90" w:type="dxa"/>
            </w:tcMar>
            <w:vAlign w:val="top"/>
          </w:tcPr>
          <w:p>
            <w:r>
              <w:rPr>
                <w:sz w:val="15"/>
              </w:rPr>
              <w:t>Google Cloud enterprise engineering: resource hierarchy, IAM, VPC, compute, data, GKE, security, reliability and automation</w:t>
            </w:r>
          </w:p>
        </w:tc>
        <w:tc>
          <w:tcPr>
            <w:tcW w:type="dxa" w:w="1440"/>
            <w:tcMar>
              <w:top w:w="70" w:type="dxa"/>
              <w:start w:w="90" w:type="dxa"/>
              <w:bottom w:w="70" w:type="dxa"/>
              <w:end w:w="90" w:type="dxa"/>
            </w:tcMar>
            <w:vAlign w:val="top"/>
          </w:tcPr>
          <w:p>
            <w:r>
              <w:rPr>
                <w:sz w:val="15"/>
              </w:rPr>
              <w:t>Planned</w:t>
            </w:r>
          </w:p>
        </w:tc>
      </w:tr>
      <w:tr>
        <w:trPr>
          <w:cantSplit/>
        </w:trPr>
        <w:tc>
          <w:tcPr>
            <w:tcW w:type="dxa" w:w="936"/>
            <w:tcMar>
              <w:top w:w="70" w:type="dxa"/>
              <w:start w:w="90" w:type="dxa"/>
              <w:bottom w:w="70" w:type="dxa"/>
              <w:end w:w="90" w:type="dxa"/>
            </w:tcMar>
            <w:vAlign w:val="top"/>
          </w:tcPr>
          <w:p>
            <w:r>
              <w:rPr>
                <w:sz w:val="15"/>
              </w:rPr>
              <w:t>12E</w:t>
            </w:r>
          </w:p>
        </w:tc>
        <w:tc>
          <w:tcPr>
            <w:tcW w:type="dxa" w:w="7560"/>
            <w:tcMar>
              <w:top w:w="70" w:type="dxa"/>
              <w:start w:w="90" w:type="dxa"/>
              <w:bottom w:w="70" w:type="dxa"/>
              <w:end w:w="90" w:type="dxa"/>
            </w:tcMar>
            <w:vAlign w:val="top"/>
          </w:tcPr>
          <w:p>
            <w:r>
              <w:rPr>
                <w:sz w:val="15"/>
              </w:rPr>
              <w:t>Hybrid and multi-cloud operations: cross-cloud identity/networking, Terraform, policy, migration, DR, observability, security and FinOps</w:t>
            </w:r>
          </w:p>
        </w:tc>
        <w:tc>
          <w:tcPr>
            <w:tcW w:type="dxa" w:w="1440"/>
            <w:tcMar>
              <w:top w:w="70" w:type="dxa"/>
              <w:start w:w="90" w:type="dxa"/>
              <w:bottom w:w="70" w:type="dxa"/>
              <w:end w:w="90" w:type="dxa"/>
            </w:tcMar>
            <w:vAlign w:val="top"/>
          </w:tcPr>
          <w:p>
            <w:r>
              <w:rPr>
                <w:sz w:val="15"/>
              </w:rPr>
              <w:t>Planned</w:t>
            </w:r>
          </w:p>
        </w:tc>
      </w:tr>
      <w:tr>
        <w:trPr>
          <w:cantSplit/>
        </w:trPr>
        <w:tc>
          <w:tcPr>
            <w:tcW w:type="dxa" w:w="936"/>
            <w:tcMar>
              <w:top w:w="70" w:type="dxa"/>
              <w:start w:w="90" w:type="dxa"/>
              <w:bottom w:w="70" w:type="dxa"/>
              <w:end w:w="90" w:type="dxa"/>
            </w:tcMar>
            <w:vAlign w:val="top"/>
          </w:tcPr>
          <w:p>
            <w:r>
              <w:rPr>
                <w:sz w:val="15"/>
              </w:rPr>
              <w:t>12F</w:t>
            </w:r>
          </w:p>
        </w:tc>
        <w:tc>
          <w:tcPr>
            <w:tcW w:type="dxa" w:w="7560"/>
            <w:tcMar>
              <w:top w:w="70" w:type="dxa"/>
              <w:start w:w="90" w:type="dxa"/>
              <w:bottom w:w="70" w:type="dxa"/>
              <w:end w:w="90" w:type="dxa"/>
            </w:tcMar>
            <w:vAlign w:val="top"/>
          </w:tcPr>
          <w:p>
            <w:r>
              <w:rPr>
                <w:sz w:val="15"/>
              </w:rPr>
              <w:t>Enterprise cloud projects, certifications, complex troubleshooting, architecture interviews and final multi-cloud capstone</w:t>
            </w:r>
          </w:p>
        </w:tc>
        <w:tc>
          <w:tcPr>
            <w:tcW w:type="dxa" w:w="1440"/>
            <w:tcMar>
              <w:top w:w="70" w:type="dxa"/>
              <w:start w:w="90" w:type="dxa"/>
              <w:bottom w:w="70" w:type="dxa"/>
              <w:end w:w="90" w:type="dxa"/>
            </w:tcMar>
            <w:vAlign w:val="top"/>
          </w:tcPr>
          <w:p>
            <w:r>
              <w:rPr>
                <w:sz w:val="15"/>
              </w:rPr>
              <w:t>Planned</w:t>
            </w:r>
          </w:p>
        </w:tc>
      </w:tr>
    </w:tbl>
    <w:p>
      <w:pPr>
        <w:pStyle w:val="Heading2"/>
        <w:keepNext w:val="0"/>
      </w:pPr>
      <w:r>
        <w:t>Extended Master Course Roadmap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1080"/>
            <w:shd w:fill="176B87"/>
            <w:tcMar>
              <w:top w:w="70" w:type="dxa"/>
              <w:start w:w="90" w:type="dxa"/>
              <w:bottom w:w="70" w:type="dxa"/>
              <w:end w:w="90" w:type="dxa"/>
            </w:tcMar>
            <w:vAlign w:val="center"/>
          </w:tcPr>
          <w:p>
            <w:r>
              <w:rPr>
                <w:b/>
                <w:color w:val="FFFFFF"/>
                <w:sz w:val="15"/>
              </w:rPr>
              <w:t>Volume</w:t>
            </w:r>
          </w:p>
        </w:tc>
        <w:tc>
          <w:tcPr>
            <w:tcW w:type="dxa" w:w="7560"/>
            <w:shd w:fill="176B87"/>
            <w:tcMar>
              <w:top w:w="70" w:type="dxa"/>
              <w:start w:w="90" w:type="dxa"/>
              <w:bottom w:w="70" w:type="dxa"/>
              <w:end w:w="90" w:type="dxa"/>
            </w:tcMar>
            <w:vAlign w:val="center"/>
          </w:tcPr>
          <w:p>
            <w:r>
              <w:rPr>
                <w:b/>
                <w:color w:val="FFFFFF"/>
                <w:sz w:val="15"/>
              </w:rPr>
              <w:t>Specialization</w:t>
            </w:r>
          </w:p>
        </w:tc>
        <w:tc>
          <w:tcPr>
            <w:tcW w:type="dxa" w:w="1152"/>
            <w:shd w:fill="176B87"/>
            <w:tcMar>
              <w:top w:w="70" w:type="dxa"/>
              <w:start w:w="90" w:type="dxa"/>
              <w:bottom w:w="70" w:type="dxa"/>
              <w:end w:w="90" w:type="dxa"/>
            </w:tcMar>
            <w:vAlign w:val="center"/>
          </w:tcPr>
          <w:p>
            <w:r>
              <w:rPr>
                <w:b/>
                <w:color w:val="FFFFFF"/>
                <w:sz w:val="15"/>
              </w:rPr>
              <w:t>Parts</w:t>
            </w:r>
          </w:p>
        </w:tc>
      </w:tr>
      <w:tr>
        <w:trPr>
          <w:cantSplit/>
        </w:trPr>
        <w:tc>
          <w:tcPr>
            <w:tcW w:type="dxa" w:w="1080"/>
            <w:tcMar>
              <w:top w:w="70" w:type="dxa"/>
              <w:start w:w="90" w:type="dxa"/>
              <w:bottom w:w="70" w:type="dxa"/>
              <w:end w:w="90" w:type="dxa"/>
            </w:tcMar>
            <w:vAlign w:val="top"/>
          </w:tcPr>
          <w:p>
            <w:r>
              <w:rPr>
                <w:sz w:val="15"/>
              </w:rPr>
              <w:t>12</w:t>
            </w:r>
          </w:p>
        </w:tc>
        <w:tc>
          <w:tcPr>
            <w:tcW w:type="dxa" w:w="7560"/>
            <w:tcMar>
              <w:top w:w="70" w:type="dxa"/>
              <w:start w:w="90" w:type="dxa"/>
              <w:bottom w:w="70" w:type="dxa"/>
              <w:end w:w="90" w:type="dxa"/>
            </w:tcMar>
            <w:vAlign w:val="top"/>
          </w:tcPr>
          <w:p>
            <w:r>
              <w:rPr>
                <w:sz w:val="15"/>
              </w:rPr>
              <w:t>Multi-Cloud and Enterprise Cloud Architecture</w:t>
            </w:r>
          </w:p>
        </w:tc>
        <w:tc>
          <w:tcPr>
            <w:tcW w:type="dxa" w:w="1152"/>
            <w:tcMar>
              <w:top w:w="70" w:type="dxa"/>
              <w:start w:w="90" w:type="dxa"/>
              <w:bottom w:w="70" w:type="dxa"/>
              <w:end w:w="90" w:type="dxa"/>
            </w:tcMar>
            <w:vAlign w:val="top"/>
          </w:tcPr>
          <w:p>
            <w:r>
              <w:rPr>
                <w:sz w:val="15"/>
              </w:rPr>
              <w:t>A-F</w:t>
            </w:r>
          </w:p>
        </w:tc>
      </w:tr>
      <w:tr>
        <w:trPr>
          <w:cantSplit/>
        </w:trPr>
        <w:tc>
          <w:tcPr>
            <w:tcW w:type="dxa" w:w="1080"/>
            <w:tcMar>
              <w:top w:w="70" w:type="dxa"/>
              <w:start w:w="90" w:type="dxa"/>
              <w:bottom w:w="70" w:type="dxa"/>
              <w:end w:w="90" w:type="dxa"/>
            </w:tcMar>
            <w:vAlign w:val="top"/>
          </w:tcPr>
          <w:p>
            <w:r>
              <w:rPr>
                <w:sz w:val="15"/>
              </w:rPr>
              <w:t>13</w:t>
            </w:r>
          </w:p>
        </w:tc>
        <w:tc>
          <w:tcPr>
            <w:tcW w:type="dxa" w:w="7560"/>
            <w:tcMar>
              <w:top w:w="70" w:type="dxa"/>
              <w:start w:w="90" w:type="dxa"/>
              <w:bottom w:w="70" w:type="dxa"/>
              <w:end w:w="90" w:type="dxa"/>
            </w:tcMar>
            <w:vAlign w:val="top"/>
          </w:tcPr>
          <w:p>
            <w:r>
              <w:rPr>
                <w:sz w:val="15"/>
              </w:rPr>
              <w:t>Platform Engineering, Internal Developer Platforms and Golden Paths</w:t>
            </w:r>
          </w:p>
        </w:tc>
        <w:tc>
          <w:tcPr>
            <w:tcW w:type="dxa" w:w="1152"/>
            <w:tcMar>
              <w:top w:w="70" w:type="dxa"/>
              <w:start w:w="90" w:type="dxa"/>
              <w:bottom w:w="70" w:type="dxa"/>
              <w:end w:w="90" w:type="dxa"/>
            </w:tcMar>
            <w:vAlign w:val="top"/>
          </w:tcPr>
          <w:p>
            <w:r>
              <w:rPr>
                <w:sz w:val="15"/>
              </w:rPr>
              <w:t>A-F</w:t>
            </w:r>
          </w:p>
        </w:tc>
      </w:tr>
      <w:tr>
        <w:trPr>
          <w:cantSplit/>
        </w:trPr>
        <w:tc>
          <w:tcPr>
            <w:tcW w:type="dxa" w:w="1080"/>
            <w:tcMar>
              <w:top w:w="70" w:type="dxa"/>
              <w:start w:w="90" w:type="dxa"/>
              <w:bottom w:w="70" w:type="dxa"/>
              <w:end w:w="90" w:type="dxa"/>
            </w:tcMar>
            <w:vAlign w:val="top"/>
          </w:tcPr>
          <w:p>
            <w:r>
              <w:rPr>
                <w:sz w:val="15"/>
              </w:rPr>
              <w:t>14</w:t>
            </w:r>
          </w:p>
        </w:tc>
        <w:tc>
          <w:tcPr>
            <w:tcW w:type="dxa" w:w="7560"/>
            <w:tcMar>
              <w:top w:w="70" w:type="dxa"/>
              <w:start w:w="90" w:type="dxa"/>
              <w:bottom w:w="70" w:type="dxa"/>
              <w:end w:w="90" w:type="dxa"/>
            </w:tcMar>
            <w:vAlign w:val="top"/>
          </w:tcPr>
          <w:p>
            <w:r>
              <w:rPr>
                <w:sz w:val="15"/>
              </w:rPr>
              <w:t>DataOps, MLOps, AI Infrastructure and LLMOps</w:t>
            </w:r>
          </w:p>
        </w:tc>
        <w:tc>
          <w:tcPr>
            <w:tcW w:type="dxa" w:w="1152"/>
            <w:tcMar>
              <w:top w:w="70" w:type="dxa"/>
              <w:start w:w="90" w:type="dxa"/>
              <w:bottom w:w="70" w:type="dxa"/>
              <w:end w:w="90" w:type="dxa"/>
            </w:tcMar>
            <w:vAlign w:val="top"/>
          </w:tcPr>
          <w:p>
            <w:r>
              <w:rPr>
                <w:sz w:val="15"/>
              </w:rPr>
              <w:t>A-F</w:t>
            </w:r>
          </w:p>
        </w:tc>
      </w:tr>
      <w:tr>
        <w:trPr>
          <w:cantSplit/>
        </w:trPr>
        <w:tc>
          <w:tcPr>
            <w:tcW w:type="dxa" w:w="1080"/>
            <w:tcMar>
              <w:top w:w="70" w:type="dxa"/>
              <w:start w:w="90" w:type="dxa"/>
              <w:bottom w:w="70" w:type="dxa"/>
              <w:end w:w="90" w:type="dxa"/>
            </w:tcMar>
            <w:vAlign w:val="top"/>
          </w:tcPr>
          <w:p>
            <w:r>
              <w:rPr>
                <w:sz w:val="15"/>
              </w:rPr>
              <w:t>15</w:t>
            </w:r>
          </w:p>
        </w:tc>
        <w:tc>
          <w:tcPr>
            <w:tcW w:type="dxa" w:w="7560"/>
            <w:tcMar>
              <w:top w:w="70" w:type="dxa"/>
              <w:start w:w="90" w:type="dxa"/>
              <w:bottom w:w="70" w:type="dxa"/>
              <w:end w:w="90" w:type="dxa"/>
            </w:tcMar>
            <w:vAlign w:val="top"/>
          </w:tcPr>
          <w:p>
            <w:r>
              <w:rPr>
                <w:sz w:val="15"/>
              </w:rPr>
              <w:t>DevOps Leadership, Enterprise Transformation and Final Mastery Portfolio</w:t>
            </w:r>
          </w:p>
        </w:tc>
        <w:tc>
          <w:tcPr>
            <w:tcW w:type="dxa" w:w="1152"/>
            <w:tcMar>
              <w:top w:w="70" w:type="dxa"/>
              <w:start w:w="90" w:type="dxa"/>
              <w:bottom w:w="70" w:type="dxa"/>
              <w:end w:w="90" w:type="dxa"/>
            </w:tcMar>
            <w:vAlign w:val="top"/>
          </w:tcPr>
          <w:p>
            <w:r>
              <w:rPr>
                <w:sz w:val="15"/>
              </w:rPr>
              <w:t>A-F</w:t>
            </w:r>
          </w:p>
        </w:tc>
      </w:tr>
    </w:tbl>
    <w:tbl>
      <w:tblPr>
        <w:tblW w:type="auto" w:w="0"/>
        <w:jc w:val="center"/>
        <w:tblLook w:firstColumn="1" w:firstRow="1" w:lastColumn="0" w:lastRow="0" w:noHBand="0" w:noVBand="1" w:val="04A0"/>
      </w:tblPr>
      <w:tblGrid>
        <w:gridCol w:w="10166"/>
      </w:tblGrid>
      <w:tr>
        <w:trPr>
          <w:cantSplit/>
        </w:trPr>
        <w:tc>
          <w:tcPr>
            <w:tcW w:type="dxa" w:w="10166"/>
            <w:shd w:fill="E8F2F5"/>
            <w:tcMar>
              <w:top w:w="110" w:type="dxa"/>
              <w:start w:w="140" w:type="dxa"/>
              <w:bottom w:w="110" w:type="dxa"/>
              <w:end w:w="140" w:type="dxa"/>
            </w:tcMar>
          </w:tcPr>
          <w:p>
            <w:pPr>
              <w:spacing w:after="0"/>
            </w:pPr>
            <w:r>
              <w:rPr>
                <w:b/>
                <w:color w:val="176B87"/>
              </w:rPr>
              <w:t>Roadmap lock: the extended course contains 15 volumes total. Volume 12 is the first of four remaining volumes; after Volume 12, three additional volumes remain (13-15).</w:t>
            </w:r>
          </w:p>
        </w:tc>
      </w:tr>
    </w:tbl>
    <w:p>
      <w:pPr>
        <w:spacing w:after="0"/>
      </w:pPr>
    </w:p>
    <w:p>
      <w:pPr>
        <w:pStyle w:val="Heading2"/>
        <w:keepNext w:val="0"/>
      </w:pPr>
      <w:r>
        <w:t>Scope, Safety and Cost Controls</w:t>
      </w:r>
    </w:p>
    <w:p>
      <w:pPr>
        <w:pStyle w:val="ListBullet"/>
      </w:pPr>
      <w:r>
        <w:t>Use disposable sandboxes, free tiers or simulations. Configure budgets and automatic expiry before creating resources.</w:t>
      </w:r>
    </w:p>
    <w:p>
      <w:pPr>
        <w:pStyle w:val="ListBullet"/>
      </w:pPr>
      <w:r>
        <w:t>Never use production identities, customer data, employer account structures, internal IP ranges or confidential contracts in course artifacts.</w:t>
      </w:r>
    </w:p>
    <w:p>
      <w:pPr>
        <w:pStyle w:val="ListBullet"/>
      </w:pPr>
      <w:r>
        <w:t>Cloud services, quotas, prices, certifications, landing-zone versions and recommendations change. Verify current official documentation before production use.</w:t>
      </w:r>
    </w:p>
    <w:p>
      <w:pPr>
        <w:pStyle w:val="ListBullet"/>
      </w:pPr>
      <w:r>
        <w:t>Run failure, policy, identity, network and teardown tests only in approved nonproduction environments with explicit stop conditions.</w:t>
      </w:r>
    </w:p>
    <w:p>
      <w:pPr>
        <w:pStyle w:val="ListBullet"/>
      </w:pPr>
      <w:r>
        <w:t>Delete resources, credentials, state copies, public endpoints and test domains after each lab; verify billing inventory after eventual-consistency delays.</w:t>
      </w:r>
    </w:p>
    <w:p>
      <w:pPr>
        <w:pStyle w:val="Heading2"/>
        <w:keepNext w:val="0"/>
      </w:pPr>
      <w:r>
        <w:t>How to Use This Book</w:t>
      </w:r>
    </w:p>
    <w:p>
      <w:pPr>
        <w:ind w:left="360" w:hanging="360"/>
      </w:pPr>
      <w:r>
        <w:rPr>
          <w:b/>
        </w:rPr>
        <w:t xml:space="preserve">1. </w:t>
      </w:r>
      <w:r>
        <w:t>Read the business and risk objective before selecting a provider service.</w:t>
      </w:r>
    </w:p>
    <w:p>
      <w:pPr>
        <w:ind w:left="360" w:hanging="360"/>
      </w:pPr>
      <w:r>
        <w:rPr>
          <w:b/>
        </w:rPr>
        <w:t xml:space="preserve">2. </w:t>
      </w:r>
      <w:r>
        <w:t>Create diagrams and decision records before implementing infrastructure.</w:t>
      </w:r>
    </w:p>
    <w:p>
      <w:pPr>
        <w:ind w:left="360" w:hanging="360"/>
      </w:pPr>
      <w:r>
        <w:rPr>
          <w:b/>
        </w:rPr>
        <w:t xml:space="preserve">3. </w:t>
      </w:r>
      <w:r>
        <w:t>Build controls through IaC and test both allowed and denied behavior.</w:t>
      </w:r>
    </w:p>
    <w:p>
      <w:pPr>
        <w:ind w:left="360" w:hanging="360"/>
      </w:pPr>
      <w:r>
        <w:rPr>
          <w:b/>
        </w:rPr>
        <w:t xml:space="preserve">4. </w:t>
      </w:r>
      <w:r>
        <w:t>Capture identity, audit, network, policy, cost and teardown evidence.</w:t>
      </w:r>
    </w:p>
    <w:p>
      <w:pPr>
        <w:ind w:left="360" w:hanging="360"/>
      </w:pPr>
      <w:r>
        <w:rPr>
          <w:b/>
        </w:rPr>
        <w:t xml:space="preserve">5. </w:t>
      </w:r>
      <w:r>
        <w:t>Convert each lab into a sanitized portfolio artifact with assumptions and limitations.</w:t>
      </w:r>
    </w:p>
    <w:p>
      <w:pPr>
        <w:pStyle w:val="Heading2"/>
        <w:keepNext w:val="0"/>
      </w:pPr>
      <w:r>
        <w:t>Part A Learning Outcomes</w:t>
      </w:r>
    </w:p>
    <w:p>
      <w:pPr>
        <w:pStyle w:val="ListBullet"/>
      </w:pPr>
      <w:r>
        <w:t>Define a defensible cloud and workload-placement strategy.</w:t>
      </w:r>
    </w:p>
    <w:p>
      <w:pPr>
        <w:pStyle w:val="ListBullet"/>
      </w:pPr>
      <w:r>
        <w:t>Map provider and customer responsibility for security and reliability.</w:t>
      </w:r>
    </w:p>
    <w:p>
      <w:pPr>
        <w:pStyle w:val="ListBullet"/>
      </w:pPr>
      <w:r>
        <w:t>Perform risk-based well-architected reviews and write ADRs.</w:t>
      </w:r>
    </w:p>
    <w:p>
      <w:pPr>
        <w:pStyle w:val="ListBullet"/>
      </w:pPr>
      <w:r>
        <w:t>Design enterprise resource hierarchy, identity, networking and landing-zone controls.</w:t>
      </w:r>
    </w:p>
    <w:p>
      <w:pPr>
        <w:pStyle w:val="ListBullet"/>
      </w:pPr>
      <w:r>
        <w:t>Establish metadata, budgets, unit economics and FinOps accountability.</w:t>
      </w:r>
    </w:p>
    <w:p>
      <w:pPr>
        <w:pStyle w:val="ListBullet"/>
      </w:pPr>
      <w:r>
        <w:t>Build a tested multi-cloud IaC repository and foundation capstone.</w:t>
      </w:r>
    </w:p>
    <w:p>
      <w:r>
        <w:br w:type="page"/>
      </w:r>
    </w:p>
    <w:p>
      <w:pPr>
        <w:pStyle w:val="Heading1"/>
        <w:keepNext w:val="0"/>
      </w:pPr>
      <w:r>
        <w:t>Table of Contents</w:t>
      </w:r>
    </w:p>
    <w:p>
      <w:pPr>
        <w:keepNext w:val="0"/>
      </w:pPr>
      <w:r>
        <w:t>Chapter 1  Cloud Operating Model and Multi-Cloud Decision Strategy</w:t>
      </w:r>
    </w:p>
    <w:p>
      <w:pPr>
        <w:keepNext w:val="0"/>
      </w:pPr>
      <w:r>
        <w:t>Chapter 2  Shared Responsibility, Service Models and Failure Boundaries</w:t>
      </w:r>
    </w:p>
    <w:p>
      <w:pPr>
        <w:keepNext w:val="0"/>
      </w:pPr>
      <w:r>
        <w:t>Chapter 3  Well-Architected Frameworks and Architecture Decision Records</w:t>
      </w:r>
    </w:p>
    <w:p>
      <w:pPr>
        <w:keepNext w:val="0"/>
      </w:pPr>
      <w:r>
        <w:t>Chapter 4  Resource Hierarchy and Environment Segmentation</w:t>
      </w:r>
    </w:p>
    <w:p>
      <w:pPr>
        <w:keepNext w:val="0"/>
      </w:pPr>
      <w:r>
        <w:t>Chapter 5  Identity Federation, Least Privilege and Workload Identity</w:t>
      </w:r>
    </w:p>
    <w:p>
      <w:pPr>
        <w:keepNext w:val="0"/>
      </w:pPr>
      <w:r>
        <w:t>Chapter 6  Cloud Networking, DNS and Hybrid Connectivity Foundations</w:t>
      </w:r>
    </w:p>
    <w:p>
      <w:pPr>
        <w:keepNext w:val="0"/>
      </w:pPr>
      <w:r>
        <w:t>Chapter 7  Landing Zones, Guardrails and Security Baselines</w:t>
      </w:r>
    </w:p>
    <w:p>
      <w:pPr>
        <w:keepNext w:val="0"/>
      </w:pPr>
      <w:r>
        <w:t>Chapter 8  Resource Governance, Metadata, Budgets and FinOps Foundations</w:t>
      </w:r>
    </w:p>
    <w:p>
      <w:pPr>
        <w:keepNext w:val="0"/>
      </w:pPr>
      <w:r>
        <w:t>Chapter 9  Infrastructure as Code Foundations for Multi-Cloud</w:t>
      </w:r>
    </w:p>
    <w:p>
      <w:pPr>
        <w:keepNext w:val="0"/>
      </w:pPr>
      <w:r>
        <w:t>Chapter 10  Multi-Cloud Landing-Zone Foundation Capstone</w:t>
      </w:r>
    </w:p>
    <w:p>
      <w:pPr>
        <w:keepNext w:val="0"/>
      </w:pPr>
      <w:r>
        <w:t>Part A Architecture and Control Reference</w:t>
      </w:r>
    </w:p>
    <w:p>
      <w:pPr>
        <w:keepNext w:val="0"/>
      </w:pPr>
      <w:r>
        <w:t>Multi-Cloud Foundation Completion Checklist</w:t>
      </w:r>
    </w:p>
    <w:p>
      <w:pPr>
        <w:keepNext w:val="0"/>
      </w:pPr>
      <w:r>
        <w:t>Ten Additional Practice Projects</w:t>
      </w:r>
    </w:p>
    <w:p>
      <w:pPr>
        <w:keepNext w:val="0"/>
      </w:pPr>
      <w:r>
        <w:t>30-Day Foundation Practice Plan</w:t>
      </w:r>
    </w:p>
    <w:p>
      <w:pPr>
        <w:keepNext w:val="0"/>
      </w:pPr>
      <w:r>
        <w:t>Glossary</w:t>
      </w:r>
    </w:p>
    <w:p>
      <w:pPr>
        <w:keepNext w:val="0"/>
      </w:pPr>
      <w:r>
        <w:t>Official Documentation Index</w:t>
      </w:r>
    </w:p>
    <w:p>
      <w:r>
        <w:br w:type="page"/>
      </w:r>
    </w:p>
    <w:p>
      <w:pPr>
        <w:jc w:val="center"/>
      </w:pPr>
      <w:r>
        <w:rPr>
          <w:b/>
          <w:color w:val="14919B"/>
          <w:sz w:val="17"/>
        </w:rPr>
        <w:t>VOLUME 12A  |  CHAPTER 1</w:t>
      </w:r>
    </w:p>
    <w:p>
      <w:pPr>
        <w:pStyle w:val="Heading1"/>
        <w:jc w:val="center"/>
      </w:pPr>
      <w:r>
        <w:t>Chapter 1: Cloud Operating Model and Multi-Cloud Decision Strategy</w:t>
      </w:r>
    </w:p>
    <w:p>
      <w:pPr>
        <w:jc w:val="center"/>
      </w:pPr>
      <w:r>
        <w:rPr>
          <w:i/>
          <w:color w:val="4B5563"/>
          <w:sz w:val="20"/>
        </w:rPr>
        <w:t>Choosing cloud deliberately instead of accumulating providers by accident</w:t>
      </w:r>
    </w:p>
    <w:tbl>
      <w:tblPr>
        <w:tblW w:type="auto" w:w="0"/>
        <w:jc w:val="center"/>
        <w:tblLook w:firstColumn="1" w:firstRow="1" w:lastColumn="0" w:lastRow="0" w:noHBand="0" w:noVBand="1" w:val="04A0"/>
      </w:tblPr>
      <w:tblGrid>
        <w:gridCol w:w="10166"/>
      </w:tblGrid>
      <w:tr>
        <w:trPr>
          <w:cantSplit/>
        </w:trPr>
        <w:tc>
          <w:tcPr>
            <w:tcW w:type="dxa" w:w="10166"/>
            <w:shd w:fill="E8F2F5"/>
            <w:tcMar>
              <w:top w:w="110" w:type="dxa"/>
              <w:start w:w="140" w:type="dxa"/>
              <w:bottom w:w="110" w:type="dxa"/>
              <w:end w:w="140" w:type="dxa"/>
            </w:tcMar>
          </w:tcPr>
          <w:p>
            <w:pPr>
              <w:spacing w:after="0"/>
            </w:pPr>
            <w:r>
              <w:rPr>
                <w:b/>
                <w:color w:val="176B87"/>
              </w:rPr>
              <w:t>Why this chapter matters: Multi-cloud is an operating model, not a collection of provider accounts. Without explicit business drivers, placement rules, ownership and exit criteria, organizations multiply cost, security exposure and operational complexity without gaining resilience or negotiating power.</w:t>
            </w:r>
          </w:p>
        </w:tc>
      </w:tr>
    </w:tbl>
    <w:p>
      <w:pPr>
        <w:spacing w:after="0"/>
      </w:pPr>
    </w:p>
    <w:p>
      <w:pPr>
        <w:pStyle w:val="Heading2"/>
        <w:keepNext/>
      </w:pPr>
      <w:r>
        <w:t>Learning Objectives</w:t>
      </w:r>
    </w:p>
    <w:p>
      <w:pPr>
        <w:pStyle w:val="ListBullet"/>
      </w:pPr>
      <w:r>
        <w:t>Distinguish single-cloud, multi-account, hybrid-cloud, multi-cloud and distributed-cloud operating models.</w:t>
      </w:r>
    </w:p>
    <w:p>
      <w:pPr>
        <w:pStyle w:val="ListBullet"/>
      </w:pPr>
      <w:r>
        <w:t>Define business, regulatory, technical and organizational drivers for workload placement.</w:t>
      </w:r>
    </w:p>
    <w:p>
      <w:pPr>
        <w:pStyle w:val="ListBullet"/>
      </w:pPr>
      <w:r>
        <w:t>Create a decision matrix that prevents unnecessary provider duplication.</w:t>
      </w:r>
    </w:p>
    <w:p>
      <w:pPr>
        <w:pStyle w:val="ListBullet"/>
      </w:pPr>
      <w:r>
        <w:t>Assign cloud platform, workload, security, finance and vendor-management ownership.</w:t>
      </w:r>
    </w:p>
    <w:p>
      <w:pPr>
        <w:pStyle w:val="ListBullet"/>
      </w:pPr>
      <w:r>
        <w:t>Define measurable success, review cadence and exit criteria for a cloud strategy.</w:t>
      </w:r>
    </w:p>
    <w:p>
      <w:pPr>
        <w:pStyle w:val="Heading2"/>
        <w:keepNext/>
      </w:pPr>
      <w:r>
        <w:t>Core Concepts</w:t>
      </w:r>
    </w:p>
    <w:p>
      <w:pPr>
        <w:pStyle w:val="Heading3"/>
        <w:keepNext/>
      </w:pPr>
      <w:r>
        <w:t>Operating-model first</w:t>
      </w:r>
    </w:p>
    <w:p>
      <w:pPr>
        <w:keepNext w:val="0"/>
      </w:pPr>
      <w:r>
        <w:t>Cloud adoption changes funding, ownership, identity, networking, security, delivery, support and procurement. A sound operating model defines who provides shared capabilities, who owns workloads, how exceptions are approved and how reliability and cost are measured.</w:t>
      </w:r>
    </w:p>
    <w:p>
      <w:pPr>
        <w:pStyle w:val="Heading3"/>
        <w:keepNext/>
      </w:pPr>
      <w:r>
        <w:t>Multi-cloud motives and anti-patterns</w:t>
      </w:r>
    </w:p>
    <w:p>
      <w:pPr>
        <w:keepNext w:val="0"/>
      </w:pPr>
      <w:r>
        <w:t>Valid motives include regulatory jurisdiction, mergers, customer proximity, specialized managed services, concentration-risk reduction and negotiated commercial strategy. Weak motives include fear without quantified risk, resume-driven architecture and the assumption that every workload must run unchanged everywhere.</w:t>
      </w:r>
    </w:p>
    <w:p>
      <w:pPr>
        <w:pStyle w:val="Heading3"/>
        <w:keepNext/>
      </w:pPr>
      <w:r>
        <w:t>Workload placement</w:t>
      </w:r>
    </w:p>
    <w:p>
      <w:pPr>
        <w:keepNext w:val="0"/>
      </w:pPr>
      <w:r>
        <w:t>Placement evaluates data gravity, latency, sovereignty, service maturity, team skills, portability, dependency concentration, recovery objectives and total operating cost. The correct answer can be one provider for most workloads and a second provider only for selected capabilities.</w:t>
      </w:r>
    </w:p>
    <w:p>
      <w:pPr>
        <w:pStyle w:val="Heading3"/>
        <w:keepNext/>
      </w:pPr>
      <w:r>
        <w:t>Portability spectrum</w:t>
      </w:r>
    </w:p>
    <w:p>
      <w:pPr>
        <w:keepNext w:val="0"/>
      </w:pPr>
      <w:r>
        <w:t>Portability ranges from source portability and container portability to data portability and full active-active provider independence. Greater portability usually increases abstraction, testing, governance and opportunity cost.</w:t>
      </w:r>
    </w:p>
    <w:p>
      <w:pPr>
        <w:pStyle w:val="Heading2"/>
        <w:keepNext/>
      </w:pPr>
      <w:r>
        <w:t>Architecture and Operating Decisions</w:t>
      </w:r>
    </w:p>
    <w:p>
      <w:pPr>
        <w:pStyle w:val="ListBullet"/>
      </w:pPr>
      <w:r>
        <w:t>Prefer the smallest provider footprint that satisfies validated requirements.</w:t>
      </w:r>
    </w:p>
    <w:p>
      <w:pPr>
        <w:pStyle w:val="ListBullet"/>
      </w:pPr>
      <w:r>
        <w:t>Document provider-specific advantages rather than hiding every service behind a lowest-common-denominator abstraction.</w:t>
      </w:r>
    </w:p>
    <w:p>
      <w:pPr>
        <w:pStyle w:val="ListBullet"/>
      </w:pPr>
      <w:r>
        <w:t>Separate strategic provider diversity from disaster recovery; they are related but not equivalent.</w:t>
      </w:r>
    </w:p>
    <w:p>
      <w:pPr>
        <w:pStyle w:val="ListBullet"/>
      </w:pPr>
      <w:r>
        <w:t>Create a workload-placement board with architecture, security, finance and product representation.</w:t>
      </w:r>
    </w:p>
    <w:p>
      <w:pPr>
        <w:pStyle w:val="ListBullet"/>
      </w:pPr>
      <w:r>
        <w:t>Review placement after major service, regulatory, cost or organizational changes.</w:t>
      </w:r>
    </w:p>
    <w:p>
      <w:pPr>
        <w:pStyle w:val="Heading2"/>
        <w:keepNext/>
      </w:pPr>
      <w:r>
        <w:t>Reference Configuration or Decision Pattern</w:t>
      </w:r>
    </w:p>
    <w:tbl>
      <w:tblPr>
        <w:tblW w:type="auto" w:w="0"/>
        <w:jc w:val="center"/>
        <w:tblLook w:firstColumn="1" w:firstRow="1" w:lastColumn="0" w:lastRow="0" w:noHBand="0" w:noVBand="1" w:val="04A0"/>
      </w:tblPr>
      <w:tblGrid>
        <w:gridCol w:w="10166"/>
      </w:tblGrid>
      <w:tr>
        <w:trPr>
          <w:cantSplit/>
        </w:trPr>
        <w:tc>
          <w:tcPr>
            <w:tcW w:type="dxa" w:w="10166"/>
            <w:shd w:fill="F3F5F7"/>
            <w:tcMar>
              <w:top w:w="90" w:type="dxa"/>
              <w:start w:w="120" w:type="dxa"/>
              <w:bottom w:w="90" w:type="dxa"/>
              <w:end w:w="120" w:type="dxa"/>
            </w:tcMar>
          </w:tcPr>
          <w:p>
            <w:pPr>
              <w:spacing w:after="0" w:line="240" w:lineRule="auto"/>
            </w:pPr>
            <w:r>
              <w:rPr>
                <w:rFonts w:ascii="DejaVu Sans Mono" w:hAnsi="DejaVu Sans Mono" w:eastAsia="DejaVu Sans Mono"/>
                <w:color w:val="1F2933"/>
                <w:sz w:val="14"/>
              </w:rPr>
              <w:t>workload: payments-api</w:t>
              <w:br/>
              <w:t>business_owner: commerce</w:t>
              <w:br/>
              <w:t>technical_owner: platform-payments</w:t>
              <w:br/>
              <w:t>placement_drivers:</w:t>
              <w:br/>
              <w:t xml:space="preserve">  data_residency: India</w:t>
              <w:br/>
              <w:t xml:space="preserve">  latency_target_ms: 150</w:t>
              <w:br/>
              <w:t xml:space="preserve">  recovery_tier: tier-1</w:t>
              <w:br/>
              <w:t xml:space="preserve">  managed_service_dependency: relational-database</w:t>
              <w:br/>
              <w:t>options:</w:t>
              <w:br/>
              <w:t xml:space="preserve">  aws: {score: 86, decision: preferred}</w:t>
              <w:br/>
              <w:t xml:space="preserve">  azure: {score: 74, decision: contingency}</w:t>
              <w:br/>
              <w:t xml:space="preserve">  gcp: {score: 70, decision: not-selected}</w:t>
              <w:br/>
              <w:t>portability_target: source-and-data-export</w:t>
              <w:br/>
              <w:t>review_date: 2027-02-01</w:t>
              <w:br/>
              <w:t>exit_triggers:</w:t>
              <w:br/>
              <w:t xml:space="preserve">  - regulatory_change</w:t>
              <w:br/>
              <w:t xml:space="preserve">  - sustained_cost_variance_over_20_percent</w:t>
              <w:br/>
              <w:t xml:space="preserve">  - service_sla_or_support_failure</w:t>
            </w:r>
          </w:p>
        </w:tc>
      </w:tr>
    </w:tbl>
    <w:p>
      <w:r>
        <w:rPr>
          <w:b/>
        </w:rPr>
        <w:t xml:space="preserve">Interpretation: </w:t>
      </w:r>
      <w:r>
        <w:t>A placement record must expose trade-offs and review triggers. A numerical score supports discussion but does not replace architecture judgment.</w:t>
      </w:r>
    </w:p>
    <w:p>
      <w:pPr>
        <w:pStyle w:val="Heading2"/>
        <w:keepNext/>
      </w:pPr>
      <w:r>
        <w:t>Production Readiness Checklist</w:t>
      </w:r>
    </w:p>
    <w:p>
      <w:pPr>
        <w:ind w:left="259" w:hanging="259"/>
      </w:pPr>
      <w:r>
        <w:t>☐ Cloud strategy has named business outcomes and measurable constraints.</w:t>
      </w:r>
    </w:p>
    <w:p>
      <w:pPr>
        <w:ind w:left="259" w:hanging="259"/>
      </w:pPr>
      <w:r>
        <w:t>☐ Each provider has an approved purpose and accountable executive owner.</w:t>
      </w:r>
    </w:p>
    <w:p>
      <w:pPr>
        <w:ind w:left="259" w:hanging="259"/>
      </w:pPr>
      <w:r>
        <w:t>☐ Placement decisions include data, identity, network, reliability, skills, cost and exit analysis.</w:t>
      </w:r>
    </w:p>
    <w:p>
      <w:pPr>
        <w:ind w:left="259" w:hanging="259"/>
      </w:pPr>
      <w:r>
        <w:t>☐ Portability requirements are explicit and tested at the required layer.</w:t>
      </w:r>
    </w:p>
    <w:p>
      <w:pPr>
        <w:ind w:left="259" w:hanging="259"/>
      </w:pPr>
      <w:r>
        <w:t>☐ Provider and workload strategy is reviewed at least annually and after material change.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70" w:type="dxa"/>
              <w:start w:w="90" w:type="dxa"/>
              <w:bottom w:w="70" w:type="dxa"/>
              <w:end w:w="90" w:type="dxa"/>
            </w:tcMar>
            <w:vAlign w:val="center"/>
          </w:tcPr>
          <w:p>
            <w:r>
              <w:rPr>
                <w:b/>
                <w:color w:val="FFFFFF"/>
                <w:sz w:val="14"/>
              </w:rPr>
              <w:t>Symptom</w:t>
            </w:r>
          </w:p>
        </w:tc>
        <w:tc>
          <w:tcPr>
            <w:tcW w:type="dxa" w:w="2376"/>
            <w:shd w:fill="176B87"/>
            <w:tcMar>
              <w:top w:w="70" w:type="dxa"/>
              <w:start w:w="90" w:type="dxa"/>
              <w:bottom w:w="70" w:type="dxa"/>
              <w:end w:w="90" w:type="dxa"/>
            </w:tcMar>
            <w:vAlign w:val="center"/>
          </w:tcPr>
          <w:p>
            <w:r>
              <w:rPr>
                <w:b/>
                <w:color w:val="FFFFFF"/>
                <w:sz w:val="14"/>
              </w:rPr>
              <w:t>Likely cause</w:t>
            </w:r>
          </w:p>
        </w:tc>
        <w:tc>
          <w:tcPr>
            <w:tcW w:type="dxa" w:w="3096"/>
            <w:shd w:fill="176B87"/>
            <w:tcMar>
              <w:top w:w="70" w:type="dxa"/>
              <w:start w:w="90" w:type="dxa"/>
              <w:bottom w:w="70" w:type="dxa"/>
              <w:end w:w="90" w:type="dxa"/>
            </w:tcMar>
            <w:vAlign w:val="center"/>
          </w:tcPr>
          <w:p>
            <w:r>
              <w:rPr>
                <w:b/>
                <w:color w:val="FFFFFF"/>
                <w:sz w:val="14"/>
              </w:rPr>
              <w:t>Corrective action</w:t>
            </w:r>
          </w:p>
        </w:tc>
        <w:tc>
          <w:tcPr>
            <w:tcW w:type="dxa" w:w="2232"/>
            <w:shd w:fill="176B87"/>
            <w:tcMar>
              <w:top w:w="70" w:type="dxa"/>
              <w:start w:w="90" w:type="dxa"/>
              <w:bottom w:w="70" w:type="dxa"/>
              <w:end w:w="90" w:type="dxa"/>
            </w:tcMar>
            <w:vAlign w:val="center"/>
          </w:tcPr>
          <w:p>
            <w:r>
              <w:rPr>
                <w:b/>
                <w:color w:val="FFFFFF"/>
                <w:sz w:val="14"/>
              </w:rPr>
              <w:t>Validation evidence</w:t>
            </w:r>
          </w:p>
        </w:tc>
      </w:tr>
      <w:tr>
        <w:trPr>
          <w:cantSplit/>
        </w:trPr>
        <w:tc>
          <w:tcPr>
            <w:tcW w:type="dxa" w:w="1944"/>
            <w:tcMar>
              <w:top w:w="70" w:type="dxa"/>
              <w:start w:w="90" w:type="dxa"/>
              <w:bottom w:w="70" w:type="dxa"/>
              <w:end w:w="90" w:type="dxa"/>
            </w:tcMar>
            <w:vAlign w:val="top"/>
          </w:tcPr>
          <w:p>
            <w:r>
              <w:rPr>
                <w:sz w:val="14"/>
              </w:rPr>
              <w:t>Teams deploy anywhere</w:t>
            </w:r>
          </w:p>
        </w:tc>
        <w:tc>
          <w:tcPr>
            <w:tcW w:type="dxa" w:w="2376"/>
            <w:tcMar>
              <w:top w:w="70" w:type="dxa"/>
              <w:start w:w="90" w:type="dxa"/>
              <w:bottom w:w="70" w:type="dxa"/>
              <w:end w:w="90" w:type="dxa"/>
            </w:tcMar>
            <w:vAlign w:val="top"/>
          </w:tcPr>
          <w:p>
            <w:r>
              <w:rPr>
                <w:sz w:val="14"/>
              </w:rPr>
              <w:t>No placement policy or slow approval path</w:t>
            </w:r>
          </w:p>
        </w:tc>
        <w:tc>
          <w:tcPr>
            <w:tcW w:type="dxa" w:w="3096"/>
            <w:tcMar>
              <w:top w:w="70" w:type="dxa"/>
              <w:start w:w="90" w:type="dxa"/>
              <w:bottom w:w="70" w:type="dxa"/>
              <w:end w:w="90" w:type="dxa"/>
            </w:tcMar>
            <w:vAlign w:val="top"/>
          </w:tcPr>
          <w:p>
            <w:r>
              <w:rPr>
                <w:sz w:val="14"/>
              </w:rPr>
              <w:t>Publish default provider and bounded exception workflow</w:t>
            </w:r>
          </w:p>
        </w:tc>
        <w:tc>
          <w:tcPr>
            <w:tcW w:type="dxa" w:w="2232"/>
            <w:tcMar>
              <w:top w:w="70" w:type="dxa"/>
              <w:start w:w="90" w:type="dxa"/>
              <w:bottom w:w="70" w:type="dxa"/>
              <w:end w:w="90" w:type="dxa"/>
            </w:tcMar>
            <w:vAlign w:val="top"/>
          </w:tcPr>
          <w:p>
            <w:r>
              <w:rPr>
                <w:sz w:val="14"/>
              </w:rPr>
              <w:t>New workloads show approved placement records</w:t>
            </w:r>
          </w:p>
        </w:tc>
      </w:tr>
      <w:tr>
        <w:trPr>
          <w:cantSplit/>
        </w:trPr>
        <w:tc>
          <w:tcPr>
            <w:tcW w:type="dxa" w:w="1944"/>
            <w:tcMar>
              <w:top w:w="70" w:type="dxa"/>
              <w:start w:w="90" w:type="dxa"/>
              <w:bottom w:w="70" w:type="dxa"/>
              <w:end w:w="90" w:type="dxa"/>
            </w:tcMar>
            <w:vAlign w:val="top"/>
          </w:tcPr>
          <w:p>
            <w:r>
              <w:rPr>
                <w:sz w:val="14"/>
              </w:rPr>
              <w:t>Duplicated platforms</w:t>
            </w:r>
          </w:p>
        </w:tc>
        <w:tc>
          <w:tcPr>
            <w:tcW w:type="dxa" w:w="2376"/>
            <w:tcMar>
              <w:top w:w="70" w:type="dxa"/>
              <w:start w:w="90" w:type="dxa"/>
              <w:bottom w:w="70" w:type="dxa"/>
              <w:end w:w="90" w:type="dxa"/>
            </w:tcMar>
            <w:vAlign w:val="top"/>
          </w:tcPr>
          <w:p>
            <w:r>
              <w:rPr>
                <w:sz w:val="14"/>
              </w:rPr>
              <w:t>Every provider treated as equal strategic target</w:t>
            </w:r>
          </w:p>
        </w:tc>
        <w:tc>
          <w:tcPr>
            <w:tcW w:type="dxa" w:w="3096"/>
            <w:tcMar>
              <w:top w:w="70" w:type="dxa"/>
              <w:start w:w="90" w:type="dxa"/>
              <w:bottom w:w="70" w:type="dxa"/>
              <w:end w:w="90" w:type="dxa"/>
            </w:tcMar>
            <w:vAlign w:val="top"/>
          </w:tcPr>
          <w:p>
            <w:r>
              <w:rPr>
                <w:sz w:val="14"/>
              </w:rPr>
              <w:t>Define provider roles and retire unsupported duplication</w:t>
            </w:r>
          </w:p>
        </w:tc>
        <w:tc>
          <w:tcPr>
            <w:tcW w:type="dxa" w:w="2232"/>
            <w:tcMar>
              <w:top w:w="70" w:type="dxa"/>
              <w:start w:w="90" w:type="dxa"/>
              <w:bottom w:w="70" w:type="dxa"/>
              <w:end w:w="90" w:type="dxa"/>
            </w:tcMar>
            <w:vAlign w:val="top"/>
          </w:tcPr>
          <w:p>
            <w:r>
              <w:rPr>
                <w:sz w:val="14"/>
              </w:rPr>
              <w:t>Platform inventory and spend decrease without lost requirements</w:t>
            </w:r>
          </w:p>
        </w:tc>
      </w:tr>
      <w:tr>
        <w:trPr>
          <w:cantSplit/>
        </w:trPr>
        <w:tc>
          <w:tcPr>
            <w:tcW w:type="dxa" w:w="1944"/>
            <w:tcMar>
              <w:top w:w="70" w:type="dxa"/>
              <w:start w:w="90" w:type="dxa"/>
              <w:bottom w:w="70" w:type="dxa"/>
              <w:end w:w="90" w:type="dxa"/>
            </w:tcMar>
            <w:vAlign w:val="top"/>
          </w:tcPr>
          <w:p>
            <w:r>
              <w:rPr>
                <w:sz w:val="14"/>
              </w:rPr>
              <w:t>DR plan is “use another cloud”</w:t>
            </w:r>
          </w:p>
        </w:tc>
        <w:tc>
          <w:tcPr>
            <w:tcW w:type="dxa" w:w="2376"/>
            <w:tcMar>
              <w:top w:w="70" w:type="dxa"/>
              <w:start w:w="90" w:type="dxa"/>
              <w:bottom w:w="70" w:type="dxa"/>
              <w:end w:w="90" w:type="dxa"/>
            </w:tcMar>
            <w:vAlign w:val="top"/>
          </w:tcPr>
          <w:p>
            <w:r>
              <w:rPr>
                <w:sz w:val="14"/>
              </w:rPr>
              <w:t>No tested data, identity or dependency recovery design</w:t>
            </w:r>
          </w:p>
        </w:tc>
        <w:tc>
          <w:tcPr>
            <w:tcW w:type="dxa" w:w="3096"/>
            <w:tcMar>
              <w:top w:w="70" w:type="dxa"/>
              <w:start w:w="90" w:type="dxa"/>
              <w:bottom w:w="70" w:type="dxa"/>
              <w:end w:w="90" w:type="dxa"/>
            </w:tcMar>
            <w:vAlign w:val="top"/>
          </w:tcPr>
          <w:p>
            <w:r>
              <w:rPr>
                <w:sz w:val="14"/>
              </w:rPr>
              <w:t>Create service-specific recovery architecture and exercises</w:t>
            </w:r>
          </w:p>
        </w:tc>
        <w:tc>
          <w:tcPr>
            <w:tcW w:type="dxa" w:w="2232"/>
            <w:tcMar>
              <w:top w:w="70" w:type="dxa"/>
              <w:start w:w="90" w:type="dxa"/>
              <w:bottom w:w="70" w:type="dxa"/>
              <w:end w:w="90" w:type="dxa"/>
            </w:tcMar>
            <w:vAlign w:val="top"/>
          </w:tcPr>
          <w:p>
            <w:r>
              <w:rPr>
                <w:sz w:val="14"/>
              </w:rPr>
              <w:t>Recovery meets measured RTO/RPO</w:t>
            </w:r>
          </w:p>
        </w:tc>
      </w:tr>
      <w:tr>
        <w:trPr>
          <w:cantSplit/>
        </w:trPr>
        <w:tc>
          <w:tcPr>
            <w:tcW w:type="dxa" w:w="1944"/>
            <w:tcMar>
              <w:top w:w="70" w:type="dxa"/>
              <w:start w:w="90" w:type="dxa"/>
              <w:bottom w:w="70" w:type="dxa"/>
              <w:end w:w="90" w:type="dxa"/>
            </w:tcMar>
            <w:vAlign w:val="top"/>
          </w:tcPr>
          <w:p>
            <w:r>
              <w:rPr>
                <w:sz w:val="14"/>
              </w:rPr>
              <w:t>Portability project stalls</w:t>
            </w:r>
          </w:p>
        </w:tc>
        <w:tc>
          <w:tcPr>
            <w:tcW w:type="dxa" w:w="2376"/>
            <w:tcMar>
              <w:top w:w="70" w:type="dxa"/>
              <w:start w:w="90" w:type="dxa"/>
              <w:bottom w:w="70" w:type="dxa"/>
              <w:end w:w="90" w:type="dxa"/>
            </w:tcMar>
            <w:vAlign w:val="top"/>
          </w:tcPr>
          <w:p>
            <w:r>
              <w:rPr>
                <w:sz w:val="14"/>
              </w:rPr>
              <w:t>Portability target is undefined or absolute</w:t>
            </w:r>
          </w:p>
        </w:tc>
        <w:tc>
          <w:tcPr>
            <w:tcW w:type="dxa" w:w="3096"/>
            <w:tcMar>
              <w:top w:w="70" w:type="dxa"/>
              <w:start w:w="90" w:type="dxa"/>
              <w:bottom w:w="70" w:type="dxa"/>
              <w:end w:w="90" w:type="dxa"/>
            </w:tcMar>
            <w:vAlign w:val="top"/>
          </w:tcPr>
          <w:p>
            <w:r>
              <w:rPr>
                <w:sz w:val="14"/>
              </w:rPr>
              <w:t>Select required portability layer and exit scenario</w:t>
            </w:r>
          </w:p>
        </w:tc>
        <w:tc>
          <w:tcPr>
            <w:tcW w:type="dxa" w:w="2232"/>
            <w:tcMar>
              <w:top w:w="70" w:type="dxa"/>
              <w:start w:w="90" w:type="dxa"/>
              <w:bottom w:w="70" w:type="dxa"/>
              <w:end w:w="90" w:type="dxa"/>
            </w:tcMar>
            <w:vAlign w:val="top"/>
          </w:tcPr>
          <w:p>
            <w:r>
              <w:rPr>
                <w:sz w:val="14"/>
              </w:rPr>
              <w:t>Demonstrated export/redeploy test passes</w:t>
            </w:r>
          </w:p>
        </w:tc>
      </w:tr>
    </w:tbl>
    <w:p>
      <w:pPr>
        <w:pStyle w:val="Heading2"/>
        <w:keepNext/>
      </w:pPr>
      <w:r>
        <w:t>Hands-on Lab 1: Create a Multi-Cloud Strategy and Workload Placement Board</w:t>
      </w:r>
    </w:p>
    <w:p>
      <w:pPr>
        <w:pStyle w:val="Heading3"/>
        <w:keepNext/>
      </w:pPr>
      <w:r>
        <w:t>Prerequisites</w:t>
      </w:r>
    </w:p>
    <w:p>
      <w:pPr>
        <w:pStyle w:val="ListBullet"/>
      </w:pPr>
      <w:r>
        <w:t>A fictional enterprise with at least four workloads and business constraints.</w:t>
      </w:r>
    </w:p>
    <w:p>
      <w:pPr>
        <w:pStyle w:val="ListBullet"/>
      </w:pPr>
      <w:r>
        <w:t>Spreadsheet or Markdown decision-record repository.</w:t>
      </w:r>
    </w:p>
    <w:p>
      <w:pPr>
        <w:pStyle w:val="ListBullet"/>
      </w:pPr>
      <w:r>
        <w:t>No production credentials or provider commitments.</w:t>
      </w:r>
    </w:p>
    <w:p>
      <w:pPr>
        <w:pStyle w:val="Heading3"/>
        <w:keepNext/>
      </w:pPr>
      <w:r>
        <w:t>Implementation</w:t>
      </w:r>
    </w:p>
    <w:p>
      <w:pPr>
        <w:ind w:left="360" w:hanging="360"/>
      </w:pPr>
      <w:r>
        <w:rPr>
          <w:b/>
        </w:rPr>
        <w:t xml:space="preserve">1. </w:t>
      </w:r>
      <w:r>
        <w:t>Define business outcomes, regulatory boundaries, concentration risks and skills constraints.</w:t>
      </w:r>
    </w:p>
    <w:p>
      <w:pPr>
        <w:ind w:left="360" w:hanging="360"/>
      </w:pPr>
      <w:r>
        <w:rPr>
          <w:b/>
        </w:rPr>
        <w:t xml:space="preserve">2. </w:t>
      </w:r>
      <w:r>
        <w:t>Classify four workloads by criticality, data gravity, latency, managed-service needs and recovery objectives.</w:t>
      </w:r>
    </w:p>
    <w:p>
      <w:pPr>
        <w:ind w:left="360" w:hanging="360"/>
      </w:pPr>
      <w:r>
        <w:rPr>
          <w:b/>
        </w:rPr>
        <w:t xml:space="preserve">3. </w:t>
      </w:r>
      <w:r>
        <w:t>Create weighted placement criteria and score AWS, Azure and Google Cloud for each workload.</w:t>
      </w:r>
    </w:p>
    <w:p>
      <w:pPr>
        <w:ind w:left="360" w:hanging="360"/>
      </w:pPr>
      <w:r>
        <w:rPr>
          <w:b/>
        </w:rPr>
        <w:t xml:space="preserve">4. </w:t>
      </w:r>
      <w:r>
        <w:t>Document provider roles, default placement, exception path and portability target.</w:t>
      </w:r>
    </w:p>
    <w:p>
      <w:pPr>
        <w:ind w:left="360" w:hanging="360"/>
      </w:pPr>
      <w:r>
        <w:rPr>
          <w:b/>
        </w:rPr>
        <w:t xml:space="preserve">5. </w:t>
      </w:r>
      <w:r>
        <w:t>Run a scenario where one provider changes price or loses an approved region.</w:t>
      </w:r>
    </w:p>
    <w:p>
      <w:pPr>
        <w:ind w:left="360" w:hanging="360"/>
      </w:pPr>
      <w:r>
        <w:rPr>
          <w:b/>
        </w:rPr>
        <w:t xml:space="preserve">6. </w:t>
      </w:r>
      <w:r>
        <w:t>Record decisions, dissent, residual risk and review triggers.</w:t>
      </w:r>
    </w:p>
    <w:p>
      <w:pPr>
        <w:pStyle w:val="Heading3"/>
        <w:keepNext/>
      </w:pPr>
      <w:r>
        <w:t>Validation Evidence</w:t>
      </w:r>
    </w:p>
    <w:p>
      <w:pPr>
        <w:pStyle w:val="ListBullet"/>
      </w:pPr>
      <w:r>
        <w:t>Approved strategy charter and RACI.</w:t>
      </w:r>
    </w:p>
    <w:p>
      <w:pPr>
        <w:pStyle w:val="ListBullet"/>
      </w:pPr>
      <w:r>
        <w:t>Four workload placement records with explicit trade-offs.</w:t>
      </w:r>
    </w:p>
    <w:p>
      <w:pPr>
        <w:pStyle w:val="ListBullet"/>
      </w:pPr>
      <w:r>
        <w:t>Scenario review showing how the strategy changes under new constraints.</w:t>
      </w:r>
    </w:p>
    <w:p>
      <w:pPr>
        <w:pStyle w:val="Heading3"/>
        <w:keepNext/>
      </w:pPr>
      <w:r>
        <w:t>Cleanup</w:t>
      </w:r>
    </w:p>
    <w:p>
      <w:pPr>
        <w:pStyle w:val="ListBullet"/>
      </w:pPr>
      <w:r>
        <w:t>Remove fictional vendor quotes and any accidental real organization data.</w:t>
      </w:r>
    </w:p>
    <w:p>
      <w:pPr>
        <w:pStyle w:val="ListBullet"/>
      </w:pPr>
      <w:r>
        <w:t>Archive superseded drafts and retain the final decision log.</w:t>
      </w:r>
    </w:p>
    <w:p>
      <w:pPr>
        <w:pStyle w:val="Heading2"/>
        <w:keepNext/>
      </w:pPr>
      <w:r>
        <w:t>Interview Questions and Model Answers</w:t>
      </w:r>
    </w:p>
    <w:p>
      <w:r>
        <w:rPr>
          <w:b/>
        </w:rPr>
        <w:t>1. When is multi-cloud justified?</w:t>
      </w:r>
    </w:p>
    <w:p>
      <w:pPr>
        <w:ind w:left="259"/>
      </w:pPr>
      <w:r>
        <w:t>When independently validated requirements such as regulation, acquisition, service specialization, geographic reach or concentration risk outweigh the additional platform and operating complexity.</w:t>
      </w:r>
    </w:p>
    <w:p>
      <w:r>
        <w:rPr>
          <w:b/>
        </w:rPr>
        <w:t>2. Is multi-cloud a disaster-recovery strategy?</w:t>
      </w:r>
    </w:p>
    <w:p>
      <w:pPr>
        <w:ind w:left="259"/>
      </w:pPr>
      <w:r>
        <w:t>Not by itself. Recovery requires replicated data, compatible identity, networking, dependencies, automation, runbooks and tested RTO/RPO.</w:t>
      </w:r>
    </w:p>
    <w:p>
      <w:r>
        <w:rPr>
          <w:b/>
        </w:rPr>
        <w:t>3. What should be portable?</w:t>
      </w:r>
    </w:p>
    <w:p>
      <w:pPr>
        <w:ind w:left="259"/>
      </w:pPr>
      <w:r>
        <w:t>Only the layers needed by a credible exit or continuity scenario: source, data, images, configuration, interfaces or full runtime depending on risk.</w:t>
      </w:r>
    </w:p>
    <w:p>
      <w:r>
        <w:rPr>
          <w:b/>
        </w:rPr>
        <w:t>4. What is a workload placement policy?</w:t>
      </w:r>
    </w:p>
    <w:p>
      <w:pPr>
        <w:ind w:left="259"/>
      </w:pPr>
      <w:r>
        <w:t>A governed process that maps workload requirements to approved provider, region, service and control choices with review and exception handling.</w:t>
      </w:r>
    </w:p>
    <w:p>
      <w:pPr>
        <w:pStyle w:val="Heading2"/>
        <w:keepNext/>
      </w:pPr>
      <w:r>
        <w:t>Chapter Summary</w:t>
      </w:r>
    </w:p>
    <w:p>
      <w:pPr>
        <w:pStyle w:val="ListBullet"/>
      </w:pPr>
      <w:r>
        <w:t>Multi-cloud must be justified by business and risk outcomes.</w:t>
      </w:r>
    </w:p>
    <w:p>
      <w:pPr>
        <w:pStyle w:val="ListBullet"/>
      </w:pPr>
      <w:r>
        <w:t>Placement and portability require explicit, workload-level decisions.</w:t>
      </w:r>
    </w:p>
    <w:p>
      <w:pPr>
        <w:pStyle w:val="ListBullet"/>
      </w:pPr>
      <w:r>
        <w:t>Provider diversity increases operational surface area.</w:t>
      </w:r>
    </w:p>
    <w:p>
      <w:pPr>
        <w:pStyle w:val="ListBullet"/>
      </w:pPr>
      <w:r>
        <w:t>Tested exit and recovery evidence matters more than architectural claims.</w:t>
      </w:r>
    </w:p>
    <w:p>
      <w:r>
        <w:br w:type="page"/>
      </w:r>
    </w:p>
    <w:p>
      <w:pPr>
        <w:jc w:val="center"/>
      </w:pPr>
      <w:r>
        <w:rPr>
          <w:b/>
          <w:color w:val="14919B"/>
          <w:sz w:val="17"/>
        </w:rPr>
        <w:t>VOLUME 12A  |  CHAPTER 2</w:t>
      </w:r>
    </w:p>
    <w:p>
      <w:pPr>
        <w:pStyle w:val="Heading1"/>
        <w:jc w:val="center"/>
      </w:pPr>
      <w:r>
        <w:t>Chapter 2: Shared Responsibility, Service Models and Failure Boundaries</w:t>
      </w:r>
    </w:p>
    <w:p>
      <w:pPr>
        <w:jc w:val="center"/>
      </w:pPr>
      <w:r>
        <w:rPr>
          <w:i/>
          <w:color w:val="4B5563"/>
          <w:sz w:val="20"/>
        </w:rPr>
        <w:t>Knowing exactly what the provider operates and what the customer still owns</w:t>
      </w:r>
    </w:p>
    <w:tbl>
      <w:tblPr>
        <w:tblW w:type="auto" w:w="0"/>
        <w:jc w:val="center"/>
        <w:tblLook w:firstColumn="1" w:firstRow="1" w:lastColumn="0" w:lastRow="0" w:noHBand="0" w:noVBand="1" w:val="04A0"/>
      </w:tblPr>
      <w:tblGrid>
        <w:gridCol w:w="10166"/>
      </w:tblGrid>
      <w:tr>
        <w:trPr>
          <w:cantSplit/>
        </w:trPr>
        <w:tc>
          <w:tcPr>
            <w:tcW w:type="dxa" w:w="10166"/>
            <w:shd w:fill="E8F2F5"/>
            <w:tcMar>
              <w:top w:w="110" w:type="dxa"/>
              <w:start w:w="140" w:type="dxa"/>
              <w:bottom w:w="110" w:type="dxa"/>
              <w:end w:w="140" w:type="dxa"/>
            </w:tcMar>
          </w:tcPr>
          <w:p>
            <w:pPr>
              <w:spacing w:after="0"/>
            </w:pPr>
            <w:r>
              <w:rPr>
                <w:b/>
                <w:color w:val="176B87"/>
              </w:rPr>
              <w:t>Why this chapter matters: Cloud outages and security incidents often occur in the boundary between provider guarantees and customer configuration. Responsibility changes by service model, provider, feature and contract, so generic diagrams must be translated into workload-specific controls.</w:t>
            </w:r>
          </w:p>
        </w:tc>
      </w:tr>
    </w:tbl>
    <w:p>
      <w:pPr>
        <w:spacing w:after="0"/>
      </w:pPr>
    </w:p>
    <w:p>
      <w:pPr>
        <w:pStyle w:val="Heading2"/>
        <w:keepNext/>
      </w:pPr>
      <w:r>
        <w:t>Learning Objectives</w:t>
      </w:r>
    </w:p>
    <w:p>
      <w:pPr>
        <w:pStyle w:val="ListBullet"/>
      </w:pPr>
      <w:r>
        <w:t>Explain IaaS, PaaS, SaaS, serverless and managed-service responsibility boundaries.</w:t>
      </w:r>
    </w:p>
    <w:p>
      <w:pPr>
        <w:pStyle w:val="ListBullet"/>
      </w:pPr>
      <w:r>
        <w:t>Map security, reliability, data protection, patching, identity and observability responsibilities.</w:t>
      </w:r>
    </w:p>
    <w:p>
      <w:pPr>
        <w:pStyle w:val="ListBullet"/>
      </w:pPr>
      <w:r>
        <w:t>Distinguish availability zones, regions, global control planes and customer failure domains.</w:t>
      </w:r>
    </w:p>
    <w:p>
      <w:pPr>
        <w:pStyle w:val="ListBullet"/>
      </w:pPr>
      <w:r>
        <w:t>Interpret provider SLA, service quotas and support boundaries.</w:t>
      </w:r>
    </w:p>
    <w:p>
      <w:pPr>
        <w:pStyle w:val="ListBullet"/>
      </w:pPr>
      <w:r>
        <w:t>Create a responsibility matrix linked to controls and evidence.</w:t>
      </w:r>
    </w:p>
    <w:p>
      <w:pPr>
        <w:pStyle w:val="Heading2"/>
        <w:keepNext/>
      </w:pPr>
      <w:r>
        <w:t>Core Concepts</w:t>
      </w:r>
    </w:p>
    <w:p>
      <w:pPr>
        <w:pStyle w:val="Heading3"/>
        <w:keepNext/>
      </w:pPr>
      <w:r>
        <w:t>Security of and in the cloud</w:t>
      </w:r>
    </w:p>
    <w:p>
      <w:pPr>
        <w:keepNext w:val="0"/>
      </w:pPr>
      <w:r>
        <w:t>Providers secure physical facilities, foundational infrastructure and defined managed-service layers; customers remain responsible for identities, data, configuration, access, workload design and many resilience decisions. The exact split depends on the service.</w:t>
      </w:r>
    </w:p>
    <w:p>
      <w:pPr>
        <w:pStyle w:val="Heading3"/>
        <w:keepNext/>
      </w:pPr>
      <w:r>
        <w:t>Reliability is also shared</w:t>
      </w:r>
    </w:p>
    <w:p>
      <w:pPr>
        <w:keepNext w:val="0"/>
      </w:pPr>
      <w:r>
        <w:t>A regional service can be healthy while a customer workload is unavailable due to single-zone design, quota exhaustion, DNS, identity, deployment or dependency failure. Provider SLAs do not automatically deliver the application SLO.</w:t>
      </w:r>
    </w:p>
    <w:p>
      <w:pPr>
        <w:pStyle w:val="Heading3"/>
        <w:keepNext/>
      </w:pPr>
      <w:r>
        <w:t>Control plane and data plane</w:t>
      </w:r>
    </w:p>
    <w:p>
      <w:pPr>
        <w:keepNext w:val="0"/>
      </w:pPr>
      <w:r>
        <w:t>Management APIs, identity and orchestration form control planes; user traffic and workload processing form data planes. Their failure modes, permissions and recovery paths differ and should be monitored separately.</w:t>
      </w:r>
    </w:p>
    <w:p>
      <w:pPr>
        <w:pStyle w:val="Heading3"/>
        <w:keepNext/>
      </w:pPr>
      <w:r>
        <w:t>Service contract evidence</w:t>
      </w:r>
    </w:p>
    <w:p>
      <w:pPr>
        <w:keepNext w:val="0"/>
      </w:pPr>
      <w:r>
        <w:t>Responsibility must be connected to configuration standards, logs, backups, key management, patch records, quotas, support plans and recovery tests, not only policy text.</w:t>
      </w:r>
    </w:p>
    <w:p>
      <w:pPr>
        <w:pStyle w:val="Heading2"/>
        <w:keepNext/>
      </w:pPr>
      <w:r>
        <w:t>Architecture and Operating Decisions</w:t>
      </w:r>
    </w:p>
    <w:p>
      <w:pPr>
        <w:pStyle w:val="ListBullet"/>
      </w:pPr>
      <w:r>
        <w:t>Create a matrix per workload and major managed service.</w:t>
      </w:r>
    </w:p>
    <w:p>
      <w:pPr>
        <w:pStyle w:val="ListBullet"/>
      </w:pPr>
      <w:r>
        <w:t>Treat identity, data classification, access and configuration as retained customer responsibilities.</w:t>
      </w:r>
    </w:p>
    <w:p>
      <w:pPr>
        <w:pStyle w:val="ListBullet"/>
      </w:pPr>
      <w:r>
        <w:t>Design for documented provider and regional failure modes rather than inferred guarantees.</w:t>
      </w:r>
    </w:p>
    <w:p>
      <w:pPr>
        <w:pStyle w:val="ListBullet"/>
      </w:pPr>
      <w:r>
        <w:t>Track quotas and service limits as reliability dependencies.</w:t>
      </w:r>
    </w:p>
    <w:p>
      <w:pPr>
        <w:pStyle w:val="ListBullet"/>
      </w:pPr>
      <w:r>
        <w:t>Escalate unclear responsibility to architecture, security, legal or provider support before production launch.</w:t>
      </w:r>
    </w:p>
    <w:p>
      <w:pPr>
        <w:pStyle w:val="Heading2"/>
        <w:keepNext/>
      </w:pPr>
      <w:r>
        <w:t>Reference Configuration or Decision Pattern</w:t>
      </w:r>
    </w:p>
    <w:tbl>
      <w:tblPr>
        <w:tblW w:type="auto" w:w="0"/>
        <w:jc w:val="center"/>
        <w:tblLook w:firstColumn="1" w:firstRow="1" w:lastColumn="0" w:lastRow="0" w:noHBand="0" w:noVBand="1" w:val="04A0"/>
      </w:tblPr>
      <w:tblGrid>
        <w:gridCol w:w="10166"/>
      </w:tblGrid>
      <w:tr>
        <w:trPr>
          <w:cantSplit/>
        </w:trPr>
        <w:tc>
          <w:tcPr>
            <w:tcW w:type="dxa" w:w="10166"/>
            <w:shd w:fill="F3F5F7"/>
            <w:tcMar>
              <w:top w:w="90" w:type="dxa"/>
              <w:start w:w="120" w:type="dxa"/>
              <w:bottom w:w="90" w:type="dxa"/>
              <w:end w:w="120" w:type="dxa"/>
            </w:tcMar>
          </w:tcPr>
          <w:p>
            <w:pPr>
              <w:spacing w:after="0" w:line="240" w:lineRule="auto"/>
            </w:pPr>
            <w:r>
              <w:rPr>
                <w:rFonts w:ascii="DejaVu Sans Mono" w:hAnsi="DejaVu Sans Mono" w:eastAsia="DejaVu Sans Mono"/>
                <w:color w:val="1F2933"/>
                <w:sz w:val="14"/>
              </w:rPr>
              <w:t>service: managed-postgresql</w:t>
              <w:br/>
              <w:t>responsibility_matrix:</w:t>
              <w:br/>
              <w:t xml:space="preserve">  physical_datacenter: provider</w:t>
              <w:br/>
              <w:t xml:space="preserve">  host_and_hypervisor: provider</w:t>
              <w:br/>
              <w:t xml:space="preserve">  database_engine_patching: provider</w:t>
              <w:br/>
              <w:t xml:space="preserve">  database_configuration: customer</w:t>
              <w:br/>
              <w:t xml:space="preserve">  schema_and_queries: customer</w:t>
              <w:br/>
              <w:t xml:space="preserve">  identities_and_access: customer</w:t>
              <w:br/>
              <w:t xml:space="preserve">  encryption_key_choice: shared</w:t>
              <w:br/>
              <w:t xml:space="preserve">  backups_enabled: customer</w:t>
              <w:br/>
              <w:t xml:space="preserve">  backup_infrastructure: provider</w:t>
              <w:br/>
              <w:t xml:space="preserve">  restore_validation: customer</w:t>
              <w:br/>
              <w:t xml:space="preserve">  multi_zone_architecture: customer</w:t>
              <w:br/>
              <w:t xml:space="preserve">  application_retry_logic: customer</w:t>
              <w:br/>
              <w:t>required_evidence:</w:t>
              <w:br/>
              <w:t xml:space="preserve">  - access_review</w:t>
              <w:br/>
              <w:t xml:space="preserve">  - backup_restore_test</w:t>
              <w:br/>
              <w:t xml:space="preserve">  - quota_review</w:t>
              <w:br/>
              <w:t xml:space="preserve">  - failover_test</w:t>
            </w:r>
          </w:p>
        </w:tc>
      </w:tr>
    </w:tbl>
    <w:p>
      <w:r>
        <w:rPr>
          <w:b/>
        </w:rPr>
        <w:t xml:space="preserve">Interpretation: </w:t>
      </w:r>
      <w:r>
        <w:t>“Managed” reduces some operational tasks; it does not transfer accountability for workload design, data, access, recovery validation or business outcomes.</w:t>
      </w:r>
    </w:p>
    <w:p>
      <w:pPr>
        <w:pStyle w:val="Heading2"/>
        <w:keepNext/>
      </w:pPr>
      <w:r>
        <w:t>Production Readiness Checklist</w:t>
      </w:r>
    </w:p>
    <w:p>
      <w:pPr>
        <w:ind w:left="259" w:hanging="259"/>
      </w:pPr>
      <w:r>
        <w:t>☐ Responsibility matrices exist for all critical services.</w:t>
      </w:r>
    </w:p>
    <w:p>
      <w:pPr>
        <w:ind w:left="259" w:hanging="259"/>
      </w:pPr>
      <w:r>
        <w:t>☐ Provider SLA and support assumptions are recorded and reviewed.</w:t>
      </w:r>
    </w:p>
    <w:p>
      <w:pPr>
        <w:ind w:left="259" w:hanging="259"/>
      </w:pPr>
      <w:r>
        <w:t>☐ Control-plane and data-plane dependencies are separately identified.</w:t>
      </w:r>
    </w:p>
    <w:p>
      <w:pPr>
        <w:ind w:left="259" w:hanging="259"/>
      </w:pPr>
      <w:r>
        <w:t>☐ Quota, regional, zone, identity and DNS failure modes are tested.</w:t>
      </w:r>
    </w:p>
    <w:p>
      <w:pPr>
        <w:ind w:left="259" w:hanging="259"/>
      </w:pPr>
      <w:r>
        <w:t>☐ Backups, keys, access and customer configuration have named evidence owners.</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70" w:type="dxa"/>
              <w:start w:w="90" w:type="dxa"/>
              <w:bottom w:w="70" w:type="dxa"/>
              <w:end w:w="90" w:type="dxa"/>
            </w:tcMar>
            <w:vAlign w:val="center"/>
          </w:tcPr>
          <w:p>
            <w:r>
              <w:rPr>
                <w:b/>
                <w:color w:val="FFFFFF"/>
                <w:sz w:val="14"/>
              </w:rPr>
              <w:t>Symptom</w:t>
            </w:r>
          </w:p>
        </w:tc>
        <w:tc>
          <w:tcPr>
            <w:tcW w:type="dxa" w:w="2376"/>
            <w:shd w:fill="176B87"/>
            <w:tcMar>
              <w:top w:w="70" w:type="dxa"/>
              <w:start w:w="90" w:type="dxa"/>
              <w:bottom w:w="70" w:type="dxa"/>
              <w:end w:w="90" w:type="dxa"/>
            </w:tcMar>
            <w:vAlign w:val="center"/>
          </w:tcPr>
          <w:p>
            <w:r>
              <w:rPr>
                <w:b/>
                <w:color w:val="FFFFFF"/>
                <w:sz w:val="14"/>
              </w:rPr>
              <w:t>Likely cause</w:t>
            </w:r>
          </w:p>
        </w:tc>
        <w:tc>
          <w:tcPr>
            <w:tcW w:type="dxa" w:w="3096"/>
            <w:shd w:fill="176B87"/>
            <w:tcMar>
              <w:top w:w="70" w:type="dxa"/>
              <w:start w:w="90" w:type="dxa"/>
              <w:bottom w:w="70" w:type="dxa"/>
              <w:end w:w="90" w:type="dxa"/>
            </w:tcMar>
            <w:vAlign w:val="center"/>
          </w:tcPr>
          <w:p>
            <w:r>
              <w:rPr>
                <w:b/>
                <w:color w:val="FFFFFF"/>
                <w:sz w:val="14"/>
              </w:rPr>
              <w:t>Corrective action</w:t>
            </w:r>
          </w:p>
        </w:tc>
        <w:tc>
          <w:tcPr>
            <w:tcW w:type="dxa" w:w="2232"/>
            <w:shd w:fill="176B87"/>
            <w:tcMar>
              <w:top w:w="70" w:type="dxa"/>
              <w:start w:w="90" w:type="dxa"/>
              <w:bottom w:w="70" w:type="dxa"/>
              <w:end w:w="90" w:type="dxa"/>
            </w:tcMar>
            <w:vAlign w:val="center"/>
          </w:tcPr>
          <w:p>
            <w:r>
              <w:rPr>
                <w:b/>
                <w:color w:val="FFFFFF"/>
                <w:sz w:val="14"/>
              </w:rPr>
              <w:t>Validation evidence</w:t>
            </w:r>
          </w:p>
        </w:tc>
      </w:tr>
      <w:tr>
        <w:trPr>
          <w:cantSplit/>
        </w:trPr>
        <w:tc>
          <w:tcPr>
            <w:tcW w:type="dxa" w:w="1944"/>
            <w:tcMar>
              <w:top w:w="70" w:type="dxa"/>
              <w:start w:w="90" w:type="dxa"/>
              <w:bottom w:w="70" w:type="dxa"/>
              <w:end w:w="90" w:type="dxa"/>
            </w:tcMar>
            <w:vAlign w:val="top"/>
          </w:tcPr>
          <w:p>
            <w:r>
              <w:rPr>
                <w:sz w:val="14"/>
              </w:rPr>
              <w:t>Unpatched application library</w:t>
            </w:r>
          </w:p>
        </w:tc>
        <w:tc>
          <w:tcPr>
            <w:tcW w:type="dxa" w:w="2376"/>
            <w:tcMar>
              <w:top w:w="70" w:type="dxa"/>
              <w:start w:w="90" w:type="dxa"/>
              <w:bottom w:w="70" w:type="dxa"/>
              <w:end w:w="90" w:type="dxa"/>
            </w:tcMar>
            <w:vAlign w:val="top"/>
          </w:tcPr>
          <w:p>
            <w:r>
              <w:rPr>
                <w:sz w:val="14"/>
              </w:rPr>
              <w:t>Team assumed PaaS patches all software</w:t>
            </w:r>
          </w:p>
        </w:tc>
        <w:tc>
          <w:tcPr>
            <w:tcW w:type="dxa" w:w="3096"/>
            <w:tcMar>
              <w:top w:w="70" w:type="dxa"/>
              <w:start w:w="90" w:type="dxa"/>
              <w:bottom w:w="70" w:type="dxa"/>
              <w:end w:w="90" w:type="dxa"/>
            </w:tcMar>
            <w:vAlign w:val="top"/>
          </w:tcPr>
          <w:p>
            <w:r>
              <w:rPr>
                <w:sz w:val="14"/>
              </w:rPr>
              <w:t>Map managed boundary and add dependency lifecycle</w:t>
            </w:r>
          </w:p>
        </w:tc>
        <w:tc>
          <w:tcPr>
            <w:tcW w:type="dxa" w:w="2232"/>
            <w:tcMar>
              <w:top w:w="70" w:type="dxa"/>
              <w:start w:w="90" w:type="dxa"/>
              <w:bottom w:w="70" w:type="dxa"/>
              <w:end w:w="90" w:type="dxa"/>
            </w:tcMar>
            <w:vAlign w:val="top"/>
          </w:tcPr>
          <w:p>
            <w:r>
              <w:rPr>
                <w:sz w:val="14"/>
              </w:rPr>
              <w:t>SBOM and patch evidence pass</w:t>
            </w:r>
          </w:p>
        </w:tc>
      </w:tr>
      <w:tr>
        <w:trPr>
          <w:cantSplit/>
        </w:trPr>
        <w:tc>
          <w:tcPr>
            <w:tcW w:type="dxa" w:w="1944"/>
            <w:tcMar>
              <w:top w:w="70" w:type="dxa"/>
              <w:start w:w="90" w:type="dxa"/>
              <w:bottom w:w="70" w:type="dxa"/>
              <w:end w:w="90" w:type="dxa"/>
            </w:tcMar>
            <w:vAlign w:val="top"/>
          </w:tcPr>
          <w:p>
            <w:r>
              <w:rPr>
                <w:sz w:val="14"/>
              </w:rPr>
              <w:t>Regional service healthy, app down</w:t>
            </w:r>
          </w:p>
        </w:tc>
        <w:tc>
          <w:tcPr>
            <w:tcW w:type="dxa" w:w="2376"/>
            <w:tcMar>
              <w:top w:w="70" w:type="dxa"/>
              <w:start w:w="90" w:type="dxa"/>
              <w:bottom w:w="70" w:type="dxa"/>
              <w:end w:w="90" w:type="dxa"/>
            </w:tcMar>
            <w:vAlign w:val="top"/>
          </w:tcPr>
          <w:p>
            <w:r>
              <w:rPr>
                <w:sz w:val="14"/>
              </w:rPr>
              <w:t>Application uses one zone or one dependency</w:t>
            </w:r>
          </w:p>
        </w:tc>
        <w:tc>
          <w:tcPr>
            <w:tcW w:type="dxa" w:w="3096"/>
            <w:tcMar>
              <w:top w:w="70" w:type="dxa"/>
              <w:start w:w="90" w:type="dxa"/>
              <w:bottom w:w="70" w:type="dxa"/>
              <w:end w:w="90" w:type="dxa"/>
            </w:tcMar>
            <w:vAlign w:val="top"/>
          </w:tcPr>
          <w:p>
            <w:r>
              <w:rPr>
                <w:sz w:val="14"/>
              </w:rPr>
              <w:t>Redesign failure domains and test failover</w:t>
            </w:r>
          </w:p>
        </w:tc>
        <w:tc>
          <w:tcPr>
            <w:tcW w:type="dxa" w:w="2232"/>
            <w:tcMar>
              <w:top w:w="70" w:type="dxa"/>
              <w:start w:w="90" w:type="dxa"/>
              <w:bottom w:w="70" w:type="dxa"/>
              <w:end w:w="90" w:type="dxa"/>
            </w:tcMar>
            <w:vAlign w:val="top"/>
          </w:tcPr>
          <w:p>
            <w:r>
              <w:rPr>
                <w:sz w:val="14"/>
              </w:rPr>
              <w:t>User path survives zone exercise</w:t>
            </w:r>
          </w:p>
        </w:tc>
      </w:tr>
      <w:tr>
        <w:trPr>
          <w:cantSplit/>
        </w:trPr>
        <w:tc>
          <w:tcPr>
            <w:tcW w:type="dxa" w:w="1944"/>
            <w:tcMar>
              <w:top w:w="70" w:type="dxa"/>
              <w:start w:w="90" w:type="dxa"/>
              <w:bottom w:w="70" w:type="dxa"/>
              <w:end w:w="90" w:type="dxa"/>
            </w:tcMar>
            <w:vAlign w:val="top"/>
          </w:tcPr>
          <w:p>
            <w:r>
              <w:rPr>
                <w:sz w:val="14"/>
              </w:rPr>
              <w:t>Restore unavailable</w:t>
            </w:r>
          </w:p>
        </w:tc>
        <w:tc>
          <w:tcPr>
            <w:tcW w:type="dxa" w:w="2376"/>
            <w:tcMar>
              <w:top w:w="70" w:type="dxa"/>
              <w:start w:w="90" w:type="dxa"/>
              <w:bottom w:w="70" w:type="dxa"/>
              <w:end w:w="90" w:type="dxa"/>
            </w:tcMar>
            <w:vAlign w:val="top"/>
          </w:tcPr>
          <w:p>
            <w:r>
              <w:rPr>
                <w:sz w:val="14"/>
              </w:rPr>
              <w:t>Backups enabled but never validated</w:t>
            </w:r>
          </w:p>
        </w:tc>
        <w:tc>
          <w:tcPr>
            <w:tcW w:type="dxa" w:w="3096"/>
            <w:tcMar>
              <w:top w:w="70" w:type="dxa"/>
              <w:start w:w="90" w:type="dxa"/>
              <w:bottom w:w="70" w:type="dxa"/>
              <w:end w:w="90" w:type="dxa"/>
            </w:tcMar>
            <w:vAlign w:val="top"/>
          </w:tcPr>
          <w:p>
            <w:r>
              <w:rPr>
                <w:sz w:val="14"/>
              </w:rPr>
              <w:t>Perform scheduled restore and integrity tests</w:t>
            </w:r>
          </w:p>
        </w:tc>
        <w:tc>
          <w:tcPr>
            <w:tcW w:type="dxa" w:w="2232"/>
            <w:tcMar>
              <w:top w:w="70" w:type="dxa"/>
              <w:start w:w="90" w:type="dxa"/>
              <w:bottom w:w="70" w:type="dxa"/>
              <w:end w:w="90" w:type="dxa"/>
            </w:tcMar>
            <w:vAlign w:val="top"/>
          </w:tcPr>
          <w:p>
            <w:r>
              <w:rPr>
                <w:sz w:val="14"/>
              </w:rPr>
              <w:t>RTO/RPO evidence recorded</w:t>
            </w:r>
          </w:p>
        </w:tc>
      </w:tr>
      <w:tr>
        <w:trPr>
          <w:cantSplit/>
        </w:trPr>
        <w:tc>
          <w:tcPr>
            <w:tcW w:type="dxa" w:w="1944"/>
            <w:tcMar>
              <w:top w:w="70" w:type="dxa"/>
              <w:start w:w="90" w:type="dxa"/>
              <w:bottom w:w="70" w:type="dxa"/>
              <w:end w:w="90" w:type="dxa"/>
            </w:tcMar>
            <w:vAlign w:val="top"/>
          </w:tcPr>
          <w:p>
            <w:r>
              <w:rPr>
                <w:sz w:val="14"/>
              </w:rPr>
              <w:t>Quota causes outage</w:t>
            </w:r>
          </w:p>
        </w:tc>
        <w:tc>
          <w:tcPr>
            <w:tcW w:type="dxa" w:w="2376"/>
            <w:tcMar>
              <w:top w:w="70" w:type="dxa"/>
              <w:start w:w="90" w:type="dxa"/>
              <w:bottom w:w="70" w:type="dxa"/>
              <w:end w:w="90" w:type="dxa"/>
            </w:tcMar>
            <w:vAlign w:val="top"/>
          </w:tcPr>
          <w:p>
            <w:r>
              <w:rPr>
                <w:sz w:val="14"/>
              </w:rPr>
              <w:t>Limits absent from capacity model</w:t>
            </w:r>
          </w:p>
        </w:tc>
        <w:tc>
          <w:tcPr>
            <w:tcW w:type="dxa" w:w="3096"/>
            <w:tcMar>
              <w:top w:w="70" w:type="dxa"/>
              <w:start w:w="90" w:type="dxa"/>
              <w:bottom w:w="70" w:type="dxa"/>
              <w:end w:w="90" w:type="dxa"/>
            </w:tcMar>
            <w:vAlign w:val="top"/>
          </w:tcPr>
          <w:p>
            <w:r>
              <w:rPr>
                <w:sz w:val="14"/>
              </w:rPr>
              <w:t>Inventory quotas, alarms and increase workflow</w:t>
            </w:r>
          </w:p>
        </w:tc>
        <w:tc>
          <w:tcPr>
            <w:tcW w:type="dxa" w:w="2232"/>
            <w:tcMar>
              <w:top w:w="70" w:type="dxa"/>
              <w:start w:w="90" w:type="dxa"/>
              <w:bottom w:w="70" w:type="dxa"/>
              <w:end w:w="90" w:type="dxa"/>
            </w:tcMar>
            <w:vAlign w:val="top"/>
          </w:tcPr>
          <w:p>
            <w:r>
              <w:rPr>
                <w:sz w:val="14"/>
              </w:rPr>
              <w:t>Load test stays below safe headroom</w:t>
            </w:r>
          </w:p>
        </w:tc>
      </w:tr>
    </w:tbl>
    <w:p>
      <w:pPr>
        <w:pStyle w:val="Heading2"/>
        <w:keepNext/>
      </w:pPr>
      <w:r>
        <w:t>Hands-on Lab 2: Build a Workload Responsibility and Failure-Boundary Matrix</w:t>
      </w:r>
    </w:p>
    <w:p>
      <w:pPr>
        <w:pStyle w:val="Heading3"/>
        <w:keepNext/>
      </w:pPr>
      <w:r>
        <w:t>Prerequisites</w:t>
      </w:r>
    </w:p>
    <w:p>
      <w:pPr>
        <w:pStyle w:val="ListBullet"/>
      </w:pPr>
      <w:r>
        <w:t>A sample three-tier web service using compute, database, object storage and identity.</w:t>
      </w:r>
    </w:p>
    <w:p>
      <w:pPr>
        <w:pStyle w:val="ListBullet"/>
      </w:pPr>
      <w:r>
        <w:t>Official provider responsibility and SLA documentation.</w:t>
      </w:r>
    </w:p>
    <w:p>
      <w:pPr>
        <w:pStyle w:val="Heading3"/>
        <w:keepNext/>
      </w:pPr>
      <w:r>
        <w:t>Implementation</w:t>
      </w:r>
    </w:p>
    <w:p>
      <w:pPr>
        <w:ind w:left="360" w:hanging="360"/>
      </w:pPr>
      <w:r>
        <w:rPr>
          <w:b/>
        </w:rPr>
        <w:t xml:space="preserve">1. </w:t>
      </w:r>
      <w:r>
        <w:t>List every infrastructure, platform, application, data and operational layer.</w:t>
      </w:r>
    </w:p>
    <w:p>
      <w:pPr>
        <w:ind w:left="360" w:hanging="360"/>
      </w:pPr>
      <w:r>
        <w:rPr>
          <w:b/>
        </w:rPr>
        <w:t xml:space="preserve">2. </w:t>
      </w:r>
      <w:r>
        <w:t>Assign provider, customer or shared responsibility for security and reliability tasks.</w:t>
      </w:r>
    </w:p>
    <w:p>
      <w:pPr>
        <w:ind w:left="360" w:hanging="360"/>
      </w:pPr>
      <w:r>
        <w:rPr>
          <w:b/>
        </w:rPr>
        <w:t xml:space="preserve">3. </w:t>
      </w:r>
      <w:r>
        <w:t>Map zone, region, control-plane, quota and dependency failure boundaries.</w:t>
      </w:r>
    </w:p>
    <w:p>
      <w:pPr>
        <w:ind w:left="360" w:hanging="360"/>
      </w:pPr>
      <w:r>
        <w:rPr>
          <w:b/>
        </w:rPr>
        <w:t xml:space="preserve">4. </w:t>
      </w:r>
      <w:r>
        <w:t>Identify required controls and evidence for each customer-owned task.</w:t>
      </w:r>
    </w:p>
    <w:p>
      <w:pPr>
        <w:ind w:left="360" w:hanging="360"/>
      </w:pPr>
      <w:r>
        <w:rPr>
          <w:b/>
        </w:rPr>
        <w:t xml:space="preserve">5. </w:t>
      </w:r>
      <w:r>
        <w:t>Run tabletop failures for identity, DNS, region, backup and provider API unavailability.</w:t>
      </w:r>
    </w:p>
    <w:p>
      <w:pPr>
        <w:ind w:left="360" w:hanging="360"/>
      </w:pPr>
      <w:r>
        <w:rPr>
          <w:b/>
        </w:rPr>
        <w:t xml:space="preserve">6. </w:t>
      </w:r>
      <w:r>
        <w:t>Convert gaps into backlog items with owner and due date.</w:t>
      </w:r>
    </w:p>
    <w:p>
      <w:pPr>
        <w:pStyle w:val="Heading3"/>
        <w:keepNext/>
      </w:pPr>
      <w:r>
        <w:t>Validation Evidence</w:t>
      </w:r>
    </w:p>
    <w:p>
      <w:pPr>
        <w:pStyle w:val="ListBullet"/>
      </w:pPr>
      <w:r>
        <w:t>Signed responsibility matrix.</w:t>
      </w:r>
    </w:p>
    <w:p>
      <w:pPr>
        <w:pStyle w:val="ListBullet"/>
      </w:pPr>
      <w:r>
        <w:t>Failure-boundary diagram.</w:t>
      </w:r>
    </w:p>
    <w:p>
      <w:pPr>
        <w:pStyle w:val="ListBullet"/>
      </w:pPr>
      <w:r>
        <w:t>Control-to-evidence mapping and remediation backlog.</w:t>
      </w:r>
    </w:p>
    <w:p>
      <w:pPr>
        <w:pStyle w:val="Heading3"/>
        <w:keepNext/>
      </w:pPr>
      <w:r>
        <w:t>Cleanup</w:t>
      </w:r>
    </w:p>
    <w:p>
      <w:pPr>
        <w:pStyle w:val="ListBullet"/>
      </w:pPr>
      <w:r>
        <w:t>Remove copied account identifiers and contract-sensitive information.</w:t>
      </w:r>
    </w:p>
    <w:p>
      <w:pPr>
        <w:pStyle w:val="ListBullet"/>
      </w:pPr>
      <w:r>
        <w:t>Store only public SLA references and sanitized assumptions.</w:t>
      </w:r>
    </w:p>
    <w:p>
      <w:pPr>
        <w:pStyle w:val="Heading2"/>
        <w:keepNext/>
      </w:pPr>
      <w:r>
        <w:t>Interview Questions and Model Answers</w:t>
      </w:r>
    </w:p>
    <w:p>
      <w:r>
        <w:rPr>
          <w:b/>
        </w:rPr>
        <w:t>1. What does shared responsibility mean?</w:t>
      </w:r>
    </w:p>
    <w:p>
      <w:pPr>
        <w:ind w:left="259"/>
      </w:pPr>
      <w:r>
        <w:t>The provider and customer each operate defined parts of the service stack; the customer remains accountable for how services are configured and used.</w:t>
      </w:r>
    </w:p>
    <w:p>
      <w:r>
        <w:rPr>
          <w:b/>
        </w:rPr>
        <w:t>2. Does a provider SLA equal an application SLO?</w:t>
      </w:r>
    </w:p>
    <w:p>
      <w:pPr>
        <w:ind w:left="259"/>
      </w:pPr>
      <w:r>
        <w:t>No. The application depends on architecture, multiple services, customer configuration and user journeys, so its SLO must be measured independently.</w:t>
      </w:r>
    </w:p>
    <w:p>
      <w:r>
        <w:rPr>
          <w:b/>
        </w:rPr>
        <w:t>3. Why separate control plane from data plane?</w:t>
      </w:r>
    </w:p>
    <w:p>
      <w:pPr>
        <w:ind w:left="259"/>
      </w:pPr>
      <w:r>
        <w:t>They have different availability, permissions, blast radius and recovery behavior; a control-plane outage may block changes while existing traffic continues.</w:t>
      </w:r>
    </w:p>
    <w:p>
      <w:r>
        <w:rPr>
          <w:b/>
        </w:rPr>
        <w:t>4. What is the most commonly retained responsibility?</w:t>
      </w:r>
    </w:p>
    <w:p>
      <w:pPr>
        <w:ind w:left="259"/>
      </w:pPr>
      <w:r>
        <w:t>Identity, access, data protection decisions, configuration and workload architecture remain customer responsibilities across service models.</w:t>
      </w:r>
    </w:p>
    <w:p>
      <w:pPr>
        <w:pStyle w:val="Heading2"/>
        <w:keepNext/>
      </w:pPr>
      <w:r>
        <w:t>Chapter Summary</w:t>
      </w:r>
    </w:p>
    <w:p>
      <w:pPr>
        <w:pStyle w:val="ListBullet"/>
      </w:pPr>
      <w:r>
        <w:t>Responsibility changes with the selected service.</w:t>
      </w:r>
    </w:p>
    <w:p>
      <w:pPr>
        <w:pStyle w:val="ListBullet"/>
      </w:pPr>
      <w:r>
        <w:t>Reliability is shared as well as security.</w:t>
      </w:r>
    </w:p>
    <w:p>
      <w:pPr>
        <w:pStyle w:val="ListBullet"/>
      </w:pPr>
      <w:r>
        <w:t>Customer evidence must prove retained controls.</w:t>
      </w:r>
    </w:p>
    <w:p>
      <w:pPr>
        <w:pStyle w:val="ListBullet"/>
      </w:pPr>
      <w:r>
        <w:t>Managed services still require architecture and recovery engineering.</w:t>
      </w:r>
    </w:p>
    <w:p>
      <w:r>
        <w:br w:type="page"/>
      </w:r>
    </w:p>
    <w:p>
      <w:pPr>
        <w:jc w:val="center"/>
      </w:pPr>
      <w:r>
        <w:rPr>
          <w:b/>
          <w:color w:val="14919B"/>
          <w:sz w:val="17"/>
        </w:rPr>
        <w:t>VOLUME 12A  |  CHAPTER 3</w:t>
      </w:r>
    </w:p>
    <w:p>
      <w:pPr>
        <w:pStyle w:val="Heading1"/>
        <w:jc w:val="center"/>
      </w:pPr>
      <w:r>
        <w:t>Chapter 3: Well-Architected Frameworks and Architecture Decision Records</w:t>
      </w:r>
    </w:p>
    <w:p>
      <w:pPr>
        <w:jc w:val="center"/>
      </w:pPr>
      <w:r>
        <w:rPr>
          <w:i/>
          <w:color w:val="4B5563"/>
          <w:sz w:val="20"/>
        </w:rPr>
        <w:t>Using provider guidance without turning reviews into check-box compliance</w:t>
      </w:r>
    </w:p>
    <w:tbl>
      <w:tblPr>
        <w:tblW w:type="auto" w:w="0"/>
        <w:jc w:val="center"/>
        <w:tblLook w:firstColumn="1" w:firstRow="1" w:lastColumn="0" w:lastRow="0" w:noHBand="0" w:noVBand="1" w:val="04A0"/>
      </w:tblPr>
      <w:tblGrid>
        <w:gridCol w:w="10166"/>
      </w:tblGrid>
      <w:tr>
        <w:trPr>
          <w:cantSplit/>
        </w:trPr>
        <w:tc>
          <w:tcPr>
            <w:tcW w:type="dxa" w:w="10166"/>
            <w:shd w:fill="E8F2F5"/>
            <w:tcMar>
              <w:top w:w="110" w:type="dxa"/>
              <w:start w:w="140" w:type="dxa"/>
              <w:bottom w:w="110" w:type="dxa"/>
              <w:end w:w="140" w:type="dxa"/>
            </w:tcMar>
          </w:tcPr>
          <w:p>
            <w:pPr>
              <w:spacing w:after="0"/>
            </w:pPr>
            <w:r>
              <w:rPr>
                <w:b/>
                <w:color w:val="176B87"/>
              </w:rPr>
              <w:t>Why this chapter matters: AWS, Azure and Google Cloud publish well-architected guidance, but teams gain value only when recommendations are translated into workload risks, decisions, evidence and prioritized remediation.</w:t>
            </w:r>
          </w:p>
        </w:tc>
      </w:tr>
    </w:tbl>
    <w:p>
      <w:pPr>
        <w:spacing w:after="0"/>
      </w:pPr>
    </w:p>
    <w:p>
      <w:pPr>
        <w:pStyle w:val="Heading2"/>
        <w:keepNext/>
      </w:pPr>
      <w:r>
        <w:t>Learning Objectives</w:t>
      </w:r>
    </w:p>
    <w:p>
      <w:pPr>
        <w:pStyle w:val="ListBullet"/>
      </w:pPr>
      <w:r>
        <w:t>Compare the major pillars across AWS, Azure and Google Cloud frameworks.</w:t>
      </w:r>
    </w:p>
    <w:p>
      <w:pPr>
        <w:pStyle w:val="ListBullet"/>
      </w:pPr>
      <w:r>
        <w:t>Perform risk-based architecture reviews.</w:t>
      </w:r>
    </w:p>
    <w:p>
      <w:pPr>
        <w:pStyle w:val="ListBullet"/>
      </w:pPr>
      <w:r>
        <w:t>Write architecture decision records with alternatives and consequences.</w:t>
      </w:r>
    </w:p>
    <w:p>
      <w:pPr>
        <w:pStyle w:val="ListBullet"/>
      </w:pPr>
      <w:r>
        <w:t>Prioritize remediation using impact, likelihood, effort and dependency.</w:t>
      </w:r>
    </w:p>
    <w:p>
      <w:pPr>
        <w:pStyle w:val="ListBullet"/>
      </w:pPr>
      <w:r>
        <w:t>Establish recurring review and exception governance.</w:t>
      </w:r>
    </w:p>
    <w:p>
      <w:pPr>
        <w:pStyle w:val="Heading2"/>
        <w:keepNext/>
      </w:pPr>
      <w:r>
        <w:t>Core Concepts</w:t>
      </w:r>
    </w:p>
    <w:p>
      <w:pPr>
        <w:pStyle w:val="Heading3"/>
        <w:keepNext/>
      </w:pPr>
      <w:r>
        <w:t>Common architecture qualities</w:t>
      </w:r>
    </w:p>
    <w:p>
      <w:pPr>
        <w:keepNext w:val="0"/>
      </w:pPr>
      <w:r>
        <w:t>The frameworks consistently emphasize reliability, security, operational excellence, performance and cost. AWS and Google Cloud also explicitly include sustainability, while naming and grouping differ.</w:t>
      </w:r>
    </w:p>
    <w:p>
      <w:pPr>
        <w:pStyle w:val="Heading3"/>
        <w:keepNext/>
      </w:pPr>
      <w:r>
        <w:t>Review, not certification</w:t>
      </w:r>
    </w:p>
    <w:p>
      <w:pPr>
        <w:keepNext w:val="0"/>
      </w:pPr>
      <w:r>
        <w:t>A well-architected review identifies material risk and improvement opportunities. It is not a permanent badge, because workload context, service features, threats and business objectives change.</w:t>
      </w:r>
    </w:p>
    <w:p>
      <w:pPr>
        <w:pStyle w:val="Heading3"/>
        <w:keepNext/>
      </w:pPr>
      <w:r>
        <w:t>Decision records</w:t>
      </w:r>
    </w:p>
    <w:p>
      <w:pPr>
        <w:keepNext w:val="0"/>
      </w:pPr>
      <w:r>
        <w:t>An ADR captures context, options, decision, rationale, consequences, owners, evidence and review triggers. It prevents repeated debate and makes hidden assumptions inspectable.</w:t>
      </w:r>
    </w:p>
    <w:p>
      <w:pPr>
        <w:pStyle w:val="Heading3"/>
        <w:keepNext/>
      </w:pPr>
      <w:r>
        <w:t>Remediation portfolio</w:t>
      </w:r>
    </w:p>
    <w:p>
      <w:pPr>
        <w:keepNext w:val="0"/>
      </w:pPr>
      <w:r>
        <w:t>Findings should enter a governed backlog with risk, owner, target date, dependency and acceptance criteria. High-risk findings require explicit acceptance when not immediately remediated.</w:t>
      </w:r>
    </w:p>
    <w:p>
      <w:pPr>
        <w:pStyle w:val="Heading2"/>
        <w:keepNext/>
      </w:pPr>
      <w:r>
        <w:t>Architecture and Operating Decisions</w:t>
      </w:r>
    </w:p>
    <w:p>
      <w:pPr>
        <w:pStyle w:val="ListBullet"/>
      </w:pPr>
      <w:r>
        <w:t>Use a cross-cloud review model with provider-specific supplements.</w:t>
      </w:r>
    </w:p>
    <w:p>
      <w:pPr>
        <w:pStyle w:val="ListBullet"/>
      </w:pPr>
      <w:r>
        <w:t>Review critical workloads before launch and after material changes or incidents.</w:t>
      </w:r>
    </w:p>
    <w:p>
      <w:pPr>
        <w:pStyle w:val="ListBullet"/>
      </w:pPr>
      <w:r>
        <w:t>Do not score architecture quality using a single percentage without preserving finding detail.</w:t>
      </w:r>
    </w:p>
    <w:p>
      <w:pPr>
        <w:pStyle w:val="ListBullet"/>
      </w:pPr>
      <w:r>
        <w:t>Link each finding to evidence and a remediation owner.</w:t>
      </w:r>
    </w:p>
    <w:p>
      <w:pPr>
        <w:pStyle w:val="ListBullet"/>
      </w:pPr>
      <w:r>
        <w:t>Record risk acceptance with expiry and executive accountability.</w:t>
      </w:r>
    </w:p>
    <w:p>
      <w:pPr>
        <w:pStyle w:val="Heading2"/>
        <w:keepNext/>
      </w:pPr>
      <w:r>
        <w:t>Reference Configuration or Decision Pattern</w:t>
      </w:r>
    </w:p>
    <w:tbl>
      <w:tblPr>
        <w:tblW w:type="auto" w:w="0"/>
        <w:jc w:val="center"/>
        <w:tblLook w:firstColumn="1" w:firstRow="1" w:lastColumn="0" w:lastRow="0" w:noHBand="0" w:noVBand="1" w:val="04A0"/>
      </w:tblPr>
      <w:tblGrid>
        <w:gridCol w:w="10166"/>
      </w:tblGrid>
      <w:tr>
        <w:trPr>
          <w:cantSplit/>
        </w:trPr>
        <w:tc>
          <w:tcPr>
            <w:tcW w:type="dxa" w:w="10166"/>
            <w:shd w:fill="F3F5F7"/>
            <w:tcMar>
              <w:top w:w="90" w:type="dxa"/>
              <w:start w:w="120" w:type="dxa"/>
              <w:bottom w:w="90" w:type="dxa"/>
              <w:end w:w="120" w:type="dxa"/>
            </w:tcMar>
          </w:tcPr>
          <w:p>
            <w:pPr>
              <w:spacing w:after="0" w:line="240" w:lineRule="auto"/>
            </w:pPr>
            <w:r>
              <w:rPr>
                <w:rFonts w:ascii="DejaVu Sans Mono" w:hAnsi="DejaVu Sans Mono" w:eastAsia="DejaVu Sans Mono"/>
                <w:color w:val="1F2933"/>
                <w:sz w:val="14"/>
              </w:rPr>
              <w:t>adr: ADR-012</w:t>
              <w:br/>
              <w:t>title: Select managed Kubernetes for customer platform</w:t>
              <w:br/>
              <w:t>status: accepted</w:t>
              <w:br/>
              <w:t>context:</w:t>
              <w:br/>
              <w:t xml:space="preserve">  - 25 services with variable demand</w:t>
              <w:br/>
              <w:t xml:space="preserve">  - team has Kubernetes operational experience</w:t>
              <w:br/>
              <w:t>options:</w:t>
              <w:br/>
              <w:t xml:space="preserve">  - virtual-machines</w:t>
              <w:br/>
              <w:t xml:space="preserve">  - managed-kubernetes</w:t>
              <w:br/>
              <w:t xml:space="preserve">  - serverless-containers</w:t>
              <w:br/>
              <w:t>decision: managed-kubernetes</w:t>
              <w:br/>
              <w:t>reasons:</w:t>
              <w:br/>
              <w:t xml:space="preserve">  - workload scheduling and portability requirements</w:t>
              <w:br/>
              <w:t xml:space="preserve">  - existing delivery and policy ecosystem</w:t>
              <w:br/>
              <w:t>consequences:</w:t>
              <w:br/>
              <w:t xml:space="preserve">  positive: [standardized-runtime, autoscaling]</w:t>
              <w:br/>
              <w:t xml:space="preserve">  negative: [cluster-operations, upgrade-burden]</w:t>
              <w:br/>
              <w:t>controls:</w:t>
              <w:br/>
              <w:t xml:space="preserve">  - multi_zone_nodes</w:t>
              <w:br/>
              <w:t xml:space="preserve">  - workload_identity</w:t>
              <w:br/>
              <w:t xml:space="preserve">  - policy_as_code</w:t>
              <w:br/>
              <w:t>review_triggers:</w:t>
              <w:br/>
              <w:t xml:space="preserve">  - annual_review</w:t>
              <w:br/>
              <w:t xml:space="preserve">  - major_provider_service_change</w:t>
              <w:br/>
              <w:t xml:space="preserve">  - two_sev1_incidents</w:t>
            </w:r>
          </w:p>
        </w:tc>
      </w:tr>
    </w:tbl>
    <w:p>
      <w:r>
        <w:rPr>
          <w:b/>
        </w:rPr>
        <w:t xml:space="preserve">Interpretation: </w:t>
      </w:r>
      <w:r>
        <w:t>An ADR is valuable because it preserves why a decision was made and what would cause it to be reconsidered.</w:t>
      </w:r>
    </w:p>
    <w:p>
      <w:pPr>
        <w:pStyle w:val="Heading2"/>
        <w:keepNext/>
      </w:pPr>
      <w:r>
        <w:t>Production Readiness Checklist</w:t>
      </w:r>
    </w:p>
    <w:p>
      <w:pPr>
        <w:ind w:left="259" w:hanging="259"/>
      </w:pPr>
      <w:r>
        <w:t>☐ Critical workloads have current architecture diagrams and ADRs.</w:t>
      </w:r>
    </w:p>
    <w:p>
      <w:pPr>
        <w:ind w:left="259" w:hanging="259"/>
      </w:pPr>
      <w:r>
        <w:t>☐ Reviews cover all required qualities and provider-specific risks.</w:t>
      </w:r>
    </w:p>
    <w:p>
      <w:pPr>
        <w:ind w:left="259" w:hanging="259"/>
      </w:pPr>
      <w:r>
        <w:t>☐ Findings include impact, evidence, owner and acceptance criteria.</w:t>
      </w:r>
    </w:p>
    <w:p>
      <w:pPr>
        <w:ind w:left="259" w:hanging="259"/>
      </w:pPr>
      <w:r>
        <w:t>☐ Risk exceptions expire and are periodically re-approved or closed.</w:t>
      </w:r>
    </w:p>
    <w:p>
      <w:pPr>
        <w:ind w:left="259" w:hanging="259"/>
      </w:pPr>
      <w:r>
        <w:t>☐ Incident and cost findings feed back into architecture reviews.</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70" w:type="dxa"/>
              <w:start w:w="90" w:type="dxa"/>
              <w:bottom w:w="70" w:type="dxa"/>
              <w:end w:w="90" w:type="dxa"/>
            </w:tcMar>
            <w:vAlign w:val="center"/>
          </w:tcPr>
          <w:p>
            <w:r>
              <w:rPr>
                <w:b/>
                <w:color w:val="FFFFFF"/>
                <w:sz w:val="14"/>
              </w:rPr>
              <w:t>Symptom</w:t>
            </w:r>
          </w:p>
        </w:tc>
        <w:tc>
          <w:tcPr>
            <w:tcW w:type="dxa" w:w="2376"/>
            <w:shd w:fill="176B87"/>
            <w:tcMar>
              <w:top w:w="70" w:type="dxa"/>
              <w:start w:w="90" w:type="dxa"/>
              <w:bottom w:w="70" w:type="dxa"/>
              <w:end w:w="90" w:type="dxa"/>
            </w:tcMar>
            <w:vAlign w:val="center"/>
          </w:tcPr>
          <w:p>
            <w:r>
              <w:rPr>
                <w:b/>
                <w:color w:val="FFFFFF"/>
                <w:sz w:val="14"/>
              </w:rPr>
              <w:t>Likely cause</w:t>
            </w:r>
          </w:p>
        </w:tc>
        <w:tc>
          <w:tcPr>
            <w:tcW w:type="dxa" w:w="3096"/>
            <w:shd w:fill="176B87"/>
            <w:tcMar>
              <w:top w:w="70" w:type="dxa"/>
              <w:start w:w="90" w:type="dxa"/>
              <w:bottom w:w="70" w:type="dxa"/>
              <w:end w:w="90" w:type="dxa"/>
            </w:tcMar>
            <w:vAlign w:val="center"/>
          </w:tcPr>
          <w:p>
            <w:r>
              <w:rPr>
                <w:b/>
                <w:color w:val="FFFFFF"/>
                <w:sz w:val="14"/>
              </w:rPr>
              <w:t>Corrective action</w:t>
            </w:r>
          </w:p>
        </w:tc>
        <w:tc>
          <w:tcPr>
            <w:tcW w:type="dxa" w:w="2232"/>
            <w:shd w:fill="176B87"/>
            <w:tcMar>
              <w:top w:w="70" w:type="dxa"/>
              <w:start w:w="90" w:type="dxa"/>
              <w:bottom w:w="70" w:type="dxa"/>
              <w:end w:w="90" w:type="dxa"/>
            </w:tcMar>
            <w:vAlign w:val="center"/>
          </w:tcPr>
          <w:p>
            <w:r>
              <w:rPr>
                <w:b/>
                <w:color w:val="FFFFFF"/>
                <w:sz w:val="14"/>
              </w:rPr>
              <w:t>Validation evidence</w:t>
            </w:r>
          </w:p>
        </w:tc>
      </w:tr>
      <w:tr>
        <w:trPr>
          <w:cantSplit/>
        </w:trPr>
        <w:tc>
          <w:tcPr>
            <w:tcW w:type="dxa" w:w="1944"/>
            <w:tcMar>
              <w:top w:w="70" w:type="dxa"/>
              <w:start w:w="90" w:type="dxa"/>
              <w:bottom w:w="70" w:type="dxa"/>
              <w:end w:w="90" w:type="dxa"/>
            </w:tcMar>
            <w:vAlign w:val="top"/>
          </w:tcPr>
          <w:p>
            <w:r>
              <w:rPr>
                <w:sz w:val="14"/>
              </w:rPr>
              <w:t>Review produces no change</w:t>
            </w:r>
          </w:p>
        </w:tc>
        <w:tc>
          <w:tcPr>
            <w:tcW w:type="dxa" w:w="2376"/>
            <w:tcMar>
              <w:top w:w="70" w:type="dxa"/>
              <w:start w:w="90" w:type="dxa"/>
              <w:bottom w:w="70" w:type="dxa"/>
              <w:end w:w="90" w:type="dxa"/>
            </w:tcMar>
            <w:vAlign w:val="top"/>
          </w:tcPr>
          <w:p>
            <w:r>
              <w:rPr>
                <w:sz w:val="14"/>
              </w:rPr>
              <w:t>Findings are generic or unowned</w:t>
            </w:r>
          </w:p>
        </w:tc>
        <w:tc>
          <w:tcPr>
            <w:tcW w:type="dxa" w:w="3096"/>
            <w:tcMar>
              <w:top w:w="70" w:type="dxa"/>
              <w:start w:w="90" w:type="dxa"/>
              <w:bottom w:w="70" w:type="dxa"/>
              <w:end w:w="90" w:type="dxa"/>
            </w:tcMar>
            <w:vAlign w:val="top"/>
          </w:tcPr>
          <w:p>
            <w:r>
              <w:rPr>
                <w:sz w:val="14"/>
              </w:rPr>
              <w:t>Convert each finding into measurable backlog item</w:t>
            </w:r>
          </w:p>
        </w:tc>
        <w:tc>
          <w:tcPr>
            <w:tcW w:type="dxa" w:w="2232"/>
            <w:tcMar>
              <w:top w:w="70" w:type="dxa"/>
              <w:start w:w="90" w:type="dxa"/>
              <w:bottom w:w="70" w:type="dxa"/>
              <w:end w:w="90" w:type="dxa"/>
            </w:tcMar>
            <w:vAlign w:val="top"/>
          </w:tcPr>
          <w:p>
            <w:r>
              <w:rPr>
                <w:sz w:val="14"/>
              </w:rPr>
              <w:t>Closure evidence accepted by reviewer</w:t>
            </w:r>
          </w:p>
        </w:tc>
      </w:tr>
      <w:tr>
        <w:trPr>
          <w:cantSplit/>
        </w:trPr>
        <w:tc>
          <w:tcPr>
            <w:tcW w:type="dxa" w:w="1944"/>
            <w:tcMar>
              <w:top w:w="70" w:type="dxa"/>
              <w:start w:w="90" w:type="dxa"/>
              <w:bottom w:w="70" w:type="dxa"/>
              <w:end w:w="90" w:type="dxa"/>
            </w:tcMar>
            <w:vAlign w:val="top"/>
          </w:tcPr>
          <w:p>
            <w:r>
              <w:rPr>
                <w:sz w:val="14"/>
              </w:rPr>
              <w:t>Teams game the score</w:t>
            </w:r>
          </w:p>
        </w:tc>
        <w:tc>
          <w:tcPr>
            <w:tcW w:type="dxa" w:w="2376"/>
            <w:tcMar>
              <w:top w:w="70" w:type="dxa"/>
              <w:start w:w="90" w:type="dxa"/>
              <w:bottom w:w="70" w:type="dxa"/>
              <w:end w:w="90" w:type="dxa"/>
            </w:tcMar>
            <w:vAlign w:val="top"/>
          </w:tcPr>
          <w:p>
            <w:r>
              <w:rPr>
                <w:sz w:val="14"/>
              </w:rPr>
              <w:t>Score rewarded over risk reduction</w:t>
            </w:r>
          </w:p>
        </w:tc>
        <w:tc>
          <w:tcPr>
            <w:tcW w:type="dxa" w:w="3096"/>
            <w:tcMar>
              <w:top w:w="70" w:type="dxa"/>
              <w:start w:w="90" w:type="dxa"/>
              <w:bottom w:w="70" w:type="dxa"/>
              <w:end w:w="90" w:type="dxa"/>
            </w:tcMar>
            <w:vAlign w:val="top"/>
          </w:tcPr>
          <w:p>
            <w:r>
              <w:rPr>
                <w:sz w:val="14"/>
              </w:rPr>
              <w:t>Report unresolved high-risk items separately</w:t>
            </w:r>
          </w:p>
        </w:tc>
        <w:tc>
          <w:tcPr>
            <w:tcW w:type="dxa" w:w="2232"/>
            <w:tcMar>
              <w:top w:w="70" w:type="dxa"/>
              <w:start w:w="90" w:type="dxa"/>
              <w:bottom w:w="70" w:type="dxa"/>
              <w:end w:w="90" w:type="dxa"/>
            </w:tcMar>
            <w:vAlign w:val="top"/>
          </w:tcPr>
          <w:p>
            <w:r>
              <w:rPr>
                <w:sz w:val="14"/>
              </w:rPr>
              <w:t>Leadership sees risk trend and ageing</w:t>
            </w:r>
          </w:p>
        </w:tc>
      </w:tr>
      <w:tr>
        <w:trPr>
          <w:cantSplit/>
        </w:trPr>
        <w:tc>
          <w:tcPr>
            <w:tcW w:type="dxa" w:w="1944"/>
            <w:tcMar>
              <w:top w:w="70" w:type="dxa"/>
              <w:start w:w="90" w:type="dxa"/>
              <w:bottom w:w="70" w:type="dxa"/>
              <w:end w:w="90" w:type="dxa"/>
            </w:tcMar>
            <w:vAlign w:val="top"/>
          </w:tcPr>
          <w:p>
            <w:r>
              <w:rPr>
                <w:sz w:val="14"/>
              </w:rPr>
              <w:t>Old ADRs mislead</w:t>
            </w:r>
          </w:p>
        </w:tc>
        <w:tc>
          <w:tcPr>
            <w:tcW w:type="dxa" w:w="2376"/>
            <w:tcMar>
              <w:top w:w="70" w:type="dxa"/>
              <w:start w:w="90" w:type="dxa"/>
              <w:bottom w:w="70" w:type="dxa"/>
              <w:end w:w="90" w:type="dxa"/>
            </w:tcMar>
            <w:vAlign w:val="top"/>
          </w:tcPr>
          <w:p>
            <w:r>
              <w:rPr>
                <w:sz w:val="14"/>
              </w:rPr>
              <w:t>No review trigger or status lifecycle</w:t>
            </w:r>
          </w:p>
        </w:tc>
        <w:tc>
          <w:tcPr>
            <w:tcW w:type="dxa" w:w="3096"/>
            <w:tcMar>
              <w:top w:w="70" w:type="dxa"/>
              <w:start w:w="90" w:type="dxa"/>
              <w:bottom w:w="70" w:type="dxa"/>
              <w:end w:w="90" w:type="dxa"/>
            </w:tcMar>
            <w:vAlign w:val="top"/>
          </w:tcPr>
          <w:p>
            <w:r>
              <w:rPr>
                <w:sz w:val="14"/>
              </w:rPr>
              <w:t>Add superseded/deprecated states and triggers</w:t>
            </w:r>
          </w:p>
        </w:tc>
        <w:tc>
          <w:tcPr>
            <w:tcW w:type="dxa" w:w="2232"/>
            <w:tcMar>
              <w:top w:w="70" w:type="dxa"/>
              <w:start w:w="90" w:type="dxa"/>
              <w:bottom w:w="70" w:type="dxa"/>
              <w:end w:w="90" w:type="dxa"/>
            </w:tcMar>
            <w:vAlign w:val="top"/>
          </w:tcPr>
          <w:p>
            <w:r>
              <w:rPr>
                <w:sz w:val="14"/>
              </w:rPr>
              <w:t>Current architecture links correct ADRs</w:t>
            </w:r>
          </w:p>
        </w:tc>
      </w:tr>
      <w:tr>
        <w:trPr>
          <w:cantSplit/>
        </w:trPr>
        <w:tc>
          <w:tcPr>
            <w:tcW w:type="dxa" w:w="1944"/>
            <w:tcMar>
              <w:top w:w="70" w:type="dxa"/>
              <w:start w:w="90" w:type="dxa"/>
              <w:bottom w:w="70" w:type="dxa"/>
              <w:end w:w="90" w:type="dxa"/>
            </w:tcMar>
            <w:vAlign w:val="top"/>
          </w:tcPr>
          <w:p>
            <w:r>
              <w:rPr>
                <w:sz w:val="14"/>
              </w:rPr>
              <w:t>Provider guidance conflicts</w:t>
            </w:r>
          </w:p>
        </w:tc>
        <w:tc>
          <w:tcPr>
            <w:tcW w:type="dxa" w:w="2376"/>
            <w:tcMar>
              <w:top w:w="70" w:type="dxa"/>
              <w:start w:w="90" w:type="dxa"/>
              <w:bottom w:w="70" w:type="dxa"/>
              <w:end w:w="90" w:type="dxa"/>
            </w:tcMar>
            <w:vAlign w:val="top"/>
          </w:tcPr>
          <w:p>
            <w:r>
              <w:rPr>
                <w:sz w:val="14"/>
              </w:rPr>
              <w:t>Context and trade-offs not documented</w:t>
            </w:r>
          </w:p>
        </w:tc>
        <w:tc>
          <w:tcPr>
            <w:tcW w:type="dxa" w:w="3096"/>
            <w:tcMar>
              <w:top w:w="70" w:type="dxa"/>
              <w:start w:w="90" w:type="dxa"/>
              <w:bottom w:w="70" w:type="dxa"/>
              <w:end w:w="90" w:type="dxa"/>
            </w:tcMar>
            <w:vAlign w:val="top"/>
          </w:tcPr>
          <w:p>
            <w:r>
              <w:rPr>
                <w:sz w:val="14"/>
              </w:rPr>
              <w:t>Record assumptions and choose based on workload goals</w:t>
            </w:r>
          </w:p>
        </w:tc>
        <w:tc>
          <w:tcPr>
            <w:tcW w:type="dxa" w:w="2232"/>
            <w:tcMar>
              <w:top w:w="70" w:type="dxa"/>
              <w:start w:w="90" w:type="dxa"/>
              <w:bottom w:w="70" w:type="dxa"/>
              <w:end w:w="90" w:type="dxa"/>
            </w:tcMar>
            <w:vAlign w:val="top"/>
          </w:tcPr>
          <w:p>
            <w:r>
              <w:rPr>
                <w:sz w:val="14"/>
              </w:rPr>
              <w:t>Decision has testable consequences</w:t>
            </w:r>
          </w:p>
        </w:tc>
      </w:tr>
    </w:tbl>
    <w:p>
      <w:pPr>
        <w:pStyle w:val="Heading2"/>
        <w:keepNext/>
      </w:pPr>
      <w:r>
        <w:t>Hands-on Lab 3: Perform a Cross-Cloud Well-Architected Review</w:t>
      </w:r>
    </w:p>
    <w:p>
      <w:pPr>
        <w:pStyle w:val="Heading3"/>
        <w:keepNext/>
      </w:pPr>
      <w:r>
        <w:t>Prerequisites</w:t>
      </w:r>
    </w:p>
    <w:p>
      <w:pPr>
        <w:pStyle w:val="ListBullet"/>
      </w:pPr>
      <w:r>
        <w:t>A sample workload architecture and business objectives.</w:t>
      </w:r>
    </w:p>
    <w:p>
      <w:pPr>
        <w:pStyle w:val="ListBullet"/>
      </w:pPr>
      <w:r>
        <w:t>Official AWS, Azure and Google Cloud framework documentation.</w:t>
      </w:r>
    </w:p>
    <w:p>
      <w:pPr>
        <w:pStyle w:val="Heading3"/>
        <w:keepNext/>
      </w:pPr>
      <w:r>
        <w:t>Implementation</w:t>
      </w:r>
    </w:p>
    <w:p>
      <w:pPr>
        <w:ind w:left="360" w:hanging="360"/>
      </w:pPr>
      <w:r>
        <w:rPr>
          <w:b/>
        </w:rPr>
        <w:t xml:space="preserve">1. </w:t>
      </w:r>
      <w:r>
        <w:t>Map provider pillars into one review taxonomy.</w:t>
      </w:r>
    </w:p>
    <w:p>
      <w:pPr>
        <w:ind w:left="360" w:hanging="360"/>
      </w:pPr>
      <w:r>
        <w:rPr>
          <w:b/>
        </w:rPr>
        <w:t xml:space="preserve">2. </w:t>
      </w:r>
      <w:r>
        <w:t>Assess the workload and collect evidence for each major quality.</w:t>
      </w:r>
    </w:p>
    <w:p>
      <w:pPr>
        <w:ind w:left="360" w:hanging="360"/>
      </w:pPr>
      <w:r>
        <w:rPr>
          <w:b/>
        </w:rPr>
        <w:t xml:space="preserve">3. </w:t>
      </w:r>
      <w:r>
        <w:t>Record at least ten findings with risk and remediation.</w:t>
      </w:r>
    </w:p>
    <w:p>
      <w:pPr>
        <w:ind w:left="360" w:hanging="360"/>
      </w:pPr>
      <w:r>
        <w:rPr>
          <w:b/>
        </w:rPr>
        <w:t xml:space="preserve">4. </w:t>
      </w:r>
      <w:r>
        <w:t>Write two ADRs for disputed design choices.</w:t>
      </w:r>
    </w:p>
    <w:p>
      <w:pPr>
        <w:ind w:left="360" w:hanging="360"/>
      </w:pPr>
      <w:r>
        <w:rPr>
          <w:b/>
        </w:rPr>
        <w:t xml:space="preserve">5. </w:t>
      </w:r>
      <w:r>
        <w:t>Present the top five risks to a mock architecture board.</w:t>
      </w:r>
    </w:p>
    <w:p>
      <w:pPr>
        <w:ind w:left="360" w:hanging="360"/>
      </w:pPr>
      <w:r>
        <w:rPr>
          <w:b/>
        </w:rPr>
        <w:t xml:space="preserve">6. </w:t>
      </w:r>
      <w:r>
        <w:t>Reassess after applying three remediations.</w:t>
      </w:r>
    </w:p>
    <w:p>
      <w:pPr>
        <w:pStyle w:val="Heading3"/>
        <w:keepNext/>
      </w:pPr>
      <w:r>
        <w:t>Validation Evidence</w:t>
      </w:r>
    </w:p>
    <w:p>
      <w:pPr>
        <w:pStyle w:val="ListBullet"/>
      </w:pPr>
      <w:r>
        <w:t>Review workbook and architecture diagram.</w:t>
      </w:r>
    </w:p>
    <w:p>
      <w:pPr>
        <w:pStyle w:val="ListBullet"/>
      </w:pPr>
      <w:r>
        <w:t>Two ADRs with alternatives and consequences.</w:t>
      </w:r>
    </w:p>
    <w:p>
      <w:pPr>
        <w:pStyle w:val="ListBullet"/>
      </w:pPr>
      <w:r>
        <w:t>Before/after risk register showing verified improvement.</w:t>
      </w:r>
    </w:p>
    <w:p>
      <w:pPr>
        <w:pStyle w:val="Heading3"/>
        <w:keepNext/>
      </w:pPr>
      <w:r>
        <w:t>Cleanup</w:t>
      </w:r>
    </w:p>
    <w:p>
      <w:pPr>
        <w:pStyle w:val="ListBullet"/>
      </w:pPr>
      <w:r>
        <w:t>Remove provider account data and internal service names.</w:t>
      </w:r>
    </w:p>
    <w:p>
      <w:pPr>
        <w:pStyle w:val="ListBullet"/>
      </w:pPr>
      <w:r>
        <w:t>Mark assumptions that were not independently validated.</w:t>
      </w:r>
    </w:p>
    <w:p>
      <w:pPr>
        <w:pStyle w:val="Heading2"/>
        <w:keepNext/>
      </w:pPr>
      <w:r>
        <w:t>Interview Questions and Model Answers</w:t>
      </w:r>
    </w:p>
    <w:p>
      <w:r>
        <w:rPr>
          <w:b/>
        </w:rPr>
        <w:t>1. What is the purpose of a well-architected review?</w:t>
      </w:r>
    </w:p>
    <w:p>
      <w:pPr>
        <w:ind w:left="259"/>
      </w:pPr>
      <w:r>
        <w:t>To identify workload risks and prioritize improvements against architecture qualities and business objectives.</w:t>
      </w:r>
    </w:p>
    <w:p>
      <w:r>
        <w:rPr>
          <w:b/>
        </w:rPr>
        <w:t>2. How is an ADR different from documentation?</w:t>
      </w:r>
    </w:p>
    <w:p>
      <w:pPr>
        <w:ind w:left="259"/>
      </w:pPr>
      <w:r>
        <w:t>It records a specific decision, alternatives, rationale and consequences so future teams understand why the design exists.</w:t>
      </w:r>
    </w:p>
    <w:p>
      <w:r>
        <w:rPr>
          <w:b/>
        </w:rPr>
        <w:t>3. Should a workload be reviewed once?</w:t>
      </w:r>
    </w:p>
    <w:p>
      <w:pPr>
        <w:ind w:left="259"/>
      </w:pPr>
      <w:r>
        <w:t>No. Reviews should recur after major changes, incidents, new requirements and provider evolution.</w:t>
      </w:r>
    </w:p>
    <w:p>
      <w:r>
        <w:rPr>
          <w:b/>
        </w:rPr>
        <w:t>4. How do you handle an unremediated high-risk finding?</w:t>
      </w:r>
    </w:p>
    <w:p>
      <w:pPr>
        <w:ind w:left="259"/>
      </w:pPr>
      <w:r>
        <w:t>Assign accountable risk acceptance, compensating controls, expiry and a funded remediation plan.</w:t>
      </w:r>
    </w:p>
    <w:p>
      <w:pPr>
        <w:pStyle w:val="Heading2"/>
        <w:keepNext/>
      </w:pPr>
      <w:r>
        <w:t>Chapter Summary</w:t>
      </w:r>
    </w:p>
    <w:p>
      <w:pPr>
        <w:pStyle w:val="ListBullet"/>
      </w:pPr>
      <w:r>
        <w:t>Frameworks structure risk conversations.</w:t>
      </w:r>
    </w:p>
    <w:p>
      <w:pPr>
        <w:pStyle w:val="ListBullet"/>
      </w:pPr>
      <w:r>
        <w:t>Evidence and remediation matter more than review scores.</w:t>
      </w:r>
    </w:p>
    <w:p>
      <w:pPr>
        <w:pStyle w:val="ListBullet"/>
      </w:pPr>
      <w:r>
        <w:t>ADRs preserve architectural intent.</w:t>
      </w:r>
    </w:p>
    <w:p>
      <w:pPr>
        <w:pStyle w:val="ListBullet"/>
      </w:pPr>
      <w:r>
        <w:t>Reviews must evolve with the workload.</w:t>
      </w:r>
    </w:p>
    <w:p>
      <w:r>
        <w:br w:type="page"/>
      </w:r>
    </w:p>
    <w:p>
      <w:pPr>
        <w:jc w:val="center"/>
      </w:pPr>
      <w:r>
        <w:rPr>
          <w:b/>
          <w:color w:val="14919B"/>
          <w:sz w:val="17"/>
        </w:rPr>
        <w:t>VOLUME 12A  |  CHAPTER 4</w:t>
      </w:r>
    </w:p>
    <w:p>
      <w:pPr>
        <w:pStyle w:val="Heading1"/>
        <w:jc w:val="center"/>
      </w:pPr>
      <w:r>
        <w:t>Chapter 4: Resource Hierarchy and Environment Segmentation</w:t>
      </w:r>
    </w:p>
    <w:p>
      <w:pPr>
        <w:jc w:val="center"/>
      </w:pPr>
      <w:r>
        <w:rPr>
          <w:i/>
          <w:color w:val="4B5563"/>
          <w:sz w:val="20"/>
        </w:rPr>
        <w:t>Designing accounts, subscriptions, projects, folders and management boundaries</w:t>
      </w:r>
    </w:p>
    <w:tbl>
      <w:tblPr>
        <w:tblW w:type="auto" w:w="0"/>
        <w:jc w:val="center"/>
        <w:tblLook w:firstColumn="1" w:firstRow="1" w:lastColumn="0" w:lastRow="0" w:noHBand="0" w:noVBand="1" w:val="04A0"/>
      </w:tblPr>
      <w:tblGrid>
        <w:gridCol w:w="10166"/>
      </w:tblGrid>
      <w:tr>
        <w:trPr>
          <w:cantSplit/>
        </w:trPr>
        <w:tc>
          <w:tcPr>
            <w:tcW w:type="dxa" w:w="10166"/>
            <w:shd w:fill="E8F2F5"/>
            <w:tcMar>
              <w:top w:w="110" w:type="dxa"/>
              <w:start w:w="140" w:type="dxa"/>
              <w:bottom w:w="110" w:type="dxa"/>
              <w:end w:w="140" w:type="dxa"/>
            </w:tcMar>
          </w:tcPr>
          <w:p>
            <w:pPr>
              <w:spacing w:after="0"/>
            </w:pPr>
            <w:r>
              <w:rPr>
                <w:b/>
                <w:color w:val="176B87"/>
              </w:rPr>
              <w:t>Why this chapter matters: Resource hierarchy is the control skeleton of a cloud estate. Poor hierarchy creates excessive privilege, inconsistent policy, unclear billing, fragile networking and large incident blast radius.</w:t>
            </w:r>
          </w:p>
        </w:tc>
      </w:tr>
    </w:tbl>
    <w:p>
      <w:pPr>
        <w:spacing w:after="0"/>
      </w:pPr>
    </w:p>
    <w:p>
      <w:pPr>
        <w:pStyle w:val="Heading2"/>
        <w:keepNext/>
      </w:pPr>
      <w:r>
        <w:t>Learning Objectives</w:t>
      </w:r>
    </w:p>
    <w:p>
      <w:pPr>
        <w:pStyle w:val="ListBullet"/>
      </w:pPr>
      <w:r>
        <w:t>Compare AWS organizations/accounts, Azure tenants/management groups/subscriptions and Google Cloud organizations/folders/projects.</w:t>
      </w:r>
    </w:p>
    <w:p>
      <w:pPr>
        <w:pStyle w:val="ListBullet"/>
      </w:pPr>
      <w:r>
        <w:t>Design production, nonproduction, sandbox, security and shared-service boundaries.</w:t>
      </w:r>
    </w:p>
    <w:p>
      <w:pPr>
        <w:pStyle w:val="ListBullet"/>
      </w:pPr>
      <w:r>
        <w:t>Apply policy inheritance and delegated administration safely.</w:t>
      </w:r>
    </w:p>
    <w:p>
      <w:pPr>
        <w:pStyle w:val="ListBullet"/>
      </w:pPr>
      <w:r>
        <w:t>Create an account or subscription vending lifecycle.</w:t>
      </w:r>
    </w:p>
    <w:p>
      <w:pPr>
        <w:pStyle w:val="ListBullet"/>
      </w:pPr>
      <w:r>
        <w:t>Plan mergers, acquisitions, divestitures and decommissioning.</w:t>
      </w:r>
    </w:p>
    <w:p>
      <w:pPr>
        <w:pStyle w:val="Heading2"/>
        <w:keepNext/>
      </w:pPr>
      <w:r>
        <w:t>Core Concepts</w:t>
      </w:r>
    </w:p>
    <w:p>
      <w:pPr>
        <w:pStyle w:val="Heading3"/>
        <w:keepNext/>
      </w:pPr>
      <w:r>
        <w:t>Isolation boundary</w:t>
      </w:r>
    </w:p>
    <w:p>
      <w:pPr>
        <w:keepNext w:val="0"/>
      </w:pPr>
      <w:r>
        <w:t>Separate accounts, subscriptions or projects provide stronger policy, billing, quota and blast-radius boundaries than tags alone. They should align with operational and risk needs, not arbitrary organizational charts.</w:t>
      </w:r>
    </w:p>
    <w:p>
      <w:pPr>
        <w:pStyle w:val="Heading3"/>
        <w:keepNext/>
      </w:pPr>
      <w:r>
        <w:t>Hierarchy and inheritance</w:t>
      </w:r>
    </w:p>
    <w:p>
      <w:pPr>
        <w:keepNext w:val="0"/>
      </w:pPr>
      <w:r>
        <w:t>Policies inherited from higher nodes provide consistent guardrails, but excessive depth and exceptions make behavior difficult to reason about. Keep the hierarchy understandable and test policy effects.</w:t>
      </w:r>
    </w:p>
    <w:p>
      <w:pPr>
        <w:pStyle w:val="Heading3"/>
        <w:keepNext/>
      </w:pPr>
      <w:r>
        <w:t>Platform and application zones</w:t>
      </w:r>
    </w:p>
    <w:p>
      <w:pPr>
        <w:keepNext w:val="0"/>
      </w:pPr>
      <w:r>
        <w:t>Central platform areas host identity integration, security tooling, connectivity, logging and shared services. Application landing zones provide bounded environments for workload teams.</w:t>
      </w:r>
    </w:p>
    <w:p>
      <w:pPr>
        <w:pStyle w:val="Heading3"/>
        <w:keepNext/>
      </w:pPr>
      <w:r>
        <w:t>Lifecycle automation</w:t>
      </w:r>
    </w:p>
    <w:p>
      <w:pPr>
        <w:keepNext w:val="0"/>
      </w:pPr>
      <w:r>
        <w:t>A resource container should be requested, approved, created, baselined, monitored, funded, reviewed and eventually quarantined and closed through a repeatable workflow.</w:t>
      </w:r>
    </w:p>
    <w:p>
      <w:pPr>
        <w:pStyle w:val="Heading2"/>
        <w:keepNext/>
      </w:pPr>
      <w:r>
        <w:t>Architecture and Operating Decisions</w:t>
      </w:r>
    </w:p>
    <w:p>
      <w:pPr>
        <w:pStyle w:val="ListBullet"/>
      </w:pPr>
      <w:r>
        <w:t>Separate production from nonproduction using strong resource boundaries.</w:t>
      </w:r>
    </w:p>
    <w:p>
      <w:pPr>
        <w:pStyle w:val="ListBullet"/>
      </w:pPr>
      <w:r>
        <w:t>Use dedicated security and log-archive containers with restricted administration.</w:t>
      </w:r>
    </w:p>
    <w:p>
      <w:pPr>
        <w:pStyle w:val="ListBullet"/>
      </w:pPr>
      <w:r>
        <w:t>Keep sandbox environments isolated, budget-limited and automatically expired.</w:t>
      </w:r>
    </w:p>
    <w:p>
      <w:pPr>
        <w:pStyle w:val="ListBullet"/>
      </w:pPr>
      <w:r>
        <w:t>Delegate workload administration without delegating organization-wide policy.</w:t>
      </w:r>
    </w:p>
    <w:p>
      <w:pPr>
        <w:pStyle w:val="ListBullet"/>
      </w:pPr>
      <w:r>
        <w:t>Design decommissioning and evidence retention before large-scale vending.</w:t>
      </w:r>
    </w:p>
    <w:p>
      <w:pPr>
        <w:pStyle w:val="Heading2"/>
        <w:keepNext/>
      </w:pPr>
      <w:r>
        <w:t>Reference Configuration or Decision Pattern</w:t>
      </w:r>
    </w:p>
    <w:tbl>
      <w:tblPr>
        <w:tblW w:type="auto" w:w="0"/>
        <w:jc w:val="center"/>
        <w:tblLook w:firstColumn="1" w:firstRow="1" w:lastColumn="0" w:lastRow="0" w:noHBand="0" w:noVBand="1" w:val="04A0"/>
      </w:tblPr>
      <w:tblGrid>
        <w:gridCol w:w="10166"/>
      </w:tblGrid>
      <w:tr>
        <w:trPr>
          <w:cantSplit/>
        </w:trPr>
        <w:tc>
          <w:tcPr>
            <w:tcW w:type="dxa" w:w="10166"/>
            <w:shd w:fill="F3F5F7"/>
            <w:tcMar>
              <w:top w:w="90" w:type="dxa"/>
              <w:start w:w="120" w:type="dxa"/>
              <w:bottom w:w="90" w:type="dxa"/>
              <w:end w:w="120" w:type="dxa"/>
            </w:tcMar>
          </w:tcPr>
          <w:p>
            <w:pPr>
              <w:spacing w:after="0" w:line="240" w:lineRule="auto"/>
            </w:pPr>
            <w:r>
              <w:rPr>
                <w:rFonts w:ascii="DejaVu Sans Mono" w:hAnsi="DejaVu Sans Mono" w:eastAsia="DejaVu Sans Mono"/>
                <w:color w:val="1F2933"/>
                <w:sz w:val="14"/>
              </w:rPr>
              <w:t>enterprise-root</w:t>
              <w:br/>
              <w:t>├── security</w:t>
              <w:br/>
              <w:t>│   ├── log-archive</w:t>
              <w:br/>
              <w:t>│   └── security-tooling</w:t>
              <w:br/>
              <w:t>├── platform</w:t>
              <w:br/>
              <w:t>│   ├── connectivity</w:t>
              <w:br/>
              <w:t>│   ├── identity-services</w:t>
              <w:br/>
              <w:t>│   └── shared-observability</w:t>
              <w:br/>
              <w:t>├── workloads</w:t>
              <w:br/>
              <w:t>│   ├── production</w:t>
              <w:br/>
              <w:t>│   │   ├── payments-prod</w:t>
              <w:br/>
              <w:t>│   │   └── orders-prod</w:t>
              <w:br/>
              <w:t>│   └── nonproduction</w:t>
              <w:br/>
              <w:t>│       ├── payments-nonprod</w:t>
              <w:br/>
              <w:t>│       └── orders-nonprod</w:t>
              <w:br/>
              <w:t>└── sandbox</w:t>
              <w:br/>
              <w:t xml:space="preserve">    └── expiring-team-environments</w:t>
            </w:r>
          </w:p>
        </w:tc>
      </w:tr>
    </w:tbl>
    <w:p>
      <w:r>
        <w:rPr>
          <w:b/>
        </w:rPr>
        <w:t xml:space="preserve">Interpretation: </w:t>
      </w:r>
      <w:r>
        <w:t>The exact resource names differ by provider, but the control goals are consistent: isolation, inheritance, delegated ownership, allocation and lifecycle.</w:t>
      </w:r>
    </w:p>
    <w:p>
      <w:pPr>
        <w:pStyle w:val="Heading2"/>
        <w:keepNext/>
      </w:pPr>
      <w:r>
        <w:t>Production Readiness Checklist</w:t>
      </w:r>
    </w:p>
    <w:p>
      <w:pPr>
        <w:ind w:left="259" w:hanging="259"/>
      </w:pPr>
      <w:r>
        <w:t>☐ Hierarchy and ownership are diagrammed and version controlled.</w:t>
      </w:r>
    </w:p>
    <w:p>
      <w:pPr>
        <w:ind w:left="259" w:hanging="259"/>
      </w:pPr>
      <w:r>
        <w:t>☐ Production, security, logging, shared services and sandbox have appropriate isolation.</w:t>
      </w:r>
    </w:p>
    <w:p>
      <w:pPr>
        <w:ind w:left="259" w:hanging="259"/>
      </w:pPr>
      <w:r>
        <w:t>☐ Policies are tested at each inheritance boundary.</w:t>
      </w:r>
    </w:p>
    <w:p>
      <w:pPr>
        <w:ind w:left="259" w:hanging="259"/>
      </w:pPr>
      <w:r>
        <w:t>☐ Vending includes identity, network, logging, budget and metadata baselines.</w:t>
      </w:r>
    </w:p>
    <w:p>
      <w:pPr>
        <w:ind w:left="259" w:hanging="259"/>
      </w:pPr>
      <w:r>
        <w:t>☐ Closure removes access, preserves required evidence and stops spend.</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70" w:type="dxa"/>
              <w:start w:w="90" w:type="dxa"/>
              <w:bottom w:w="70" w:type="dxa"/>
              <w:end w:w="90" w:type="dxa"/>
            </w:tcMar>
            <w:vAlign w:val="center"/>
          </w:tcPr>
          <w:p>
            <w:r>
              <w:rPr>
                <w:b/>
                <w:color w:val="FFFFFF"/>
                <w:sz w:val="14"/>
              </w:rPr>
              <w:t>Symptom</w:t>
            </w:r>
          </w:p>
        </w:tc>
        <w:tc>
          <w:tcPr>
            <w:tcW w:type="dxa" w:w="2376"/>
            <w:shd w:fill="176B87"/>
            <w:tcMar>
              <w:top w:w="70" w:type="dxa"/>
              <w:start w:w="90" w:type="dxa"/>
              <w:bottom w:w="70" w:type="dxa"/>
              <w:end w:w="90" w:type="dxa"/>
            </w:tcMar>
            <w:vAlign w:val="center"/>
          </w:tcPr>
          <w:p>
            <w:r>
              <w:rPr>
                <w:b/>
                <w:color w:val="FFFFFF"/>
                <w:sz w:val="14"/>
              </w:rPr>
              <w:t>Likely cause</w:t>
            </w:r>
          </w:p>
        </w:tc>
        <w:tc>
          <w:tcPr>
            <w:tcW w:type="dxa" w:w="3096"/>
            <w:shd w:fill="176B87"/>
            <w:tcMar>
              <w:top w:w="70" w:type="dxa"/>
              <w:start w:w="90" w:type="dxa"/>
              <w:bottom w:w="70" w:type="dxa"/>
              <w:end w:w="90" w:type="dxa"/>
            </w:tcMar>
            <w:vAlign w:val="center"/>
          </w:tcPr>
          <w:p>
            <w:r>
              <w:rPr>
                <w:b/>
                <w:color w:val="FFFFFF"/>
                <w:sz w:val="14"/>
              </w:rPr>
              <w:t>Corrective action</w:t>
            </w:r>
          </w:p>
        </w:tc>
        <w:tc>
          <w:tcPr>
            <w:tcW w:type="dxa" w:w="2232"/>
            <w:shd w:fill="176B87"/>
            <w:tcMar>
              <w:top w:w="70" w:type="dxa"/>
              <w:start w:w="90" w:type="dxa"/>
              <w:bottom w:w="70" w:type="dxa"/>
              <w:end w:w="90" w:type="dxa"/>
            </w:tcMar>
            <w:vAlign w:val="center"/>
          </w:tcPr>
          <w:p>
            <w:r>
              <w:rPr>
                <w:b/>
                <w:color w:val="FFFFFF"/>
                <w:sz w:val="14"/>
              </w:rPr>
              <w:t>Validation evidence</w:t>
            </w:r>
          </w:p>
        </w:tc>
      </w:tr>
      <w:tr>
        <w:trPr>
          <w:cantSplit/>
        </w:trPr>
        <w:tc>
          <w:tcPr>
            <w:tcW w:type="dxa" w:w="1944"/>
            <w:tcMar>
              <w:top w:w="70" w:type="dxa"/>
              <w:start w:w="90" w:type="dxa"/>
              <w:bottom w:w="70" w:type="dxa"/>
              <w:end w:w="90" w:type="dxa"/>
            </w:tcMar>
            <w:vAlign w:val="top"/>
          </w:tcPr>
          <w:p>
            <w:r>
              <w:rPr>
                <w:sz w:val="14"/>
              </w:rPr>
              <w:t>One admin can affect everything</w:t>
            </w:r>
          </w:p>
        </w:tc>
        <w:tc>
          <w:tcPr>
            <w:tcW w:type="dxa" w:w="2376"/>
            <w:tcMar>
              <w:top w:w="70" w:type="dxa"/>
              <w:start w:w="90" w:type="dxa"/>
              <w:bottom w:w="70" w:type="dxa"/>
              <w:end w:w="90" w:type="dxa"/>
            </w:tcMar>
            <w:vAlign w:val="top"/>
          </w:tcPr>
          <w:p>
            <w:r>
              <w:rPr>
                <w:sz w:val="14"/>
              </w:rPr>
              <w:t>Overuse of root or tenant-wide roles</w:t>
            </w:r>
          </w:p>
        </w:tc>
        <w:tc>
          <w:tcPr>
            <w:tcW w:type="dxa" w:w="3096"/>
            <w:tcMar>
              <w:top w:w="70" w:type="dxa"/>
              <w:start w:w="90" w:type="dxa"/>
              <w:bottom w:w="70" w:type="dxa"/>
              <w:end w:w="90" w:type="dxa"/>
            </w:tcMar>
            <w:vAlign w:val="top"/>
          </w:tcPr>
          <w:p>
            <w:r>
              <w:rPr>
                <w:sz w:val="14"/>
              </w:rPr>
              <w:t>Delegate through scoped groups and privileged workflows</w:t>
            </w:r>
          </w:p>
        </w:tc>
        <w:tc>
          <w:tcPr>
            <w:tcW w:type="dxa" w:w="2232"/>
            <w:tcMar>
              <w:top w:w="70" w:type="dxa"/>
              <w:start w:w="90" w:type="dxa"/>
              <w:bottom w:w="70" w:type="dxa"/>
              <w:end w:w="90" w:type="dxa"/>
            </w:tcMar>
            <w:vAlign w:val="top"/>
          </w:tcPr>
          <w:p>
            <w:r>
              <w:rPr>
                <w:sz w:val="14"/>
              </w:rPr>
              <w:t>Access review shows no standing global admin</w:t>
            </w:r>
          </w:p>
        </w:tc>
      </w:tr>
      <w:tr>
        <w:trPr>
          <w:cantSplit/>
        </w:trPr>
        <w:tc>
          <w:tcPr>
            <w:tcW w:type="dxa" w:w="1944"/>
            <w:tcMar>
              <w:top w:w="70" w:type="dxa"/>
              <w:start w:w="90" w:type="dxa"/>
              <w:bottom w:w="70" w:type="dxa"/>
              <w:end w:w="90" w:type="dxa"/>
            </w:tcMar>
            <w:vAlign w:val="top"/>
          </w:tcPr>
          <w:p>
            <w:r>
              <w:rPr>
                <w:sz w:val="14"/>
              </w:rPr>
              <w:t>Policy behaves unexpectedly</w:t>
            </w:r>
          </w:p>
        </w:tc>
        <w:tc>
          <w:tcPr>
            <w:tcW w:type="dxa" w:w="2376"/>
            <w:tcMar>
              <w:top w:w="70" w:type="dxa"/>
              <w:start w:w="90" w:type="dxa"/>
              <w:bottom w:w="70" w:type="dxa"/>
              <w:end w:w="90" w:type="dxa"/>
            </w:tcMar>
            <w:vAlign w:val="top"/>
          </w:tcPr>
          <w:p>
            <w:r>
              <w:rPr>
                <w:sz w:val="14"/>
              </w:rPr>
              <w:t>Deep hierarchy and exceptions</w:t>
            </w:r>
          </w:p>
        </w:tc>
        <w:tc>
          <w:tcPr>
            <w:tcW w:type="dxa" w:w="3096"/>
            <w:tcMar>
              <w:top w:w="70" w:type="dxa"/>
              <w:start w:w="90" w:type="dxa"/>
              <w:bottom w:w="70" w:type="dxa"/>
              <w:end w:w="90" w:type="dxa"/>
            </w:tcMar>
            <w:vAlign w:val="top"/>
          </w:tcPr>
          <w:p>
            <w:r>
              <w:rPr>
                <w:sz w:val="14"/>
              </w:rPr>
              <w:t>Simplify hierarchy and test effective policy</w:t>
            </w:r>
          </w:p>
        </w:tc>
        <w:tc>
          <w:tcPr>
            <w:tcW w:type="dxa" w:w="2232"/>
            <w:tcMar>
              <w:top w:w="70" w:type="dxa"/>
              <w:start w:w="90" w:type="dxa"/>
              <w:bottom w:w="70" w:type="dxa"/>
              <w:end w:w="90" w:type="dxa"/>
            </w:tcMar>
            <w:vAlign w:val="top"/>
          </w:tcPr>
          <w:p>
            <w:r>
              <w:rPr>
                <w:sz w:val="14"/>
              </w:rPr>
              <w:t>Policy simulator and deployment tests pass</w:t>
            </w:r>
          </w:p>
        </w:tc>
      </w:tr>
      <w:tr>
        <w:trPr>
          <w:cantSplit/>
        </w:trPr>
        <w:tc>
          <w:tcPr>
            <w:tcW w:type="dxa" w:w="1944"/>
            <w:tcMar>
              <w:top w:w="70" w:type="dxa"/>
              <w:start w:w="90" w:type="dxa"/>
              <w:bottom w:w="70" w:type="dxa"/>
              <w:end w:w="90" w:type="dxa"/>
            </w:tcMar>
            <w:vAlign w:val="top"/>
          </w:tcPr>
          <w:p>
            <w:r>
              <w:rPr>
                <w:sz w:val="14"/>
              </w:rPr>
              <w:t>Orphaned subscriptions spend money</w:t>
            </w:r>
          </w:p>
        </w:tc>
        <w:tc>
          <w:tcPr>
            <w:tcW w:type="dxa" w:w="2376"/>
            <w:tcMar>
              <w:top w:w="70" w:type="dxa"/>
              <w:start w:w="90" w:type="dxa"/>
              <w:bottom w:w="70" w:type="dxa"/>
              <w:end w:w="90" w:type="dxa"/>
            </w:tcMar>
            <w:vAlign w:val="top"/>
          </w:tcPr>
          <w:p>
            <w:r>
              <w:rPr>
                <w:sz w:val="14"/>
              </w:rPr>
              <w:t>No owner, expiry or closure workflow</w:t>
            </w:r>
          </w:p>
        </w:tc>
        <w:tc>
          <w:tcPr>
            <w:tcW w:type="dxa" w:w="3096"/>
            <w:tcMar>
              <w:top w:w="70" w:type="dxa"/>
              <w:start w:w="90" w:type="dxa"/>
              <w:bottom w:w="70" w:type="dxa"/>
              <w:end w:w="90" w:type="dxa"/>
            </w:tcMar>
            <w:vAlign w:val="top"/>
          </w:tcPr>
          <w:p>
            <w:r>
              <w:rPr>
                <w:sz w:val="14"/>
              </w:rPr>
              <w:t>Enforce metadata and quarantine lifecycle</w:t>
            </w:r>
          </w:p>
        </w:tc>
        <w:tc>
          <w:tcPr>
            <w:tcW w:type="dxa" w:w="2232"/>
            <w:tcMar>
              <w:top w:w="70" w:type="dxa"/>
              <w:start w:w="90" w:type="dxa"/>
              <w:bottom w:w="70" w:type="dxa"/>
              <w:end w:w="90" w:type="dxa"/>
            </w:tcMar>
            <w:vAlign w:val="top"/>
          </w:tcPr>
          <w:p>
            <w:r>
              <w:rPr>
                <w:sz w:val="14"/>
              </w:rPr>
              <w:t>Inventory has 100% ownership and review dates</w:t>
            </w:r>
          </w:p>
        </w:tc>
      </w:tr>
      <w:tr>
        <w:trPr>
          <w:cantSplit/>
        </w:trPr>
        <w:tc>
          <w:tcPr>
            <w:tcW w:type="dxa" w:w="1944"/>
            <w:tcMar>
              <w:top w:w="70" w:type="dxa"/>
              <w:start w:w="90" w:type="dxa"/>
              <w:bottom w:w="70" w:type="dxa"/>
              <w:end w:w="90" w:type="dxa"/>
            </w:tcMar>
            <w:vAlign w:val="top"/>
          </w:tcPr>
          <w:p>
            <w:r>
              <w:rPr>
                <w:sz w:val="14"/>
              </w:rPr>
              <w:t>Production shares sandbox limits</w:t>
            </w:r>
          </w:p>
        </w:tc>
        <w:tc>
          <w:tcPr>
            <w:tcW w:type="dxa" w:w="2376"/>
            <w:tcMar>
              <w:top w:w="70" w:type="dxa"/>
              <w:start w:w="90" w:type="dxa"/>
              <w:bottom w:w="70" w:type="dxa"/>
              <w:end w:w="90" w:type="dxa"/>
            </w:tcMar>
            <w:vAlign w:val="top"/>
          </w:tcPr>
          <w:p>
            <w:r>
              <w:rPr>
                <w:sz w:val="14"/>
              </w:rPr>
              <w:t>Weak environment segmentation</w:t>
            </w:r>
          </w:p>
        </w:tc>
        <w:tc>
          <w:tcPr>
            <w:tcW w:type="dxa" w:w="3096"/>
            <w:tcMar>
              <w:top w:w="70" w:type="dxa"/>
              <w:start w:w="90" w:type="dxa"/>
              <w:bottom w:w="70" w:type="dxa"/>
              <w:end w:w="90" w:type="dxa"/>
            </w:tcMar>
            <w:vAlign w:val="top"/>
          </w:tcPr>
          <w:p>
            <w:r>
              <w:rPr>
                <w:sz w:val="14"/>
              </w:rPr>
              <w:t>Move to independent resource boundaries</w:t>
            </w:r>
          </w:p>
        </w:tc>
        <w:tc>
          <w:tcPr>
            <w:tcW w:type="dxa" w:w="2232"/>
            <w:tcMar>
              <w:top w:w="70" w:type="dxa"/>
              <w:start w:w="90" w:type="dxa"/>
              <w:bottom w:w="70" w:type="dxa"/>
              <w:end w:w="90" w:type="dxa"/>
            </w:tcMar>
            <w:vAlign w:val="top"/>
          </w:tcPr>
          <w:p>
            <w:r>
              <w:rPr>
                <w:sz w:val="14"/>
              </w:rPr>
              <w:t>Quota, policy and billing are separated</w:t>
            </w:r>
          </w:p>
        </w:tc>
      </w:tr>
    </w:tbl>
    <w:p>
      <w:pPr>
        <w:pStyle w:val="Heading2"/>
        <w:keepNext/>
      </w:pPr>
      <w:r>
        <w:t>Hands-on Lab 4: Design an Enterprise Cloud Resource Hierarchy</w:t>
      </w:r>
    </w:p>
    <w:p>
      <w:pPr>
        <w:pStyle w:val="Heading3"/>
        <w:keepNext/>
      </w:pPr>
      <w:r>
        <w:t>Prerequisites</w:t>
      </w:r>
    </w:p>
    <w:p>
      <w:pPr>
        <w:pStyle w:val="ListBullet"/>
      </w:pPr>
      <w:r>
        <w:t>A fictional company with platform, security and four product teams.</w:t>
      </w:r>
    </w:p>
    <w:p>
      <w:pPr>
        <w:pStyle w:val="ListBullet"/>
      </w:pPr>
      <w:r>
        <w:t>Diagramming tool and version-controlled design records.</w:t>
      </w:r>
    </w:p>
    <w:p>
      <w:pPr>
        <w:pStyle w:val="Heading3"/>
        <w:keepNext/>
      </w:pPr>
      <w:r>
        <w:t>Implementation</w:t>
      </w:r>
    </w:p>
    <w:p>
      <w:pPr>
        <w:ind w:left="360" w:hanging="360"/>
      </w:pPr>
      <w:r>
        <w:rPr>
          <w:b/>
        </w:rPr>
        <w:t xml:space="preserve">1. </w:t>
      </w:r>
      <w:r>
        <w:t>Define control, billing, quota, policy and blast-radius requirements.</w:t>
      </w:r>
    </w:p>
    <w:p>
      <w:pPr>
        <w:ind w:left="360" w:hanging="360"/>
      </w:pPr>
      <w:r>
        <w:rPr>
          <w:b/>
        </w:rPr>
        <w:t xml:space="preserve">2. </w:t>
      </w:r>
      <w:r>
        <w:t>Design equivalent AWS, Azure and Google Cloud hierarchies.</w:t>
      </w:r>
    </w:p>
    <w:p>
      <w:pPr>
        <w:ind w:left="360" w:hanging="360"/>
      </w:pPr>
      <w:r>
        <w:rPr>
          <w:b/>
        </w:rPr>
        <w:t xml:space="preserve">3. </w:t>
      </w:r>
      <w:r>
        <w:t>Map platform, security, production, nonproduction and sandbox areas.</w:t>
      </w:r>
    </w:p>
    <w:p>
      <w:pPr>
        <w:ind w:left="360" w:hanging="360"/>
      </w:pPr>
      <w:r>
        <w:rPr>
          <w:b/>
        </w:rPr>
        <w:t xml:space="preserve">4. </w:t>
      </w:r>
      <w:r>
        <w:t>Create a vending request schema and lifecycle states.</w:t>
      </w:r>
    </w:p>
    <w:p>
      <w:pPr>
        <w:ind w:left="360" w:hanging="360"/>
      </w:pPr>
      <w:r>
        <w:rPr>
          <w:b/>
        </w:rPr>
        <w:t xml:space="preserve">5. </w:t>
      </w:r>
      <w:r>
        <w:t>Test three policy-inheritance and delegated-administration scenarios.</w:t>
      </w:r>
    </w:p>
    <w:p>
      <w:pPr>
        <w:ind w:left="360" w:hanging="360"/>
      </w:pPr>
      <w:r>
        <w:rPr>
          <w:b/>
        </w:rPr>
        <w:t xml:space="preserve">6. </w:t>
      </w:r>
      <w:r>
        <w:t>Design decommissioning for a divested product.</w:t>
      </w:r>
    </w:p>
    <w:p>
      <w:pPr>
        <w:pStyle w:val="Heading3"/>
        <w:keepNext/>
      </w:pPr>
      <w:r>
        <w:t>Validation Evidence</w:t>
      </w:r>
    </w:p>
    <w:p>
      <w:pPr>
        <w:pStyle w:val="ListBullet"/>
      </w:pPr>
      <w:r>
        <w:t>Three provider hierarchy diagrams.</w:t>
      </w:r>
    </w:p>
    <w:p>
      <w:pPr>
        <w:pStyle w:val="ListBullet"/>
      </w:pPr>
      <w:r>
        <w:t>Vending and closure workflow.</w:t>
      </w:r>
    </w:p>
    <w:p>
      <w:pPr>
        <w:pStyle w:val="ListBullet"/>
      </w:pPr>
      <w:r>
        <w:t>Policy inheritance tests and RACI.</w:t>
      </w:r>
    </w:p>
    <w:p>
      <w:pPr>
        <w:pStyle w:val="Heading3"/>
        <w:keepNext/>
      </w:pPr>
      <w:r>
        <w:t>Cleanup</w:t>
      </w:r>
    </w:p>
    <w:p>
      <w:pPr>
        <w:pStyle w:val="ListBullet"/>
      </w:pPr>
      <w:r>
        <w:t>Remove fictional identifiers that resemble real accounts.</w:t>
      </w:r>
    </w:p>
    <w:p>
      <w:pPr>
        <w:pStyle w:val="ListBullet"/>
      </w:pPr>
      <w:r>
        <w:t>Archive rejected hierarchy options with reasons.</w:t>
      </w:r>
    </w:p>
    <w:p>
      <w:pPr>
        <w:pStyle w:val="Heading2"/>
        <w:keepNext/>
      </w:pPr>
      <w:r>
        <w:t>Interview Questions and Model Answers</w:t>
      </w:r>
    </w:p>
    <w:p>
      <w:r>
        <w:rPr>
          <w:b/>
        </w:rPr>
        <w:t>1. Why use multiple accounts or subscriptions?</w:t>
      </w:r>
    </w:p>
    <w:p>
      <w:pPr>
        <w:ind w:left="259"/>
      </w:pPr>
      <w:r>
        <w:t>They provide isolation for policy, billing, quota, identity administration and failure blast radius.</w:t>
      </w:r>
    </w:p>
    <w:p>
      <w:r>
        <w:rPr>
          <w:b/>
        </w:rPr>
        <w:t>2. Should hierarchy mirror the org chart?</w:t>
      </w:r>
    </w:p>
    <w:p>
      <w:pPr>
        <w:ind w:left="259"/>
      </w:pPr>
      <w:r>
        <w:t>Not necessarily. It should optimize durable control and workload boundaries because organizational structures change frequently.</w:t>
      </w:r>
    </w:p>
    <w:p>
      <w:r>
        <w:rPr>
          <w:b/>
        </w:rPr>
        <w:t>3. What belongs in a platform landing zone?</w:t>
      </w:r>
    </w:p>
    <w:p>
      <w:pPr>
        <w:ind w:left="259"/>
      </w:pPr>
      <w:r>
        <w:t>Central governance, connectivity, identity integration, security, logging and shared capabilities used by application landing zones.</w:t>
      </w:r>
    </w:p>
    <w:p>
      <w:r>
        <w:rPr>
          <w:b/>
        </w:rPr>
        <w:t>4. How do you prevent cloud sprawl?</w:t>
      </w:r>
    </w:p>
    <w:p>
      <w:pPr>
        <w:ind w:left="259"/>
      </w:pPr>
      <w:r>
        <w:t>Automated vending, mandatory ownership metadata, budgets, review dates, inactivity detection and governed decommissioning.</w:t>
      </w:r>
    </w:p>
    <w:p>
      <w:pPr>
        <w:pStyle w:val="Heading2"/>
        <w:keepNext/>
      </w:pPr>
      <w:r>
        <w:t>Chapter Summary</w:t>
      </w:r>
    </w:p>
    <w:p>
      <w:pPr>
        <w:pStyle w:val="ListBullet"/>
      </w:pPr>
      <w:r>
        <w:t>Hierarchy is a foundational control plane.</w:t>
      </w:r>
    </w:p>
    <w:p>
      <w:pPr>
        <w:pStyle w:val="ListBullet"/>
      </w:pPr>
      <w:r>
        <w:t>Strong boundaries should match risk and operations.</w:t>
      </w:r>
    </w:p>
    <w:p>
      <w:pPr>
        <w:pStyle w:val="ListBullet"/>
      </w:pPr>
      <w:r>
        <w:t>Automation is required for scale.</w:t>
      </w:r>
    </w:p>
    <w:p>
      <w:pPr>
        <w:pStyle w:val="ListBullet"/>
      </w:pPr>
      <w:r>
        <w:t>Decommissioning is part of resource design.</w:t>
      </w:r>
    </w:p>
    <w:p>
      <w:r>
        <w:br w:type="page"/>
      </w:r>
    </w:p>
    <w:p>
      <w:pPr>
        <w:jc w:val="center"/>
      </w:pPr>
      <w:r>
        <w:rPr>
          <w:b/>
          <w:color w:val="14919B"/>
          <w:sz w:val="17"/>
        </w:rPr>
        <w:t>VOLUME 12A  |  CHAPTER 5</w:t>
      </w:r>
    </w:p>
    <w:p>
      <w:pPr>
        <w:pStyle w:val="Heading1"/>
        <w:jc w:val="center"/>
      </w:pPr>
      <w:r>
        <w:t>Chapter 5: Identity Federation, Least Privilege and Workload Identity</w:t>
      </w:r>
    </w:p>
    <w:p>
      <w:pPr>
        <w:jc w:val="center"/>
      </w:pPr>
      <w:r>
        <w:rPr>
          <w:i/>
          <w:color w:val="4B5563"/>
          <w:sz w:val="20"/>
        </w:rPr>
        <w:t>Eliminating unmanaged credentials and standing privilege</w:t>
      </w:r>
    </w:p>
    <w:tbl>
      <w:tblPr>
        <w:tblW w:type="auto" w:w="0"/>
        <w:jc w:val="center"/>
        <w:tblLook w:firstColumn="1" w:firstRow="1" w:lastColumn="0" w:lastRow="0" w:noHBand="0" w:noVBand="1" w:val="04A0"/>
      </w:tblPr>
      <w:tblGrid>
        <w:gridCol w:w="10166"/>
      </w:tblGrid>
      <w:tr>
        <w:trPr>
          <w:cantSplit/>
        </w:trPr>
        <w:tc>
          <w:tcPr>
            <w:tcW w:type="dxa" w:w="10166"/>
            <w:shd w:fill="E8F2F5"/>
            <w:tcMar>
              <w:top w:w="110" w:type="dxa"/>
              <w:start w:w="140" w:type="dxa"/>
              <w:bottom w:w="110" w:type="dxa"/>
              <w:end w:w="140" w:type="dxa"/>
            </w:tcMar>
          </w:tcPr>
          <w:p>
            <w:pPr>
              <w:spacing w:after="0"/>
            </w:pPr>
            <w:r>
              <w:rPr>
                <w:b/>
                <w:color w:val="176B87"/>
              </w:rPr>
              <w:t>Why this chapter matters: Identity is the primary cloud control plane. Weak federation, broad roles, long-lived keys and unmanaged service identities create the fastest path from one compromised credential to enterprise-wide impact.</w:t>
            </w:r>
          </w:p>
        </w:tc>
      </w:tr>
    </w:tbl>
    <w:p>
      <w:pPr>
        <w:spacing w:after="0"/>
      </w:pPr>
    </w:p>
    <w:p>
      <w:pPr>
        <w:pStyle w:val="Heading2"/>
        <w:keepNext/>
      </w:pPr>
      <w:r>
        <w:t>Learning Objectives</w:t>
      </w:r>
    </w:p>
    <w:p>
      <w:pPr>
        <w:pStyle w:val="ListBullet"/>
      </w:pPr>
      <w:r>
        <w:t>Design workforce federation and single sign-on.</w:t>
      </w:r>
    </w:p>
    <w:p>
      <w:pPr>
        <w:pStyle w:val="ListBullet"/>
      </w:pPr>
      <w:r>
        <w:t>Apply least privilege, separation of duties and just-in-time elevation.</w:t>
      </w:r>
    </w:p>
    <w:p>
      <w:pPr>
        <w:pStyle w:val="ListBullet"/>
      </w:pPr>
      <w:r>
        <w:t>Use workload identity instead of embedded access keys.</w:t>
      </w:r>
    </w:p>
    <w:p>
      <w:pPr>
        <w:pStyle w:val="ListBullet"/>
      </w:pPr>
      <w:r>
        <w:t>Create break-glass controls and identity recovery.</w:t>
      </w:r>
    </w:p>
    <w:p>
      <w:pPr>
        <w:pStyle w:val="ListBullet"/>
      </w:pPr>
      <w:r>
        <w:t>Audit identity lifecycle and privileged actions.</w:t>
      </w:r>
    </w:p>
    <w:p>
      <w:pPr>
        <w:pStyle w:val="Heading2"/>
        <w:keepNext/>
      </w:pPr>
      <w:r>
        <w:t>Core Concepts</w:t>
      </w:r>
    </w:p>
    <w:p>
      <w:pPr>
        <w:pStyle w:val="Heading3"/>
        <w:keepNext/>
      </w:pPr>
      <w:r>
        <w:t>Human and workload identity</w:t>
      </w:r>
    </w:p>
    <w:p>
      <w:pPr>
        <w:keepNext w:val="0"/>
      </w:pPr>
      <w:r>
        <w:t>Human users should authenticate through the enterprise identity provider and groups; workloads should use short-lived, platform-issued identity bound to runtime context. Their lifecycle and authorization models differ.</w:t>
      </w:r>
    </w:p>
    <w:p>
      <w:pPr>
        <w:pStyle w:val="Heading3"/>
        <w:keepNext/>
      </w:pPr>
      <w:r>
        <w:t>Least privilege as a process</w:t>
      </w:r>
    </w:p>
    <w:p>
      <w:pPr>
        <w:keepNext w:val="0"/>
      </w:pPr>
      <w:r>
        <w:t>Least privilege is not a one-time policy. Start with constrained roles, observe required actions, remove unused permissions, time-bound elevation and continuously review access.</w:t>
      </w:r>
    </w:p>
    <w:p>
      <w:pPr>
        <w:pStyle w:val="Heading3"/>
        <w:keepNext/>
      </w:pPr>
      <w:r>
        <w:t>Privileged access</w:t>
      </w:r>
    </w:p>
    <w:p>
      <w:pPr>
        <w:keepNext w:val="0"/>
      </w:pPr>
      <w:r>
        <w:t>Organization-level administration should require strong authentication, approval, limited duration, dedicated devices where appropriate and immutable audit trails.</w:t>
      </w:r>
    </w:p>
    <w:p>
      <w:pPr>
        <w:pStyle w:val="Heading3"/>
        <w:keepNext/>
      </w:pPr>
      <w:r>
        <w:t>Break-glass recovery</w:t>
      </w:r>
    </w:p>
    <w:p>
      <w:pPr>
        <w:keepNext w:val="0"/>
      </w:pPr>
      <w:r>
        <w:t>Emergency identities must be isolated from normal federation failure, strongly protected, monitored, periodically tested and used only through a documented incident process.</w:t>
      </w:r>
    </w:p>
    <w:p>
      <w:pPr>
        <w:pStyle w:val="Heading2"/>
        <w:keepNext/>
      </w:pPr>
      <w:r>
        <w:t>Architecture and Operating Decisions</w:t>
      </w:r>
    </w:p>
    <w:p>
      <w:pPr>
        <w:pStyle w:val="ListBullet"/>
      </w:pPr>
      <w:r>
        <w:t>Federate workforce identities; avoid standalone cloud users except controlled emergencies.</w:t>
      </w:r>
    </w:p>
    <w:p>
      <w:pPr>
        <w:pStyle w:val="ListBullet"/>
      </w:pPr>
      <w:r>
        <w:t>Use groups and roles rather than direct user grants.</w:t>
      </w:r>
    </w:p>
    <w:p>
      <w:pPr>
        <w:pStyle w:val="ListBullet"/>
      </w:pPr>
      <w:r>
        <w:t>Prefer OIDC or native workload identity federation over long-lived secrets.</w:t>
      </w:r>
    </w:p>
    <w:p>
      <w:pPr>
        <w:pStyle w:val="ListBullet"/>
      </w:pPr>
      <w:r>
        <w:t>Prohibit broad wildcard permissions unless explicitly risk accepted.</w:t>
      </w:r>
    </w:p>
    <w:p>
      <w:pPr>
        <w:pStyle w:val="ListBullet"/>
      </w:pPr>
      <w:r>
        <w:t>Test identity-provider outage and emergency access annually.</w:t>
      </w:r>
    </w:p>
    <w:p>
      <w:pPr>
        <w:pStyle w:val="Heading2"/>
        <w:keepNext/>
      </w:pPr>
      <w:r>
        <w:t>Reference Configuration or Decision Pattern</w:t>
      </w:r>
    </w:p>
    <w:tbl>
      <w:tblPr>
        <w:tblW w:type="auto" w:w="0"/>
        <w:jc w:val="center"/>
        <w:tblLook w:firstColumn="1" w:firstRow="1" w:lastColumn="0" w:lastRow="0" w:noHBand="0" w:noVBand="1" w:val="04A0"/>
      </w:tblPr>
      <w:tblGrid>
        <w:gridCol w:w="10166"/>
      </w:tblGrid>
      <w:tr>
        <w:trPr>
          <w:cantSplit/>
        </w:trPr>
        <w:tc>
          <w:tcPr>
            <w:tcW w:type="dxa" w:w="10166"/>
            <w:shd w:fill="F3F5F7"/>
            <w:tcMar>
              <w:top w:w="90" w:type="dxa"/>
              <w:start w:w="120" w:type="dxa"/>
              <w:bottom w:w="90" w:type="dxa"/>
              <w:end w:w="120" w:type="dxa"/>
            </w:tcMar>
          </w:tcPr>
          <w:p>
            <w:pPr>
              <w:spacing w:after="0" w:line="240" w:lineRule="auto"/>
            </w:pPr>
            <w:r>
              <w:rPr>
                <w:rFonts w:ascii="DejaVu Sans Mono" w:hAnsi="DejaVu Sans Mono" w:eastAsia="DejaVu Sans Mono"/>
                <w:color w:val="1F2933"/>
                <w:sz w:val="14"/>
              </w:rPr>
              <w:t>identity_standard:</w:t>
              <w:br/>
              <w:t xml:space="preserve">  workforce:</w:t>
              <w:br/>
              <w:t xml:space="preserve">    source: enterprise-idp</w:t>
              <w:br/>
              <w:t xml:space="preserve">    mfa: phishing-resistant</w:t>
              <w:br/>
              <w:t xml:space="preserve">    direct-user-grants: prohibited</w:t>
              <w:br/>
              <w:t xml:space="preserve">  privilege:</w:t>
              <w:br/>
              <w:t xml:space="preserve">    standing-global-admins: 0</w:t>
              <w:br/>
              <w:t xml:space="preserve">    elevation: approval-and-time-bound</w:t>
              <w:br/>
              <w:t xml:space="preserve">  workloads:</w:t>
              <w:br/>
              <w:t xml:space="preserve">    authentication: oidc-or-native-workload-identity</w:t>
              <w:br/>
              <w:t xml:space="preserve">    long-lived-access-keys: prohibited</w:t>
              <w:br/>
              <w:t xml:space="preserve">  break_glass:</w:t>
              <w:br/>
              <w:t xml:space="preserve">    accounts: 2</w:t>
              <w:br/>
              <w:t xml:space="preserve">    monitoring: immediate-alert</w:t>
              <w:br/>
              <w:t xml:space="preserve">    test_frequency: quarterly</w:t>
              <w:br/>
              <w:t xml:space="preserve">  reviews:</w:t>
              <w:br/>
              <w:t xml:space="preserve">    access: quarterly</w:t>
              <w:br/>
              <w:t xml:space="preserve">    service-identities: monthly</w:t>
            </w:r>
          </w:p>
        </w:tc>
      </w:tr>
    </w:tbl>
    <w:p>
      <w:r>
        <w:rPr>
          <w:b/>
        </w:rPr>
        <w:t xml:space="preserve">Interpretation: </w:t>
      </w:r>
      <w:r>
        <w:t>Identity standards should be enforceable through policy, CI checks, detection and recurring review rather than relying only on training.</w:t>
      </w:r>
    </w:p>
    <w:p>
      <w:pPr>
        <w:pStyle w:val="Heading2"/>
        <w:keepNext/>
      </w:pPr>
      <w:r>
        <w:t>Production Readiness Checklist</w:t>
      </w:r>
    </w:p>
    <w:p>
      <w:pPr>
        <w:ind w:left="259" w:hanging="259"/>
      </w:pPr>
      <w:r>
        <w:t>☐ All human access is federated and strongly authenticated.</w:t>
      </w:r>
    </w:p>
    <w:p>
      <w:pPr>
        <w:ind w:left="259" w:hanging="259"/>
      </w:pPr>
      <w:r>
        <w:t>☐ No routine standing organization-wide administrator exists.</w:t>
      </w:r>
    </w:p>
    <w:p>
      <w:pPr>
        <w:ind w:left="259" w:hanging="259"/>
      </w:pPr>
      <w:r>
        <w:t>☐ Workloads use short-lived identities with audience and scope restrictions.</w:t>
      </w:r>
    </w:p>
    <w:p>
      <w:pPr>
        <w:ind w:left="259" w:hanging="259"/>
      </w:pPr>
      <w:r>
        <w:t>☐ Credential and role lifecycle is linked to HR and service ownership.</w:t>
      </w:r>
    </w:p>
    <w:p>
      <w:pPr>
        <w:ind w:left="259" w:hanging="259"/>
      </w:pPr>
      <w:r>
        <w:t>☐ Emergency access is monitored and tested without exposing credentials.</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70" w:type="dxa"/>
              <w:start w:w="90" w:type="dxa"/>
              <w:bottom w:w="70" w:type="dxa"/>
              <w:end w:w="90" w:type="dxa"/>
            </w:tcMar>
            <w:vAlign w:val="center"/>
          </w:tcPr>
          <w:p>
            <w:r>
              <w:rPr>
                <w:b/>
                <w:color w:val="FFFFFF"/>
                <w:sz w:val="14"/>
              </w:rPr>
              <w:t>Symptom</w:t>
            </w:r>
          </w:p>
        </w:tc>
        <w:tc>
          <w:tcPr>
            <w:tcW w:type="dxa" w:w="2376"/>
            <w:shd w:fill="176B87"/>
            <w:tcMar>
              <w:top w:w="70" w:type="dxa"/>
              <w:start w:w="90" w:type="dxa"/>
              <w:bottom w:w="70" w:type="dxa"/>
              <w:end w:w="90" w:type="dxa"/>
            </w:tcMar>
            <w:vAlign w:val="center"/>
          </w:tcPr>
          <w:p>
            <w:r>
              <w:rPr>
                <w:b/>
                <w:color w:val="FFFFFF"/>
                <w:sz w:val="14"/>
              </w:rPr>
              <w:t>Likely cause</w:t>
            </w:r>
          </w:p>
        </w:tc>
        <w:tc>
          <w:tcPr>
            <w:tcW w:type="dxa" w:w="3096"/>
            <w:shd w:fill="176B87"/>
            <w:tcMar>
              <w:top w:w="70" w:type="dxa"/>
              <w:start w:w="90" w:type="dxa"/>
              <w:bottom w:w="70" w:type="dxa"/>
              <w:end w:w="90" w:type="dxa"/>
            </w:tcMar>
            <w:vAlign w:val="center"/>
          </w:tcPr>
          <w:p>
            <w:r>
              <w:rPr>
                <w:b/>
                <w:color w:val="FFFFFF"/>
                <w:sz w:val="14"/>
              </w:rPr>
              <w:t>Corrective action</w:t>
            </w:r>
          </w:p>
        </w:tc>
        <w:tc>
          <w:tcPr>
            <w:tcW w:type="dxa" w:w="2232"/>
            <w:shd w:fill="176B87"/>
            <w:tcMar>
              <w:top w:w="70" w:type="dxa"/>
              <w:start w:w="90" w:type="dxa"/>
              <w:bottom w:w="70" w:type="dxa"/>
              <w:end w:w="90" w:type="dxa"/>
            </w:tcMar>
            <w:vAlign w:val="center"/>
          </w:tcPr>
          <w:p>
            <w:r>
              <w:rPr>
                <w:b/>
                <w:color w:val="FFFFFF"/>
                <w:sz w:val="14"/>
              </w:rPr>
              <w:t>Validation evidence</w:t>
            </w:r>
          </w:p>
        </w:tc>
      </w:tr>
      <w:tr>
        <w:trPr>
          <w:cantSplit/>
        </w:trPr>
        <w:tc>
          <w:tcPr>
            <w:tcW w:type="dxa" w:w="1944"/>
            <w:tcMar>
              <w:top w:w="70" w:type="dxa"/>
              <w:start w:w="90" w:type="dxa"/>
              <w:bottom w:w="70" w:type="dxa"/>
              <w:end w:w="90" w:type="dxa"/>
            </w:tcMar>
            <w:vAlign w:val="top"/>
          </w:tcPr>
          <w:p>
            <w:r>
              <w:rPr>
                <w:sz w:val="14"/>
              </w:rPr>
              <w:t>Unknown user has access</w:t>
            </w:r>
          </w:p>
        </w:tc>
        <w:tc>
          <w:tcPr>
            <w:tcW w:type="dxa" w:w="2376"/>
            <w:tcMar>
              <w:top w:w="70" w:type="dxa"/>
              <w:start w:w="90" w:type="dxa"/>
              <w:bottom w:w="70" w:type="dxa"/>
              <w:end w:w="90" w:type="dxa"/>
            </w:tcMar>
            <w:vAlign w:val="top"/>
          </w:tcPr>
          <w:p>
            <w:r>
              <w:rPr>
                <w:sz w:val="14"/>
              </w:rPr>
              <w:t>Direct grants bypass group lifecycle</w:t>
            </w:r>
          </w:p>
        </w:tc>
        <w:tc>
          <w:tcPr>
            <w:tcW w:type="dxa" w:w="3096"/>
            <w:tcMar>
              <w:top w:w="70" w:type="dxa"/>
              <w:start w:w="90" w:type="dxa"/>
              <w:bottom w:w="70" w:type="dxa"/>
              <w:end w:w="90" w:type="dxa"/>
            </w:tcMar>
            <w:vAlign w:val="top"/>
          </w:tcPr>
          <w:p>
            <w:r>
              <w:rPr>
                <w:sz w:val="14"/>
              </w:rPr>
              <w:t>Migrate to group-based role assignment</w:t>
            </w:r>
          </w:p>
        </w:tc>
        <w:tc>
          <w:tcPr>
            <w:tcW w:type="dxa" w:w="2232"/>
            <w:tcMar>
              <w:top w:w="70" w:type="dxa"/>
              <w:start w:w="90" w:type="dxa"/>
              <w:bottom w:w="70" w:type="dxa"/>
              <w:end w:w="90" w:type="dxa"/>
            </w:tcMar>
            <w:vAlign w:val="top"/>
          </w:tcPr>
          <w:p>
            <w:r>
              <w:rPr>
                <w:sz w:val="14"/>
              </w:rPr>
              <w:t>Access graph contains only approved principals</w:t>
            </w:r>
          </w:p>
        </w:tc>
      </w:tr>
      <w:tr>
        <w:trPr>
          <w:cantSplit/>
        </w:trPr>
        <w:tc>
          <w:tcPr>
            <w:tcW w:type="dxa" w:w="1944"/>
            <w:tcMar>
              <w:top w:w="70" w:type="dxa"/>
              <w:start w:w="90" w:type="dxa"/>
              <w:bottom w:w="70" w:type="dxa"/>
              <w:end w:w="90" w:type="dxa"/>
            </w:tcMar>
            <w:vAlign w:val="top"/>
          </w:tcPr>
          <w:p>
            <w:r>
              <w:rPr>
                <w:sz w:val="14"/>
              </w:rPr>
              <w:t>CI uses static cloud key</w:t>
            </w:r>
          </w:p>
        </w:tc>
        <w:tc>
          <w:tcPr>
            <w:tcW w:type="dxa" w:w="2376"/>
            <w:tcMar>
              <w:top w:w="70" w:type="dxa"/>
              <w:start w:w="90" w:type="dxa"/>
              <w:bottom w:w="70" w:type="dxa"/>
              <w:end w:w="90" w:type="dxa"/>
            </w:tcMar>
            <w:vAlign w:val="top"/>
          </w:tcPr>
          <w:p>
            <w:r>
              <w:rPr>
                <w:sz w:val="14"/>
              </w:rPr>
              <w:t>No workload federation configured</w:t>
            </w:r>
          </w:p>
        </w:tc>
        <w:tc>
          <w:tcPr>
            <w:tcW w:type="dxa" w:w="3096"/>
            <w:tcMar>
              <w:top w:w="70" w:type="dxa"/>
              <w:start w:w="90" w:type="dxa"/>
              <w:bottom w:w="70" w:type="dxa"/>
              <w:end w:w="90" w:type="dxa"/>
            </w:tcMar>
            <w:vAlign w:val="top"/>
          </w:tcPr>
          <w:p>
            <w:r>
              <w:rPr>
                <w:sz w:val="14"/>
              </w:rPr>
              <w:t>Use OIDC trust and short-lived token exchange</w:t>
            </w:r>
          </w:p>
        </w:tc>
        <w:tc>
          <w:tcPr>
            <w:tcW w:type="dxa" w:w="2232"/>
            <w:tcMar>
              <w:top w:w="70" w:type="dxa"/>
              <w:start w:w="90" w:type="dxa"/>
              <w:bottom w:w="70" w:type="dxa"/>
              <w:end w:w="90" w:type="dxa"/>
            </w:tcMar>
            <w:vAlign w:val="top"/>
          </w:tcPr>
          <w:p>
            <w:r>
              <w:rPr>
                <w:sz w:val="14"/>
              </w:rPr>
              <w:t>Secret scan finds no cloud key</w:t>
            </w:r>
          </w:p>
        </w:tc>
      </w:tr>
      <w:tr>
        <w:trPr>
          <w:cantSplit/>
        </w:trPr>
        <w:tc>
          <w:tcPr>
            <w:tcW w:type="dxa" w:w="1944"/>
            <w:tcMar>
              <w:top w:w="70" w:type="dxa"/>
              <w:start w:w="90" w:type="dxa"/>
              <w:bottom w:w="70" w:type="dxa"/>
              <w:end w:w="90" w:type="dxa"/>
            </w:tcMar>
            <w:vAlign w:val="top"/>
          </w:tcPr>
          <w:p>
            <w:r>
              <w:rPr>
                <w:sz w:val="14"/>
              </w:rPr>
              <w:t>Admin blocked during IdP outage</w:t>
            </w:r>
          </w:p>
        </w:tc>
        <w:tc>
          <w:tcPr>
            <w:tcW w:type="dxa" w:w="2376"/>
            <w:tcMar>
              <w:top w:w="70" w:type="dxa"/>
              <w:start w:w="90" w:type="dxa"/>
              <w:bottom w:w="70" w:type="dxa"/>
              <w:end w:w="90" w:type="dxa"/>
            </w:tcMar>
            <w:vAlign w:val="top"/>
          </w:tcPr>
          <w:p>
            <w:r>
              <w:rPr>
                <w:sz w:val="14"/>
              </w:rPr>
              <w:t>No tested emergency path</w:t>
            </w:r>
          </w:p>
        </w:tc>
        <w:tc>
          <w:tcPr>
            <w:tcW w:type="dxa" w:w="3096"/>
            <w:tcMar>
              <w:top w:w="70" w:type="dxa"/>
              <w:start w:w="90" w:type="dxa"/>
              <w:bottom w:w="70" w:type="dxa"/>
              <w:end w:w="90" w:type="dxa"/>
            </w:tcMar>
            <w:vAlign w:val="top"/>
          </w:tcPr>
          <w:p>
            <w:r>
              <w:rPr>
                <w:sz w:val="14"/>
              </w:rPr>
              <w:t>Create and exercise break-glass process</w:t>
            </w:r>
          </w:p>
        </w:tc>
        <w:tc>
          <w:tcPr>
            <w:tcW w:type="dxa" w:w="2232"/>
            <w:tcMar>
              <w:top w:w="70" w:type="dxa"/>
              <w:start w:w="90" w:type="dxa"/>
              <w:bottom w:w="70" w:type="dxa"/>
              <w:end w:w="90" w:type="dxa"/>
            </w:tcMar>
            <w:vAlign w:val="top"/>
          </w:tcPr>
          <w:p>
            <w:r>
              <w:rPr>
                <w:sz w:val="14"/>
              </w:rPr>
              <w:t>Quarterly recovery evidence exists</w:t>
            </w:r>
          </w:p>
        </w:tc>
      </w:tr>
      <w:tr>
        <w:trPr>
          <w:cantSplit/>
        </w:trPr>
        <w:tc>
          <w:tcPr>
            <w:tcW w:type="dxa" w:w="1944"/>
            <w:tcMar>
              <w:top w:w="70" w:type="dxa"/>
              <w:start w:w="90" w:type="dxa"/>
              <w:bottom w:w="70" w:type="dxa"/>
              <w:end w:w="90" w:type="dxa"/>
            </w:tcMar>
            <w:vAlign w:val="top"/>
          </w:tcPr>
          <w:p>
            <w:r>
              <w:rPr>
                <w:sz w:val="14"/>
              </w:rPr>
              <w:t>Role is too broad</w:t>
            </w:r>
          </w:p>
        </w:tc>
        <w:tc>
          <w:tcPr>
            <w:tcW w:type="dxa" w:w="2376"/>
            <w:tcMar>
              <w:top w:w="70" w:type="dxa"/>
              <w:start w:w="90" w:type="dxa"/>
              <w:bottom w:w="70" w:type="dxa"/>
              <w:end w:w="90" w:type="dxa"/>
            </w:tcMar>
            <w:vAlign w:val="top"/>
          </w:tcPr>
          <w:p>
            <w:r>
              <w:rPr>
                <w:sz w:val="14"/>
              </w:rPr>
              <w:t>Permissions copied from managed admin role</w:t>
            </w:r>
          </w:p>
        </w:tc>
        <w:tc>
          <w:tcPr>
            <w:tcW w:type="dxa" w:w="3096"/>
            <w:tcMar>
              <w:top w:w="70" w:type="dxa"/>
              <w:start w:w="90" w:type="dxa"/>
              <w:bottom w:w="70" w:type="dxa"/>
              <w:end w:w="90" w:type="dxa"/>
            </w:tcMar>
            <w:vAlign w:val="top"/>
          </w:tcPr>
          <w:p>
            <w:r>
              <w:rPr>
                <w:sz w:val="14"/>
              </w:rPr>
              <w:t>Analyze usage and create task role</w:t>
            </w:r>
          </w:p>
        </w:tc>
        <w:tc>
          <w:tcPr>
            <w:tcW w:type="dxa" w:w="2232"/>
            <w:tcMar>
              <w:top w:w="70" w:type="dxa"/>
              <w:start w:w="90" w:type="dxa"/>
              <w:bottom w:w="70" w:type="dxa"/>
              <w:end w:w="90" w:type="dxa"/>
            </w:tcMar>
            <w:vAlign w:val="top"/>
          </w:tcPr>
          <w:p>
            <w:r>
              <w:rPr>
                <w:sz w:val="14"/>
              </w:rPr>
              <w:t>Denied test proves unnecessary actions blocked</w:t>
            </w:r>
          </w:p>
        </w:tc>
      </w:tr>
    </w:tbl>
    <w:p>
      <w:pPr>
        <w:pStyle w:val="Heading2"/>
        <w:keepNext/>
      </w:pPr>
      <w:r>
        <w:t>Hands-on Lab 5: Build a Cloud Identity Control Blueprint</w:t>
      </w:r>
    </w:p>
    <w:p>
      <w:pPr>
        <w:pStyle w:val="Heading3"/>
        <w:keepNext/>
      </w:pPr>
      <w:r>
        <w:t>Prerequisites</w:t>
      </w:r>
    </w:p>
    <w:p>
      <w:pPr>
        <w:pStyle w:val="ListBullet"/>
      </w:pPr>
      <w:r>
        <w:t>A lab identity provider or documented simulation.</w:t>
      </w:r>
    </w:p>
    <w:p>
      <w:pPr>
        <w:pStyle w:val="ListBullet"/>
      </w:pPr>
      <w:r>
        <w:t>Sample developer, operator, auditor and CI workload roles.</w:t>
      </w:r>
    </w:p>
    <w:p>
      <w:pPr>
        <w:pStyle w:val="Heading3"/>
        <w:keepNext/>
      </w:pPr>
      <w:r>
        <w:t>Implementation</w:t>
      </w:r>
    </w:p>
    <w:p>
      <w:pPr>
        <w:ind w:left="360" w:hanging="360"/>
      </w:pPr>
      <w:r>
        <w:rPr>
          <w:b/>
        </w:rPr>
        <w:t xml:space="preserve">1. </w:t>
      </w:r>
      <w:r>
        <w:t>Create human and workload identity inventories.</w:t>
      </w:r>
    </w:p>
    <w:p>
      <w:pPr>
        <w:ind w:left="360" w:hanging="360"/>
      </w:pPr>
      <w:r>
        <w:rPr>
          <w:b/>
        </w:rPr>
        <w:t xml:space="preserve">2. </w:t>
      </w:r>
      <w:r>
        <w:t>Define federation, group, role and privilege-elevation flows.</w:t>
      </w:r>
    </w:p>
    <w:p>
      <w:pPr>
        <w:ind w:left="360" w:hanging="360"/>
      </w:pPr>
      <w:r>
        <w:rPr>
          <w:b/>
        </w:rPr>
        <w:t xml:space="preserve">3. </w:t>
      </w:r>
      <w:r>
        <w:t>Write least-privilege role matrices for four personas.</w:t>
      </w:r>
    </w:p>
    <w:p>
      <w:pPr>
        <w:ind w:left="360" w:hanging="360"/>
      </w:pPr>
      <w:r>
        <w:rPr>
          <w:b/>
        </w:rPr>
        <w:t xml:space="preserve">4. </w:t>
      </w:r>
      <w:r>
        <w:t>Design OIDC-based CI authentication without a long-lived key.</w:t>
      </w:r>
    </w:p>
    <w:p>
      <w:pPr>
        <w:ind w:left="360" w:hanging="360"/>
      </w:pPr>
      <w:r>
        <w:rPr>
          <w:b/>
        </w:rPr>
        <w:t xml:space="preserve">5. </w:t>
      </w:r>
      <w:r>
        <w:t>Create break-glass procedure and tabletop IdP outage.</w:t>
      </w:r>
    </w:p>
    <w:p>
      <w:pPr>
        <w:ind w:left="360" w:hanging="360"/>
      </w:pPr>
      <w:r>
        <w:rPr>
          <w:b/>
        </w:rPr>
        <w:t xml:space="preserve">6. </w:t>
      </w:r>
      <w:r>
        <w:t>Define access-review and orphaned-identity detection queries.</w:t>
      </w:r>
    </w:p>
    <w:p>
      <w:pPr>
        <w:pStyle w:val="Heading3"/>
        <w:keepNext/>
      </w:pPr>
      <w:r>
        <w:t>Validation Evidence</w:t>
      </w:r>
    </w:p>
    <w:p>
      <w:pPr>
        <w:pStyle w:val="ListBullet"/>
      </w:pPr>
      <w:r>
        <w:t>Identity architecture diagram.</w:t>
      </w:r>
    </w:p>
    <w:p>
      <w:pPr>
        <w:pStyle w:val="ListBullet"/>
      </w:pPr>
      <w:r>
        <w:t>Role and permission matrix.</w:t>
      </w:r>
    </w:p>
    <w:p>
      <w:pPr>
        <w:pStyle w:val="ListBullet"/>
      </w:pPr>
      <w:r>
        <w:t>Workload federation configuration and emergency test record.</w:t>
      </w:r>
    </w:p>
    <w:p>
      <w:pPr>
        <w:pStyle w:val="Heading3"/>
        <w:keepNext/>
      </w:pPr>
      <w:r>
        <w:t>Cleanup</w:t>
      </w:r>
    </w:p>
    <w:p>
      <w:pPr>
        <w:pStyle w:val="ListBullet"/>
      </w:pPr>
      <w:r>
        <w:t>Delete temporary trust relationships and test credentials.</w:t>
      </w:r>
    </w:p>
    <w:p>
      <w:pPr>
        <w:pStyle w:val="ListBullet"/>
      </w:pPr>
      <w:r>
        <w:t>Verify logs contain the test actions and no secrets were committed.</w:t>
      </w:r>
    </w:p>
    <w:p>
      <w:pPr>
        <w:pStyle w:val="Heading2"/>
        <w:keepNext/>
      </w:pPr>
      <w:r>
        <w:t>Interview Questions and Model Answers</w:t>
      </w:r>
    </w:p>
    <w:p>
      <w:r>
        <w:rPr>
          <w:b/>
        </w:rPr>
        <w:t>1. Why prefer federation?</w:t>
      </w:r>
    </w:p>
    <w:p>
      <w:pPr>
        <w:ind w:left="259"/>
      </w:pPr>
      <w:r>
        <w:t>It centralizes lifecycle, authentication strength and policy while reducing unmanaged provider-local identities.</w:t>
      </w:r>
    </w:p>
    <w:p>
      <w:r>
        <w:rPr>
          <w:b/>
        </w:rPr>
        <w:t>2. What is workload identity federation?</w:t>
      </w:r>
    </w:p>
    <w:p>
      <w:pPr>
        <w:ind w:left="259"/>
      </w:pPr>
      <w:r>
        <w:t>A workload exchanges trusted runtime or OIDC identity for short-lived cloud credentials instead of storing a static key.</w:t>
      </w:r>
    </w:p>
    <w:p>
      <w:r>
        <w:rPr>
          <w:b/>
        </w:rPr>
        <w:t>3. How do you implement least privilege?</w:t>
      </w:r>
    </w:p>
    <w:p>
      <w:pPr>
        <w:ind w:left="259"/>
      </w:pPr>
      <w:r>
        <w:t>Use scoped roles, time-bound elevation, usage analysis, policy testing, access reviews and removal of unused permissions.</w:t>
      </w:r>
    </w:p>
    <w:p>
      <w:r>
        <w:rPr>
          <w:b/>
        </w:rPr>
        <w:t>4. What makes break-glass safe?</w:t>
      </w:r>
    </w:p>
    <w:p>
      <w:pPr>
        <w:ind w:left="259"/>
      </w:pPr>
      <w:r>
        <w:t>Independent authentication, strong protection, no routine use, immediate monitoring, dual control and periodic testing.</w:t>
      </w:r>
    </w:p>
    <w:p>
      <w:pPr>
        <w:pStyle w:val="Heading2"/>
        <w:keepNext/>
      </w:pPr>
      <w:r>
        <w:t>Chapter Summary</w:t>
      </w:r>
    </w:p>
    <w:p>
      <w:pPr>
        <w:pStyle w:val="ListBullet"/>
      </w:pPr>
      <w:r>
        <w:t>Identity is the cloud security perimeter.</w:t>
      </w:r>
    </w:p>
    <w:p>
      <w:pPr>
        <w:pStyle w:val="ListBullet"/>
      </w:pPr>
      <w:r>
        <w:t>Human and workload identities require different controls.</w:t>
      </w:r>
    </w:p>
    <w:p>
      <w:pPr>
        <w:pStyle w:val="ListBullet"/>
      </w:pPr>
      <w:r>
        <w:t>Standing privilege and long-lived keys should be minimized.</w:t>
      </w:r>
    </w:p>
    <w:p>
      <w:pPr>
        <w:pStyle w:val="ListBullet"/>
      </w:pPr>
      <w:r>
        <w:t>Emergency access must be tested.</w:t>
      </w:r>
    </w:p>
    <w:p>
      <w:r>
        <w:br w:type="page"/>
      </w:r>
    </w:p>
    <w:p>
      <w:pPr>
        <w:jc w:val="center"/>
      </w:pPr>
      <w:r>
        <w:rPr>
          <w:b/>
          <w:color w:val="14919B"/>
          <w:sz w:val="17"/>
        </w:rPr>
        <w:t>VOLUME 12A  |  CHAPTER 6</w:t>
      </w:r>
    </w:p>
    <w:p>
      <w:pPr>
        <w:pStyle w:val="Heading1"/>
        <w:jc w:val="center"/>
      </w:pPr>
      <w:r>
        <w:t>Chapter 6: Cloud Networking, DNS and Hybrid Connectivity Foundations</w:t>
      </w:r>
    </w:p>
    <w:p>
      <w:pPr>
        <w:jc w:val="center"/>
      </w:pPr>
      <w:r>
        <w:rPr>
          <w:i/>
          <w:color w:val="4B5563"/>
          <w:sz w:val="20"/>
        </w:rPr>
        <w:t>Building routable, observable and resilient connectivity without address chaos</w:t>
      </w:r>
    </w:p>
    <w:tbl>
      <w:tblPr>
        <w:tblW w:type="auto" w:w="0"/>
        <w:jc w:val="center"/>
        <w:tblLook w:firstColumn="1" w:firstRow="1" w:lastColumn="0" w:lastRow="0" w:noHBand="0" w:noVBand="1" w:val="04A0"/>
      </w:tblPr>
      <w:tblGrid>
        <w:gridCol w:w="10166"/>
      </w:tblGrid>
      <w:tr>
        <w:trPr>
          <w:cantSplit/>
        </w:trPr>
        <w:tc>
          <w:tcPr>
            <w:tcW w:type="dxa" w:w="10166"/>
            <w:shd w:fill="E8F2F5"/>
            <w:tcMar>
              <w:top w:w="110" w:type="dxa"/>
              <w:start w:w="140" w:type="dxa"/>
              <w:bottom w:w="110" w:type="dxa"/>
              <w:end w:w="140" w:type="dxa"/>
            </w:tcMar>
          </w:tcPr>
          <w:p>
            <w:pPr>
              <w:spacing w:after="0"/>
            </w:pPr>
            <w:r>
              <w:rPr>
                <w:b/>
                <w:color w:val="176B87"/>
              </w:rPr>
              <w:t>Why this chapter matters: Networking mistakes propagate across every workload. Overlapping CIDRs, uncontrolled egress, fragile DNS and untested hybrid paths can block migration, enlarge attack surface and turn a localized failure into a company-wide outage.</w:t>
            </w:r>
          </w:p>
        </w:tc>
      </w:tr>
    </w:tbl>
    <w:p>
      <w:pPr>
        <w:spacing w:after="0"/>
      </w:pPr>
    </w:p>
    <w:p>
      <w:pPr>
        <w:pStyle w:val="Heading2"/>
        <w:keepNext/>
      </w:pPr>
      <w:r>
        <w:t>Learning Objectives</w:t>
      </w:r>
    </w:p>
    <w:p>
      <w:pPr>
        <w:pStyle w:val="ListBullet"/>
      </w:pPr>
      <w:r>
        <w:t>Design IP address management and nonoverlapping network ranges.</w:t>
      </w:r>
    </w:p>
    <w:p>
      <w:pPr>
        <w:pStyle w:val="ListBullet"/>
      </w:pPr>
      <w:r>
        <w:t>Compare hub-and-spoke, transit and shared-network models.</w:t>
      </w:r>
    </w:p>
    <w:p>
      <w:pPr>
        <w:pStyle w:val="ListBullet"/>
      </w:pPr>
      <w:r>
        <w:t>Plan private connectivity, ingress, egress, DNS and service endpoints.</w:t>
      </w:r>
    </w:p>
    <w:p>
      <w:pPr>
        <w:pStyle w:val="ListBullet"/>
      </w:pPr>
      <w:r>
        <w:t>Integrate on-premises and multiple clouds safely.</w:t>
      </w:r>
    </w:p>
    <w:p>
      <w:pPr>
        <w:pStyle w:val="ListBullet"/>
      </w:pPr>
      <w:r>
        <w:t>Validate routes, MTU, DNS, TLS and failure behavior.</w:t>
      </w:r>
    </w:p>
    <w:p>
      <w:pPr>
        <w:pStyle w:val="Heading2"/>
        <w:keepNext/>
      </w:pPr>
      <w:r>
        <w:t>Core Concepts</w:t>
      </w:r>
    </w:p>
    <w:p>
      <w:pPr>
        <w:pStyle w:val="Heading3"/>
        <w:keepNext/>
      </w:pPr>
      <w:r>
        <w:t>Address management</w:t>
      </w:r>
    </w:p>
    <w:p>
      <w:pPr>
        <w:keepNext w:val="0"/>
      </w:pPr>
      <w:r>
        <w:t>CIDR allocation is an enterprise resource. Central IPAM prevents overlap and reserves space for growth, acquisitions, clusters, service networking and future regions.</w:t>
      </w:r>
    </w:p>
    <w:p>
      <w:pPr>
        <w:pStyle w:val="Heading3"/>
        <w:keepNext/>
      </w:pPr>
      <w:r>
        <w:t>Connectivity topology</w:t>
      </w:r>
    </w:p>
    <w:p>
      <w:pPr>
        <w:keepNext w:val="0"/>
      </w:pPr>
      <w:r>
        <w:t>Hub-and-spoke centralizes inspection and shared services; provider-native transit simplifies large-scale routing. Mesh connectivity can become operationally difficult and should be justified.</w:t>
      </w:r>
    </w:p>
    <w:p>
      <w:pPr>
        <w:pStyle w:val="Heading3"/>
        <w:keepNext/>
      </w:pPr>
      <w:r>
        <w:t>Ingress and egress</w:t>
      </w:r>
    </w:p>
    <w:p>
      <w:pPr>
        <w:keepNext w:val="0"/>
      </w:pPr>
      <w:r>
        <w:t>Inbound and outbound flows need explicit trust, routing, inspection, identity and logging. Private service access reduces public exposure but adds DNS and endpoint dependencies.</w:t>
      </w:r>
    </w:p>
    <w:p>
      <w:pPr>
        <w:pStyle w:val="Heading3"/>
        <w:keepNext/>
      </w:pPr>
      <w:r>
        <w:t>DNS as a dependency</w:t>
      </w:r>
    </w:p>
    <w:p>
      <w:pPr>
        <w:keepNext w:val="0"/>
      </w:pPr>
      <w:r>
        <w:t>Hybrid name resolution requires clear authority, forwarding, split-horizon behavior, caching and recovery. DNS failures frequently look like application or network failures.</w:t>
      </w:r>
    </w:p>
    <w:p>
      <w:pPr>
        <w:pStyle w:val="Heading2"/>
        <w:keepNext/>
      </w:pPr>
      <w:r>
        <w:t>Architecture and Operating Decisions</w:t>
      </w:r>
    </w:p>
    <w:p>
      <w:pPr>
        <w:pStyle w:val="ListBullet"/>
      </w:pPr>
      <w:r>
        <w:t>Maintain a single enterprise IPAM authority.</w:t>
      </w:r>
    </w:p>
    <w:p>
      <w:pPr>
        <w:pStyle w:val="ListBullet"/>
      </w:pPr>
      <w:r>
        <w:t>Default deny unsolicited paths and document required flows.</w:t>
      </w:r>
    </w:p>
    <w:p>
      <w:pPr>
        <w:pStyle w:val="ListBullet"/>
      </w:pPr>
      <w:r>
        <w:t>Use redundant private connectivity for critical hybrid workloads.</w:t>
      </w:r>
    </w:p>
    <w:p>
      <w:pPr>
        <w:pStyle w:val="ListBullet"/>
      </w:pPr>
      <w:r>
        <w:t>Centralize egress policy where it improves control without creating an unscaled choke point.</w:t>
      </w:r>
    </w:p>
    <w:p>
      <w:pPr>
        <w:pStyle w:val="ListBullet"/>
      </w:pPr>
      <w:r>
        <w:t>Test route convergence, DNS failover, asymmetric routing and MTU before production.</w:t>
      </w:r>
    </w:p>
    <w:p>
      <w:pPr>
        <w:pStyle w:val="Heading2"/>
        <w:keepNext/>
      </w:pPr>
      <w:r>
        <w:t>Reference Configuration or Decision Pattern</w:t>
      </w:r>
    </w:p>
    <w:tbl>
      <w:tblPr>
        <w:tblW w:type="auto" w:w="0"/>
        <w:jc w:val="center"/>
        <w:tblLook w:firstColumn="1" w:firstRow="1" w:lastColumn="0" w:lastRow="0" w:noHBand="0" w:noVBand="1" w:val="04A0"/>
      </w:tblPr>
      <w:tblGrid>
        <w:gridCol w:w="10166"/>
      </w:tblGrid>
      <w:tr>
        <w:trPr>
          <w:cantSplit/>
        </w:trPr>
        <w:tc>
          <w:tcPr>
            <w:tcW w:type="dxa" w:w="10166"/>
            <w:shd w:fill="F3F5F7"/>
            <w:tcMar>
              <w:top w:w="90" w:type="dxa"/>
              <w:start w:w="120" w:type="dxa"/>
              <w:bottom w:w="90" w:type="dxa"/>
              <w:end w:w="120" w:type="dxa"/>
            </w:tcMar>
          </w:tcPr>
          <w:p>
            <w:pPr>
              <w:spacing w:after="0" w:line="240" w:lineRule="auto"/>
            </w:pPr>
            <w:r>
              <w:rPr>
                <w:rFonts w:ascii="DejaVu Sans Mono" w:hAnsi="DejaVu Sans Mono" w:eastAsia="DejaVu Sans Mono"/>
                <w:color w:val="1F2933"/>
                <w:sz w:val="14"/>
              </w:rPr>
              <w:t>address_plan:</w:t>
              <w:br/>
              <w:t xml:space="preserve">  on_premises: 10.0.0.0/8</w:t>
              <w:br/>
              <w:t xml:space="preserve">  aws:</w:t>
              <w:br/>
              <w:t xml:space="preserve">    prod-ap-south-1: 172.16.0.0/16</w:t>
              <w:br/>
              <w:t xml:space="preserve">    nonprod-ap-south-1: 172.17.0.0/16</w:t>
              <w:br/>
              <w:t xml:space="preserve">  azure:</w:t>
              <w:br/>
              <w:t xml:space="preserve">    prod-central-india: 172.20.0.0/16</w:t>
              <w:br/>
              <w:t xml:space="preserve">    nonprod-central-india: 172.21.0.0/16</w:t>
              <w:br/>
              <w:t xml:space="preserve">  gcp:</w:t>
              <w:br/>
              <w:t xml:space="preserve">    prod-asia-south1: 172.24.0.0/16</w:t>
              <w:br/>
              <w:t xml:space="preserve">    nonprod-asia-south1: 172.25.0.0/16</w:t>
              <w:br/>
              <w:t>connectivity:</w:t>
              <w:br/>
              <w:t xml:space="preserve">  topology: dual-hub-with-cloud-transit</w:t>
              <w:br/>
              <w:t xml:space="preserve">  private-links: redundant</w:t>
              <w:br/>
              <w:t xml:space="preserve">  dns: centralized-authority-with-conditional-forwarding</w:t>
              <w:br/>
              <w:t xml:space="preserve">  egress: inspected-and-logged</w:t>
            </w:r>
          </w:p>
        </w:tc>
      </w:tr>
    </w:tbl>
    <w:p>
      <w:r>
        <w:rPr>
          <w:b/>
        </w:rPr>
        <w:t xml:space="preserve">Interpretation: </w:t>
      </w:r>
      <w:r>
        <w:t>The sample ranges are illustrative. Real allocation must account for existing networks, acquisitions, Kubernetes pods/services, managed-service ranges and provider restrictions.</w:t>
      </w:r>
    </w:p>
    <w:p>
      <w:pPr>
        <w:pStyle w:val="Heading2"/>
        <w:keepNext/>
      </w:pPr>
      <w:r>
        <w:t>Production Readiness Checklist</w:t>
      </w:r>
    </w:p>
    <w:p>
      <w:pPr>
        <w:ind w:left="259" w:hanging="259"/>
      </w:pPr>
      <w:r>
        <w:t>☐ IPAM prevents overlap and reserves expansion space.</w:t>
      </w:r>
    </w:p>
    <w:p>
      <w:pPr>
        <w:ind w:left="259" w:hanging="259"/>
      </w:pPr>
      <w:r>
        <w:t>☐ Routes and security rules are version controlled and reviewed.</w:t>
      </w:r>
    </w:p>
    <w:p>
      <w:pPr>
        <w:ind w:left="259" w:hanging="259"/>
      </w:pPr>
      <w:r>
        <w:t>☐ Critical paths use redundant connectivity and tested failover.</w:t>
      </w:r>
    </w:p>
    <w:p>
      <w:pPr>
        <w:ind w:left="259" w:hanging="259"/>
      </w:pPr>
      <w:r>
        <w:t>☐ DNS authority, forwarding and recovery are documented.</w:t>
      </w:r>
    </w:p>
    <w:p>
      <w:pPr>
        <w:ind w:left="259" w:hanging="259"/>
      </w:pPr>
      <w:r>
        <w:t>☐ Flow logs, reachability tests and egress controls cover required traffic.</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70" w:type="dxa"/>
              <w:start w:w="90" w:type="dxa"/>
              <w:bottom w:w="70" w:type="dxa"/>
              <w:end w:w="90" w:type="dxa"/>
            </w:tcMar>
            <w:vAlign w:val="center"/>
          </w:tcPr>
          <w:p>
            <w:r>
              <w:rPr>
                <w:b/>
                <w:color w:val="FFFFFF"/>
                <w:sz w:val="14"/>
              </w:rPr>
              <w:t>Symptom</w:t>
            </w:r>
          </w:p>
        </w:tc>
        <w:tc>
          <w:tcPr>
            <w:tcW w:type="dxa" w:w="2376"/>
            <w:shd w:fill="176B87"/>
            <w:tcMar>
              <w:top w:w="70" w:type="dxa"/>
              <w:start w:w="90" w:type="dxa"/>
              <w:bottom w:w="70" w:type="dxa"/>
              <w:end w:w="90" w:type="dxa"/>
            </w:tcMar>
            <w:vAlign w:val="center"/>
          </w:tcPr>
          <w:p>
            <w:r>
              <w:rPr>
                <w:b/>
                <w:color w:val="FFFFFF"/>
                <w:sz w:val="14"/>
              </w:rPr>
              <w:t>Likely cause</w:t>
            </w:r>
          </w:p>
        </w:tc>
        <w:tc>
          <w:tcPr>
            <w:tcW w:type="dxa" w:w="3096"/>
            <w:shd w:fill="176B87"/>
            <w:tcMar>
              <w:top w:w="70" w:type="dxa"/>
              <w:start w:w="90" w:type="dxa"/>
              <w:bottom w:w="70" w:type="dxa"/>
              <w:end w:w="90" w:type="dxa"/>
            </w:tcMar>
            <w:vAlign w:val="center"/>
          </w:tcPr>
          <w:p>
            <w:r>
              <w:rPr>
                <w:b/>
                <w:color w:val="FFFFFF"/>
                <w:sz w:val="14"/>
              </w:rPr>
              <w:t>Corrective action</w:t>
            </w:r>
          </w:p>
        </w:tc>
        <w:tc>
          <w:tcPr>
            <w:tcW w:type="dxa" w:w="2232"/>
            <w:shd w:fill="176B87"/>
            <w:tcMar>
              <w:top w:w="70" w:type="dxa"/>
              <w:start w:w="90" w:type="dxa"/>
              <w:bottom w:w="70" w:type="dxa"/>
              <w:end w:w="90" w:type="dxa"/>
            </w:tcMar>
            <w:vAlign w:val="center"/>
          </w:tcPr>
          <w:p>
            <w:r>
              <w:rPr>
                <w:b/>
                <w:color w:val="FFFFFF"/>
                <w:sz w:val="14"/>
              </w:rPr>
              <w:t>Validation evidence</w:t>
            </w:r>
          </w:p>
        </w:tc>
      </w:tr>
      <w:tr>
        <w:trPr>
          <w:cantSplit/>
        </w:trPr>
        <w:tc>
          <w:tcPr>
            <w:tcW w:type="dxa" w:w="1944"/>
            <w:tcMar>
              <w:top w:w="70" w:type="dxa"/>
              <w:start w:w="90" w:type="dxa"/>
              <w:bottom w:w="70" w:type="dxa"/>
              <w:end w:w="90" w:type="dxa"/>
            </w:tcMar>
            <w:vAlign w:val="top"/>
          </w:tcPr>
          <w:p>
            <w:r>
              <w:rPr>
                <w:sz w:val="14"/>
              </w:rPr>
              <w:t>Clouds cannot connect</w:t>
            </w:r>
          </w:p>
        </w:tc>
        <w:tc>
          <w:tcPr>
            <w:tcW w:type="dxa" w:w="2376"/>
            <w:tcMar>
              <w:top w:w="70" w:type="dxa"/>
              <w:start w:w="90" w:type="dxa"/>
              <w:bottom w:w="70" w:type="dxa"/>
              <w:end w:w="90" w:type="dxa"/>
            </w:tcMar>
            <w:vAlign w:val="top"/>
          </w:tcPr>
          <w:p>
            <w:r>
              <w:rPr>
                <w:sz w:val="14"/>
              </w:rPr>
              <w:t>Overlapping CIDRs</w:t>
            </w:r>
          </w:p>
        </w:tc>
        <w:tc>
          <w:tcPr>
            <w:tcW w:type="dxa" w:w="3096"/>
            <w:tcMar>
              <w:top w:w="70" w:type="dxa"/>
              <w:start w:w="90" w:type="dxa"/>
              <w:bottom w:w="70" w:type="dxa"/>
              <w:end w:w="90" w:type="dxa"/>
            </w:tcMar>
            <w:vAlign w:val="top"/>
          </w:tcPr>
          <w:p>
            <w:r>
              <w:rPr>
                <w:sz w:val="14"/>
              </w:rPr>
              <w:t>Renumber, NAT selectively or redesign address plan</w:t>
            </w:r>
          </w:p>
        </w:tc>
        <w:tc>
          <w:tcPr>
            <w:tcW w:type="dxa" w:w="2232"/>
            <w:tcMar>
              <w:top w:w="70" w:type="dxa"/>
              <w:start w:w="90" w:type="dxa"/>
              <w:bottom w:w="70" w:type="dxa"/>
              <w:end w:w="90" w:type="dxa"/>
            </w:tcMar>
            <w:vAlign w:val="top"/>
          </w:tcPr>
          <w:p>
            <w:r>
              <w:rPr>
                <w:sz w:val="14"/>
              </w:rPr>
              <w:t>Bidirectional reachability tests pass</w:t>
            </w:r>
          </w:p>
        </w:tc>
      </w:tr>
      <w:tr>
        <w:trPr>
          <w:cantSplit/>
        </w:trPr>
        <w:tc>
          <w:tcPr>
            <w:tcW w:type="dxa" w:w="1944"/>
            <w:tcMar>
              <w:top w:w="70" w:type="dxa"/>
              <w:start w:w="90" w:type="dxa"/>
              <w:bottom w:w="70" w:type="dxa"/>
              <w:end w:w="90" w:type="dxa"/>
            </w:tcMar>
            <w:vAlign w:val="top"/>
          </w:tcPr>
          <w:p>
            <w:r>
              <w:rPr>
                <w:sz w:val="14"/>
              </w:rPr>
              <w:t>Intermittent large requests fail</w:t>
            </w:r>
          </w:p>
        </w:tc>
        <w:tc>
          <w:tcPr>
            <w:tcW w:type="dxa" w:w="2376"/>
            <w:tcMar>
              <w:top w:w="70" w:type="dxa"/>
              <w:start w:w="90" w:type="dxa"/>
              <w:bottom w:w="70" w:type="dxa"/>
              <w:end w:w="90" w:type="dxa"/>
            </w:tcMar>
            <w:vAlign w:val="top"/>
          </w:tcPr>
          <w:p>
            <w:r>
              <w:rPr>
                <w:sz w:val="14"/>
              </w:rPr>
              <w:t>MTU mismatch or fragmentation</w:t>
            </w:r>
          </w:p>
        </w:tc>
        <w:tc>
          <w:tcPr>
            <w:tcW w:type="dxa" w:w="3096"/>
            <w:tcMar>
              <w:top w:w="70" w:type="dxa"/>
              <w:start w:w="90" w:type="dxa"/>
              <w:bottom w:w="70" w:type="dxa"/>
              <w:end w:w="90" w:type="dxa"/>
            </w:tcMar>
            <w:vAlign w:val="top"/>
          </w:tcPr>
          <w:p>
            <w:r>
              <w:rPr>
                <w:sz w:val="14"/>
              </w:rPr>
              <w:t>Measure path MTU and standardize settings</w:t>
            </w:r>
          </w:p>
        </w:tc>
        <w:tc>
          <w:tcPr>
            <w:tcW w:type="dxa" w:w="2232"/>
            <w:tcMar>
              <w:top w:w="70" w:type="dxa"/>
              <w:start w:w="90" w:type="dxa"/>
              <w:bottom w:w="70" w:type="dxa"/>
              <w:end w:w="90" w:type="dxa"/>
            </w:tcMar>
            <w:vAlign w:val="top"/>
          </w:tcPr>
          <w:p>
            <w:r>
              <w:rPr>
                <w:sz w:val="14"/>
              </w:rPr>
              <w:t>Large payload and tunnel tests pass</w:t>
            </w:r>
          </w:p>
        </w:tc>
      </w:tr>
      <w:tr>
        <w:trPr>
          <w:cantSplit/>
        </w:trPr>
        <w:tc>
          <w:tcPr>
            <w:tcW w:type="dxa" w:w="1944"/>
            <w:tcMar>
              <w:top w:w="70" w:type="dxa"/>
              <w:start w:w="90" w:type="dxa"/>
              <w:bottom w:w="70" w:type="dxa"/>
              <w:end w:w="90" w:type="dxa"/>
            </w:tcMar>
            <w:vAlign w:val="top"/>
          </w:tcPr>
          <w:p>
            <w:r>
              <w:rPr>
                <w:sz w:val="14"/>
              </w:rPr>
              <w:t>Service name resolves incorrectly</w:t>
            </w:r>
          </w:p>
        </w:tc>
        <w:tc>
          <w:tcPr>
            <w:tcW w:type="dxa" w:w="2376"/>
            <w:tcMar>
              <w:top w:w="70" w:type="dxa"/>
              <w:start w:w="90" w:type="dxa"/>
              <w:bottom w:w="70" w:type="dxa"/>
              <w:end w:w="90" w:type="dxa"/>
            </w:tcMar>
            <w:vAlign w:val="top"/>
          </w:tcPr>
          <w:p>
            <w:r>
              <w:rPr>
                <w:sz w:val="14"/>
              </w:rPr>
              <w:t>Split-horizon or forwarding conflict</w:t>
            </w:r>
          </w:p>
        </w:tc>
        <w:tc>
          <w:tcPr>
            <w:tcW w:type="dxa" w:w="3096"/>
            <w:tcMar>
              <w:top w:w="70" w:type="dxa"/>
              <w:start w:w="90" w:type="dxa"/>
              <w:bottom w:w="70" w:type="dxa"/>
              <w:end w:w="90" w:type="dxa"/>
            </w:tcMar>
            <w:vAlign w:val="top"/>
          </w:tcPr>
          <w:p>
            <w:r>
              <w:rPr>
                <w:sz w:val="14"/>
              </w:rPr>
              <w:t>Define authority and conditional forwarding</w:t>
            </w:r>
          </w:p>
        </w:tc>
        <w:tc>
          <w:tcPr>
            <w:tcW w:type="dxa" w:w="2232"/>
            <w:tcMar>
              <w:top w:w="70" w:type="dxa"/>
              <w:start w:w="90" w:type="dxa"/>
              <w:bottom w:w="70" w:type="dxa"/>
              <w:end w:w="90" w:type="dxa"/>
            </w:tcMar>
            <w:vAlign w:val="top"/>
          </w:tcPr>
          <w:p>
            <w:r>
              <w:rPr>
                <w:sz w:val="14"/>
              </w:rPr>
              <w:t>Queries return expected answer from each network</w:t>
            </w:r>
          </w:p>
        </w:tc>
      </w:tr>
      <w:tr>
        <w:trPr>
          <w:cantSplit/>
        </w:trPr>
        <w:tc>
          <w:tcPr>
            <w:tcW w:type="dxa" w:w="1944"/>
            <w:tcMar>
              <w:top w:w="70" w:type="dxa"/>
              <w:start w:w="90" w:type="dxa"/>
              <w:bottom w:w="70" w:type="dxa"/>
              <w:end w:w="90" w:type="dxa"/>
            </w:tcMar>
            <w:vAlign w:val="top"/>
          </w:tcPr>
          <w:p>
            <w:r>
              <w:rPr>
                <w:sz w:val="14"/>
              </w:rPr>
              <w:t>Firewall appears correct but flow fails</w:t>
            </w:r>
          </w:p>
        </w:tc>
        <w:tc>
          <w:tcPr>
            <w:tcW w:type="dxa" w:w="2376"/>
            <w:tcMar>
              <w:top w:w="70" w:type="dxa"/>
              <w:start w:w="90" w:type="dxa"/>
              <w:bottom w:w="70" w:type="dxa"/>
              <w:end w:w="90" w:type="dxa"/>
            </w:tcMar>
            <w:vAlign w:val="top"/>
          </w:tcPr>
          <w:p>
            <w:r>
              <w:rPr>
                <w:sz w:val="14"/>
              </w:rPr>
              <w:t>Asymmetric routing or missing return path</w:t>
            </w:r>
          </w:p>
        </w:tc>
        <w:tc>
          <w:tcPr>
            <w:tcW w:type="dxa" w:w="3096"/>
            <w:tcMar>
              <w:top w:w="70" w:type="dxa"/>
              <w:start w:w="90" w:type="dxa"/>
              <w:bottom w:w="70" w:type="dxa"/>
              <w:end w:w="90" w:type="dxa"/>
            </w:tcMar>
            <w:vAlign w:val="top"/>
          </w:tcPr>
          <w:p>
            <w:r>
              <w:rPr>
                <w:sz w:val="14"/>
              </w:rPr>
              <w:t>Trace routes and inspect flow logs both directions</w:t>
            </w:r>
          </w:p>
        </w:tc>
        <w:tc>
          <w:tcPr>
            <w:tcW w:type="dxa" w:w="2232"/>
            <w:tcMar>
              <w:top w:w="70" w:type="dxa"/>
              <w:start w:w="90" w:type="dxa"/>
              <w:bottom w:w="70" w:type="dxa"/>
              <w:end w:w="90" w:type="dxa"/>
            </w:tcMar>
            <w:vAlign w:val="top"/>
          </w:tcPr>
          <w:p>
            <w:r>
              <w:rPr>
                <w:sz w:val="14"/>
              </w:rPr>
              <w:t>Stateful session succeeds repeatedly</w:t>
            </w:r>
          </w:p>
        </w:tc>
      </w:tr>
    </w:tbl>
    <w:p>
      <w:pPr>
        <w:pStyle w:val="Heading2"/>
        <w:keepNext/>
      </w:pPr>
      <w:r>
        <w:t>Hands-on Lab 6: Design and Validate a Three-Cloud Network Plan</w:t>
      </w:r>
    </w:p>
    <w:p>
      <w:pPr>
        <w:pStyle w:val="Heading3"/>
        <w:keepNext/>
      </w:pPr>
      <w:r>
        <w:t>Prerequisites</w:t>
      </w:r>
    </w:p>
    <w:p>
      <w:pPr>
        <w:pStyle w:val="ListBullet"/>
      </w:pPr>
      <w:r>
        <w:t>Network diagramming tool and CIDR calculator.</w:t>
      </w:r>
    </w:p>
    <w:p>
      <w:pPr>
        <w:pStyle w:val="ListBullet"/>
      </w:pPr>
      <w:r>
        <w:t>A lab or simulation for route and DNS testing.</w:t>
      </w:r>
    </w:p>
    <w:p>
      <w:pPr>
        <w:pStyle w:val="Heading3"/>
        <w:keepNext/>
      </w:pPr>
      <w:r>
        <w:t>Implementation</w:t>
      </w:r>
    </w:p>
    <w:p>
      <w:pPr>
        <w:ind w:left="360" w:hanging="360"/>
      </w:pPr>
      <w:r>
        <w:rPr>
          <w:b/>
        </w:rPr>
        <w:t xml:space="preserve">1. </w:t>
      </w:r>
      <w:r>
        <w:t>Inventory existing and future address requirements.</w:t>
      </w:r>
    </w:p>
    <w:p>
      <w:pPr>
        <w:ind w:left="360" w:hanging="360"/>
      </w:pPr>
      <w:r>
        <w:rPr>
          <w:b/>
        </w:rPr>
        <w:t xml:space="preserve">2. </w:t>
      </w:r>
      <w:r>
        <w:t>Allocate nonoverlapping ranges for on-premises, AWS, Azure and Google Cloud.</w:t>
      </w:r>
    </w:p>
    <w:p>
      <w:pPr>
        <w:ind w:left="360" w:hanging="360"/>
      </w:pPr>
      <w:r>
        <w:rPr>
          <w:b/>
        </w:rPr>
        <w:t xml:space="preserve">3. </w:t>
      </w:r>
      <w:r>
        <w:t>Design transit, ingress, egress, DNS and private-service access.</w:t>
      </w:r>
    </w:p>
    <w:p>
      <w:pPr>
        <w:ind w:left="360" w:hanging="360"/>
      </w:pPr>
      <w:r>
        <w:rPr>
          <w:b/>
        </w:rPr>
        <w:t xml:space="preserve">4. </w:t>
      </w:r>
      <w:r>
        <w:t>Create a flow matrix for ten required connections.</w:t>
      </w:r>
    </w:p>
    <w:p>
      <w:pPr>
        <w:ind w:left="360" w:hanging="360"/>
      </w:pPr>
      <w:r>
        <w:rPr>
          <w:b/>
        </w:rPr>
        <w:t xml:space="preserve">5. </w:t>
      </w:r>
      <w:r>
        <w:t>Simulate link, DNS and route failures.</w:t>
      </w:r>
    </w:p>
    <w:p>
      <w:pPr>
        <w:ind w:left="360" w:hanging="360"/>
      </w:pPr>
      <w:r>
        <w:rPr>
          <w:b/>
        </w:rPr>
        <w:t xml:space="preserve">6. </w:t>
      </w:r>
      <w:r>
        <w:t>Write validation commands and acceptance criteria.</w:t>
      </w:r>
    </w:p>
    <w:p>
      <w:pPr>
        <w:pStyle w:val="Heading3"/>
        <w:keepNext/>
      </w:pPr>
      <w:r>
        <w:t>Validation Evidence</w:t>
      </w:r>
    </w:p>
    <w:p>
      <w:pPr>
        <w:pStyle w:val="ListBullet"/>
      </w:pPr>
      <w:r>
        <w:t>IPAM ledger and topology diagram.</w:t>
      </w:r>
    </w:p>
    <w:p>
      <w:pPr>
        <w:pStyle w:val="ListBullet"/>
      </w:pPr>
      <w:r>
        <w:t>Flow matrix with owners and purpose.</w:t>
      </w:r>
    </w:p>
    <w:p>
      <w:pPr>
        <w:pStyle w:val="ListBullet"/>
      </w:pPr>
      <w:r>
        <w:t>Failure-test results for connectivity and DNS.</w:t>
      </w:r>
    </w:p>
    <w:p>
      <w:pPr>
        <w:pStyle w:val="Heading3"/>
        <w:keepNext/>
      </w:pPr>
      <w:r>
        <w:t>Cleanup</w:t>
      </w:r>
    </w:p>
    <w:p>
      <w:pPr>
        <w:pStyle w:val="ListBullet"/>
      </w:pPr>
      <w:r>
        <w:t>Remove temporary tunnels, routes and firewall rules.</w:t>
      </w:r>
    </w:p>
    <w:p>
      <w:pPr>
        <w:pStyle w:val="ListBullet"/>
      </w:pPr>
      <w:r>
        <w:t>Verify no lab CIDRs conflict with active networks.</w:t>
      </w:r>
    </w:p>
    <w:p>
      <w:pPr>
        <w:pStyle w:val="Heading2"/>
        <w:keepNext/>
      </w:pPr>
      <w:r>
        <w:t>Interview Questions and Model Answers</w:t>
      </w:r>
    </w:p>
    <w:p>
      <w:r>
        <w:rPr>
          <w:b/>
        </w:rPr>
        <w:t>1. Why is overlapping CIDR dangerous?</w:t>
      </w:r>
    </w:p>
    <w:p>
      <w:pPr>
        <w:ind w:left="259"/>
      </w:pPr>
      <w:r>
        <w:t>It prevents unambiguous routing and complicates hybrid or cross-cloud connectivity, often requiring disruptive renumbering or NAT.</w:t>
      </w:r>
    </w:p>
    <w:p>
      <w:r>
        <w:rPr>
          <w:b/>
        </w:rPr>
        <w:t>2. What is hub-and-spoke?</w:t>
      </w:r>
    </w:p>
    <w:p>
      <w:pPr>
        <w:ind w:left="259"/>
      </w:pPr>
      <w:r>
        <w:t>A topology where workload networks connect through a central hub that provides transit, inspection and shared services.</w:t>
      </w:r>
    </w:p>
    <w:p>
      <w:r>
        <w:rPr>
          <w:b/>
        </w:rPr>
        <w:t>3. Why can private endpoints fail?</w:t>
      </w:r>
    </w:p>
    <w:p>
      <w:pPr>
        <w:ind w:left="259"/>
      </w:pPr>
      <w:r>
        <w:t>They depend on routes, DNS, endpoint policy, identity and provider-specific service networking, not merely private IP assignment.</w:t>
      </w:r>
    </w:p>
    <w:p>
      <w:r>
        <w:rPr>
          <w:b/>
        </w:rPr>
        <w:t>4. How do you troubleshoot cloud connectivity?</w:t>
      </w:r>
    </w:p>
    <w:p>
      <w:pPr>
        <w:ind w:left="259"/>
      </w:pPr>
      <w:r>
        <w:t>Validate DNS, route tables, security controls, return path, flow logs, MTU, TLS and application listening state in order.</w:t>
      </w:r>
    </w:p>
    <w:p>
      <w:pPr>
        <w:pStyle w:val="Heading2"/>
        <w:keepNext/>
      </w:pPr>
      <w:r>
        <w:t>Chapter Summary</w:t>
      </w:r>
    </w:p>
    <w:p>
      <w:pPr>
        <w:pStyle w:val="ListBullet"/>
      </w:pPr>
      <w:r>
        <w:t>Networking requires enterprise address governance.</w:t>
      </w:r>
    </w:p>
    <w:p>
      <w:pPr>
        <w:pStyle w:val="ListBullet"/>
      </w:pPr>
      <w:r>
        <w:t>DNS and return paths are first-class dependencies.</w:t>
      </w:r>
    </w:p>
    <w:p>
      <w:pPr>
        <w:pStyle w:val="ListBullet"/>
      </w:pPr>
      <w:r>
        <w:t>Redundancy must be exercised.</w:t>
      </w:r>
    </w:p>
    <w:p>
      <w:pPr>
        <w:pStyle w:val="ListBullet"/>
      </w:pPr>
      <w:r>
        <w:t>Flow evidence is more reliable than visual configuration review.</w:t>
      </w:r>
    </w:p>
    <w:p>
      <w:r>
        <w:br w:type="page"/>
      </w:r>
    </w:p>
    <w:p>
      <w:pPr>
        <w:jc w:val="center"/>
      </w:pPr>
      <w:r>
        <w:rPr>
          <w:b/>
          <w:color w:val="14919B"/>
          <w:sz w:val="17"/>
        </w:rPr>
        <w:t>VOLUME 12A  |  CHAPTER 7</w:t>
      </w:r>
    </w:p>
    <w:p>
      <w:pPr>
        <w:pStyle w:val="Heading1"/>
        <w:jc w:val="center"/>
      </w:pPr>
      <w:r>
        <w:t>Chapter 7: Landing Zones, Guardrails and Security Baselines</w:t>
      </w:r>
    </w:p>
    <w:p>
      <w:pPr>
        <w:jc w:val="center"/>
      </w:pPr>
      <w:r>
        <w:rPr>
          <w:i/>
          <w:color w:val="4B5563"/>
          <w:sz w:val="20"/>
        </w:rPr>
        <w:t>Creating a governed cloud foundation before onboarding production workloads</w:t>
      </w:r>
    </w:p>
    <w:tbl>
      <w:tblPr>
        <w:tblW w:type="auto" w:w="0"/>
        <w:jc w:val="center"/>
        <w:tblLook w:firstColumn="1" w:firstRow="1" w:lastColumn="0" w:lastRow="0" w:noHBand="0" w:noVBand="1" w:val="04A0"/>
      </w:tblPr>
      <w:tblGrid>
        <w:gridCol w:w="10166"/>
      </w:tblGrid>
      <w:tr>
        <w:trPr>
          <w:cantSplit/>
        </w:trPr>
        <w:tc>
          <w:tcPr>
            <w:tcW w:type="dxa" w:w="10166"/>
            <w:shd w:fill="E8F2F5"/>
            <w:tcMar>
              <w:top w:w="110" w:type="dxa"/>
              <w:start w:w="140" w:type="dxa"/>
              <w:bottom w:w="110" w:type="dxa"/>
              <w:end w:w="140" w:type="dxa"/>
            </w:tcMar>
          </w:tcPr>
          <w:p>
            <w:pPr>
              <w:spacing w:after="0"/>
            </w:pPr>
            <w:r>
              <w:rPr>
                <w:b/>
                <w:color w:val="176B87"/>
              </w:rPr>
              <w:t>Why this chapter matters: A landing zone provides reusable organizational, identity, network, logging, security and policy foundations. Building workloads before this foundation leads to inconsistent controls and expensive retrofitting.</w:t>
            </w:r>
          </w:p>
        </w:tc>
      </w:tr>
    </w:tbl>
    <w:p>
      <w:pPr>
        <w:spacing w:after="0"/>
      </w:pPr>
    </w:p>
    <w:p>
      <w:pPr>
        <w:pStyle w:val="Heading2"/>
        <w:keepNext/>
      </w:pPr>
      <w:r>
        <w:t>Learning Objectives</w:t>
      </w:r>
    </w:p>
    <w:p>
      <w:pPr>
        <w:pStyle w:val="ListBullet"/>
      </w:pPr>
      <w:r>
        <w:t>Define platform and application landing zones.</w:t>
      </w:r>
    </w:p>
    <w:p>
      <w:pPr>
        <w:pStyle w:val="ListBullet"/>
      </w:pPr>
      <w:r>
        <w:t>Map AWS Control Tower, Azure Landing Zones and Google Cloud landing-zone patterns.</w:t>
      </w:r>
    </w:p>
    <w:p>
      <w:pPr>
        <w:pStyle w:val="ListBullet"/>
      </w:pPr>
      <w:r>
        <w:t>Create preventive, detective and corrective guardrails.</w:t>
      </w:r>
    </w:p>
    <w:p>
      <w:pPr>
        <w:pStyle w:val="ListBullet"/>
      </w:pPr>
      <w:r>
        <w:t>Centralize audit logging and security monitoring.</w:t>
      </w:r>
    </w:p>
    <w:p>
      <w:pPr>
        <w:pStyle w:val="ListBullet"/>
      </w:pPr>
      <w:r>
        <w:t>Operate landing-zone versions and exceptions through code.</w:t>
      </w:r>
    </w:p>
    <w:p>
      <w:pPr>
        <w:pStyle w:val="Heading2"/>
        <w:keepNext/>
      </w:pPr>
      <w:r>
        <w:t>Core Concepts</w:t>
      </w:r>
    </w:p>
    <w:p>
      <w:pPr>
        <w:pStyle w:val="Heading3"/>
        <w:keepNext/>
      </w:pPr>
      <w:r>
        <w:t>Landing-zone scope</w:t>
      </w:r>
    </w:p>
    <w:p>
      <w:pPr>
        <w:keepNext w:val="0"/>
      </w:pPr>
      <w:r>
        <w:t>A landing zone includes resource hierarchy, identity integration, network design, security controls, logging, monitoring, budgets, policy and vending. It is a product operated for workload teams.</w:t>
      </w:r>
    </w:p>
    <w:p>
      <w:pPr>
        <w:pStyle w:val="Heading3"/>
        <w:keepNext/>
      </w:pPr>
      <w:r>
        <w:t>Guardrail types</w:t>
      </w:r>
    </w:p>
    <w:p>
      <w:pPr>
        <w:keepNext w:val="0"/>
      </w:pPr>
      <w:r>
        <w:t>Preventive controls block unsafe actions; detective controls identify drift or risk; corrective controls remediate automatically or create workflow. Each control needs scope, evidence and exception handling.</w:t>
      </w:r>
    </w:p>
    <w:p>
      <w:pPr>
        <w:pStyle w:val="Heading3"/>
        <w:keepNext/>
      </w:pPr>
      <w:r>
        <w:t>Central evidence</w:t>
      </w:r>
    </w:p>
    <w:p>
      <w:pPr>
        <w:keepNext w:val="0"/>
      </w:pPr>
      <w:r>
        <w:t>Organization-level audit logs, configuration history, security findings and network evidence should flow to protected destinations with restricted write/delete permissions and validated retention.</w:t>
      </w:r>
    </w:p>
    <w:p>
      <w:pPr>
        <w:pStyle w:val="Heading3"/>
        <w:keepNext/>
      </w:pPr>
      <w:r>
        <w:t>Evolving baseline</w:t>
      </w:r>
    </w:p>
    <w:p>
      <w:pPr>
        <w:keepNext w:val="0"/>
      </w:pPr>
      <w:r>
        <w:t>Provider features and organizational needs change. Landing zones require versioned releases, migration plans, compatibility tests and rollback like any other platform.</w:t>
      </w:r>
    </w:p>
    <w:p>
      <w:pPr>
        <w:pStyle w:val="Heading2"/>
        <w:keepNext/>
      </w:pPr>
      <w:r>
        <w:t>Architecture and Operating Decisions</w:t>
      </w:r>
    </w:p>
    <w:p>
      <w:pPr>
        <w:pStyle w:val="ListBullet"/>
      </w:pPr>
      <w:r>
        <w:t>Build the foundation with IaC and CI/CD.</w:t>
      </w:r>
    </w:p>
    <w:p>
      <w:pPr>
        <w:pStyle w:val="ListBullet"/>
      </w:pPr>
      <w:r>
        <w:t>Keep organization-level logging and security administration separate from workload teams.</w:t>
      </w:r>
    </w:p>
    <w:p>
      <w:pPr>
        <w:pStyle w:val="ListBullet"/>
      </w:pPr>
      <w:r>
        <w:t>Start with a small enforceable baseline and expand based on risk.</w:t>
      </w:r>
    </w:p>
    <w:p>
      <w:pPr>
        <w:pStyle w:val="ListBullet"/>
      </w:pPr>
      <w:r>
        <w:t>Test controls against allowed and denied examples before rollout.</w:t>
      </w:r>
    </w:p>
    <w:p>
      <w:pPr>
        <w:pStyle w:val="ListBullet"/>
      </w:pPr>
      <w:r>
        <w:t>Publish a supported landing-zone version and upgrade policy.</w:t>
      </w:r>
    </w:p>
    <w:p>
      <w:pPr>
        <w:pStyle w:val="Heading2"/>
        <w:keepNext/>
      </w:pPr>
      <w:r>
        <w:t>Reference Configuration or Decision Pattern</w:t>
      </w:r>
    </w:p>
    <w:tbl>
      <w:tblPr>
        <w:tblW w:type="auto" w:w="0"/>
        <w:jc w:val="center"/>
        <w:tblLook w:firstColumn="1" w:firstRow="1" w:lastColumn="0" w:lastRow="0" w:noHBand="0" w:noVBand="1" w:val="04A0"/>
      </w:tblPr>
      <w:tblGrid>
        <w:gridCol w:w="10166"/>
      </w:tblGrid>
      <w:tr>
        <w:trPr>
          <w:cantSplit/>
        </w:trPr>
        <w:tc>
          <w:tcPr>
            <w:tcW w:type="dxa" w:w="10166"/>
            <w:shd w:fill="F3F5F7"/>
            <w:tcMar>
              <w:top w:w="90" w:type="dxa"/>
              <w:start w:w="120" w:type="dxa"/>
              <w:bottom w:w="90" w:type="dxa"/>
              <w:end w:w="120" w:type="dxa"/>
            </w:tcMar>
          </w:tcPr>
          <w:p>
            <w:pPr>
              <w:spacing w:after="0" w:line="240" w:lineRule="auto"/>
            </w:pPr>
            <w:r>
              <w:rPr>
                <w:rFonts w:ascii="DejaVu Sans Mono" w:hAnsi="DejaVu Sans Mono" w:eastAsia="DejaVu Sans Mono"/>
                <w:color w:val="1F2933"/>
                <w:sz w:val="14"/>
              </w:rPr>
              <w:t>landing_zone_baseline:</w:t>
              <w:br/>
              <w:t xml:space="preserve">  hierarchy: required</w:t>
              <w:br/>
              <w:t xml:space="preserve">  federation: required</w:t>
              <w:br/>
              <w:t xml:space="preserve">  audit_logging:</w:t>
              <w:br/>
              <w:t xml:space="preserve">    destination: protected-central-archive</w:t>
              <w:br/>
              <w:t xml:space="preserve">    retention_days: 365</w:t>
              <w:br/>
              <w:t xml:space="preserve">  network:</w:t>
              <w:br/>
              <w:t xml:space="preserve">    approved_topologies: [isolated, spoke]</w:t>
              <w:br/>
              <w:t xml:space="preserve">    public_ingress: exception-required</w:t>
              <w:br/>
              <w:t xml:space="preserve">  security:</w:t>
              <w:br/>
              <w:t xml:space="preserve">    encryption_at_rest: required</w:t>
              <w:br/>
              <w:t xml:space="preserve">    default_admin_access: prohibited</w:t>
              <w:br/>
              <w:t xml:space="preserve">  governance:</w:t>
              <w:br/>
              <w:t xml:space="preserve">    owner_tag: required</w:t>
              <w:br/>
              <w:t xml:space="preserve">    cost_center_tag: required</w:t>
              <w:br/>
              <w:t xml:space="preserve">    budget: required</w:t>
              <w:br/>
              <w:t xml:space="preserve">  delivery:</w:t>
              <w:br/>
              <w:t xml:space="preserve">    source_control: required</w:t>
              <w:br/>
              <w:t xml:space="preserve">    policy_tests: required</w:t>
              <w:br/>
              <w:t xml:space="preserve">    manual_console_changes: detected</w:t>
            </w:r>
          </w:p>
        </w:tc>
      </w:tr>
    </w:tbl>
    <w:p>
      <w:r>
        <w:rPr>
          <w:b/>
        </w:rPr>
        <w:t xml:space="preserve">Interpretation: </w:t>
      </w:r>
      <w:r>
        <w:t>A baseline should state outcomes and controls, while provider-specific implementation is maintained in each provider module.</w:t>
      </w:r>
    </w:p>
    <w:p>
      <w:pPr>
        <w:pStyle w:val="Heading2"/>
        <w:keepNext/>
      </w:pPr>
      <w:r>
        <w:t>Production Readiness Checklist</w:t>
      </w:r>
    </w:p>
    <w:p>
      <w:pPr>
        <w:ind w:left="259" w:hanging="259"/>
      </w:pPr>
      <w:r>
        <w:t>☐ Landing-zone architecture and supported version are published.</w:t>
      </w:r>
    </w:p>
    <w:p>
      <w:pPr>
        <w:ind w:left="259" w:hanging="259"/>
      </w:pPr>
      <w:r>
        <w:t>☐ Audit, security and configuration evidence is centrally protected.</w:t>
      </w:r>
    </w:p>
    <w:p>
      <w:pPr>
        <w:ind w:left="259" w:hanging="259"/>
      </w:pPr>
      <w:r>
        <w:t>☐ Guardrails have test cases and exception workflows.</w:t>
      </w:r>
    </w:p>
    <w:p>
      <w:pPr>
        <w:ind w:left="259" w:hanging="259"/>
      </w:pPr>
      <w:r>
        <w:t>☐ New resource containers receive identity, network, logging, budget and policy automatically.</w:t>
      </w:r>
    </w:p>
    <w:p>
      <w:pPr>
        <w:ind w:left="259" w:hanging="259"/>
      </w:pPr>
      <w:r>
        <w:t>☐ Upgrades, rollback and compatibility are exercised in nonproduction.</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70" w:type="dxa"/>
              <w:start w:w="90" w:type="dxa"/>
              <w:bottom w:w="70" w:type="dxa"/>
              <w:end w:w="90" w:type="dxa"/>
            </w:tcMar>
            <w:vAlign w:val="center"/>
          </w:tcPr>
          <w:p>
            <w:r>
              <w:rPr>
                <w:b/>
                <w:color w:val="FFFFFF"/>
                <w:sz w:val="14"/>
              </w:rPr>
              <w:t>Symptom</w:t>
            </w:r>
          </w:p>
        </w:tc>
        <w:tc>
          <w:tcPr>
            <w:tcW w:type="dxa" w:w="2376"/>
            <w:shd w:fill="176B87"/>
            <w:tcMar>
              <w:top w:w="70" w:type="dxa"/>
              <w:start w:w="90" w:type="dxa"/>
              <w:bottom w:w="70" w:type="dxa"/>
              <w:end w:w="90" w:type="dxa"/>
            </w:tcMar>
            <w:vAlign w:val="center"/>
          </w:tcPr>
          <w:p>
            <w:r>
              <w:rPr>
                <w:b/>
                <w:color w:val="FFFFFF"/>
                <w:sz w:val="14"/>
              </w:rPr>
              <w:t>Likely cause</w:t>
            </w:r>
          </w:p>
        </w:tc>
        <w:tc>
          <w:tcPr>
            <w:tcW w:type="dxa" w:w="3096"/>
            <w:shd w:fill="176B87"/>
            <w:tcMar>
              <w:top w:w="70" w:type="dxa"/>
              <w:start w:w="90" w:type="dxa"/>
              <w:bottom w:w="70" w:type="dxa"/>
              <w:end w:w="90" w:type="dxa"/>
            </w:tcMar>
            <w:vAlign w:val="center"/>
          </w:tcPr>
          <w:p>
            <w:r>
              <w:rPr>
                <w:b/>
                <w:color w:val="FFFFFF"/>
                <w:sz w:val="14"/>
              </w:rPr>
              <w:t>Corrective action</w:t>
            </w:r>
          </w:p>
        </w:tc>
        <w:tc>
          <w:tcPr>
            <w:tcW w:type="dxa" w:w="2232"/>
            <w:shd w:fill="176B87"/>
            <w:tcMar>
              <w:top w:w="70" w:type="dxa"/>
              <w:start w:w="90" w:type="dxa"/>
              <w:bottom w:w="70" w:type="dxa"/>
              <w:end w:w="90" w:type="dxa"/>
            </w:tcMar>
            <w:vAlign w:val="center"/>
          </w:tcPr>
          <w:p>
            <w:r>
              <w:rPr>
                <w:b/>
                <w:color w:val="FFFFFF"/>
                <w:sz w:val="14"/>
              </w:rPr>
              <w:t>Validation evidence</w:t>
            </w:r>
          </w:p>
        </w:tc>
      </w:tr>
      <w:tr>
        <w:trPr>
          <w:cantSplit/>
        </w:trPr>
        <w:tc>
          <w:tcPr>
            <w:tcW w:type="dxa" w:w="1944"/>
            <w:tcMar>
              <w:top w:w="70" w:type="dxa"/>
              <w:start w:w="90" w:type="dxa"/>
              <w:bottom w:w="70" w:type="dxa"/>
              <w:end w:w="90" w:type="dxa"/>
            </w:tcMar>
            <w:vAlign w:val="top"/>
          </w:tcPr>
          <w:p>
            <w:r>
              <w:rPr>
                <w:sz w:val="14"/>
              </w:rPr>
              <w:t>Workload blocked unexpectedly</w:t>
            </w:r>
          </w:p>
        </w:tc>
        <w:tc>
          <w:tcPr>
            <w:tcW w:type="dxa" w:w="2376"/>
            <w:tcMar>
              <w:top w:w="70" w:type="dxa"/>
              <w:start w:w="90" w:type="dxa"/>
              <w:bottom w:w="70" w:type="dxa"/>
              <w:end w:w="90" w:type="dxa"/>
            </w:tcMar>
            <w:vAlign w:val="top"/>
          </w:tcPr>
          <w:p>
            <w:r>
              <w:rPr>
                <w:sz w:val="14"/>
              </w:rPr>
              <w:t>Guardrail scope or inheritance is wrong</w:t>
            </w:r>
          </w:p>
        </w:tc>
        <w:tc>
          <w:tcPr>
            <w:tcW w:type="dxa" w:w="3096"/>
            <w:tcMar>
              <w:top w:w="70" w:type="dxa"/>
              <w:start w:w="90" w:type="dxa"/>
              <w:bottom w:w="70" w:type="dxa"/>
              <w:end w:w="90" w:type="dxa"/>
            </w:tcMar>
            <w:vAlign w:val="top"/>
          </w:tcPr>
          <w:p>
            <w:r>
              <w:rPr>
                <w:sz w:val="14"/>
              </w:rPr>
              <w:t>Test effective policy and narrow scope</w:t>
            </w:r>
          </w:p>
        </w:tc>
        <w:tc>
          <w:tcPr>
            <w:tcW w:type="dxa" w:w="2232"/>
            <w:tcMar>
              <w:top w:w="70" w:type="dxa"/>
              <w:start w:w="90" w:type="dxa"/>
              <w:bottom w:w="70" w:type="dxa"/>
              <w:end w:w="90" w:type="dxa"/>
            </w:tcMar>
            <w:vAlign w:val="top"/>
          </w:tcPr>
          <w:p>
            <w:r>
              <w:rPr>
                <w:sz w:val="14"/>
              </w:rPr>
              <w:t>Allowed/denied test suite passes</w:t>
            </w:r>
          </w:p>
        </w:tc>
      </w:tr>
      <w:tr>
        <w:trPr>
          <w:cantSplit/>
        </w:trPr>
        <w:tc>
          <w:tcPr>
            <w:tcW w:type="dxa" w:w="1944"/>
            <w:tcMar>
              <w:top w:w="70" w:type="dxa"/>
              <w:start w:w="90" w:type="dxa"/>
              <w:bottom w:w="70" w:type="dxa"/>
              <w:end w:w="90" w:type="dxa"/>
            </w:tcMar>
            <w:vAlign w:val="top"/>
          </w:tcPr>
          <w:p>
            <w:r>
              <w:rPr>
                <w:sz w:val="14"/>
              </w:rPr>
              <w:t>Audit gap discovered</w:t>
            </w:r>
          </w:p>
        </w:tc>
        <w:tc>
          <w:tcPr>
            <w:tcW w:type="dxa" w:w="2376"/>
            <w:tcMar>
              <w:top w:w="70" w:type="dxa"/>
              <w:start w:w="90" w:type="dxa"/>
              <w:bottom w:w="70" w:type="dxa"/>
              <w:end w:w="90" w:type="dxa"/>
            </w:tcMar>
            <w:vAlign w:val="top"/>
          </w:tcPr>
          <w:p>
            <w:r>
              <w:rPr>
                <w:sz w:val="14"/>
              </w:rPr>
              <w:t>Service or region not included</w:t>
            </w:r>
          </w:p>
        </w:tc>
        <w:tc>
          <w:tcPr>
            <w:tcW w:type="dxa" w:w="3096"/>
            <w:tcMar>
              <w:top w:w="70" w:type="dxa"/>
              <w:start w:w="90" w:type="dxa"/>
              <w:bottom w:w="70" w:type="dxa"/>
              <w:end w:w="90" w:type="dxa"/>
            </w:tcMar>
            <w:vAlign w:val="top"/>
          </w:tcPr>
          <w:p>
            <w:r>
              <w:rPr>
                <w:sz w:val="14"/>
              </w:rPr>
              <w:t>Enable organization-wide collection and completeness checks</w:t>
            </w:r>
          </w:p>
        </w:tc>
        <w:tc>
          <w:tcPr>
            <w:tcW w:type="dxa" w:w="2232"/>
            <w:tcMar>
              <w:top w:w="70" w:type="dxa"/>
              <w:start w:w="90" w:type="dxa"/>
              <w:bottom w:w="70" w:type="dxa"/>
              <w:end w:w="90" w:type="dxa"/>
            </w:tcMar>
            <w:vAlign w:val="top"/>
          </w:tcPr>
          <w:p>
            <w:r>
              <w:rPr>
                <w:sz w:val="14"/>
              </w:rPr>
              <w:t>Known test action appears in archive</w:t>
            </w:r>
          </w:p>
        </w:tc>
      </w:tr>
      <w:tr>
        <w:trPr>
          <w:cantSplit/>
        </w:trPr>
        <w:tc>
          <w:tcPr>
            <w:tcW w:type="dxa" w:w="1944"/>
            <w:tcMar>
              <w:top w:w="70" w:type="dxa"/>
              <w:start w:w="90" w:type="dxa"/>
              <w:bottom w:w="70" w:type="dxa"/>
              <w:end w:w="90" w:type="dxa"/>
            </w:tcMar>
            <w:vAlign w:val="top"/>
          </w:tcPr>
          <w:p>
            <w:r>
              <w:rPr>
                <w:sz w:val="14"/>
              </w:rPr>
              <w:t>Teams bypass IaC</w:t>
            </w:r>
          </w:p>
        </w:tc>
        <w:tc>
          <w:tcPr>
            <w:tcW w:type="dxa" w:w="2376"/>
            <w:tcMar>
              <w:top w:w="70" w:type="dxa"/>
              <w:start w:w="90" w:type="dxa"/>
              <w:bottom w:w="70" w:type="dxa"/>
              <w:end w:w="90" w:type="dxa"/>
            </w:tcMar>
            <w:vAlign w:val="top"/>
          </w:tcPr>
          <w:p>
            <w:r>
              <w:rPr>
                <w:sz w:val="14"/>
              </w:rPr>
              <w:t>Console changes not detected or easier</w:t>
            </w:r>
          </w:p>
        </w:tc>
        <w:tc>
          <w:tcPr>
            <w:tcW w:type="dxa" w:w="3096"/>
            <w:tcMar>
              <w:top w:w="70" w:type="dxa"/>
              <w:start w:w="90" w:type="dxa"/>
              <w:bottom w:w="70" w:type="dxa"/>
              <w:end w:w="90" w:type="dxa"/>
            </w:tcMar>
            <w:vAlign w:val="top"/>
          </w:tcPr>
          <w:p>
            <w:r>
              <w:rPr>
                <w:sz w:val="14"/>
              </w:rPr>
              <w:t>Add drift detection and improve paved path</w:t>
            </w:r>
          </w:p>
        </w:tc>
        <w:tc>
          <w:tcPr>
            <w:tcW w:type="dxa" w:w="2232"/>
            <w:tcMar>
              <w:top w:w="70" w:type="dxa"/>
              <w:start w:w="90" w:type="dxa"/>
              <w:bottom w:w="70" w:type="dxa"/>
              <w:end w:w="90" w:type="dxa"/>
            </w:tcMar>
            <w:vAlign w:val="top"/>
          </w:tcPr>
          <w:p>
            <w:r>
              <w:rPr>
                <w:sz w:val="14"/>
              </w:rPr>
              <w:t>Unauthorized drift alerts and remediation pass</w:t>
            </w:r>
          </w:p>
        </w:tc>
      </w:tr>
      <w:tr>
        <w:trPr>
          <w:cantSplit/>
        </w:trPr>
        <w:tc>
          <w:tcPr>
            <w:tcW w:type="dxa" w:w="1944"/>
            <w:tcMar>
              <w:top w:w="70" w:type="dxa"/>
              <w:start w:w="90" w:type="dxa"/>
              <w:bottom w:w="70" w:type="dxa"/>
              <w:end w:w="90" w:type="dxa"/>
            </w:tcMar>
            <w:vAlign w:val="top"/>
          </w:tcPr>
          <w:p>
            <w:r>
              <w:rPr>
                <w:sz w:val="14"/>
              </w:rPr>
              <w:t>Upgrade breaks workloads</w:t>
            </w:r>
          </w:p>
        </w:tc>
        <w:tc>
          <w:tcPr>
            <w:tcW w:type="dxa" w:w="2376"/>
            <w:tcMar>
              <w:top w:w="70" w:type="dxa"/>
              <w:start w:w="90" w:type="dxa"/>
              <w:bottom w:w="70" w:type="dxa"/>
              <w:end w:w="90" w:type="dxa"/>
            </w:tcMar>
            <w:vAlign w:val="top"/>
          </w:tcPr>
          <w:p>
            <w:r>
              <w:rPr>
                <w:sz w:val="14"/>
              </w:rPr>
              <w:t>No compatibility ring or rollout plan</w:t>
            </w:r>
          </w:p>
        </w:tc>
        <w:tc>
          <w:tcPr>
            <w:tcW w:type="dxa" w:w="3096"/>
            <w:tcMar>
              <w:top w:w="70" w:type="dxa"/>
              <w:start w:w="90" w:type="dxa"/>
              <w:bottom w:w="70" w:type="dxa"/>
              <w:end w:w="90" w:type="dxa"/>
            </w:tcMar>
            <w:vAlign w:val="top"/>
          </w:tcPr>
          <w:p>
            <w:r>
              <w:rPr>
                <w:sz w:val="14"/>
              </w:rPr>
              <w:t>Canary landing-zone changes by environment</w:t>
            </w:r>
          </w:p>
        </w:tc>
        <w:tc>
          <w:tcPr>
            <w:tcW w:type="dxa" w:w="2232"/>
            <w:tcMar>
              <w:top w:w="70" w:type="dxa"/>
              <w:start w:w="90" w:type="dxa"/>
              <w:bottom w:w="70" w:type="dxa"/>
              <w:end w:w="90" w:type="dxa"/>
            </w:tcMar>
            <w:vAlign w:val="top"/>
          </w:tcPr>
          <w:p>
            <w:r>
              <w:rPr>
                <w:sz w:val="14"/>
              </w:rPr>
              <w:t>Upgrade completes with rollback evidence</w:t>
            </w:r>
          </w:p>
        </w:tc>
      </w:tr>
    </w:tbl>
    <w:p>
      <w:pPr>
        <w:pStyle w:val="Heading2"/>
        <w:keepNext/>
      </w:pPr>
      <w:r>
        <w:t>Hands-on Lab 7: Design a Provider-Neutral Landing-Zone Baseline</w:t>
      </w:r>
    </w:p>
    <w:p>
      <w:pPr>
        <w:pStyle w:val="Heading3"/>
        <w:keepNext/>
      </w:pPr>
      <w:r>
        <w:t>Prerequisites</w:t>
      </w:r>
    </w:p>
    <w:p>
      <w:pPr>
        <w:pStyle w:val="ListBullet"/>
      </w:pPr>
      <w:r>
        <w:t>Resource hierarchy, identity and network designs from earlier chapters.</w:t>
      </w:r>
    </w:p>
    <w:p>
      <w:pPr>
        <w:pStyle w:val="ListBullet"/>
      </w:pPr>
      <w:r>
        <w:t>Policy-as-code or structured-control format.</w:t>
      </w:r>
    </w:p>
    <w:p>
      <w:pPr>
        <w:pStyle w:val="Heading3"/>
        <w:keepNext/>
      </w:pPr>
      <w:r>
        <w:t>Implementation</w:t>
      </w:r>
    </w:p>
    <w:p>
      <w:pPr>
        <w:ind w:left="360" w:hanging="360"/>
      </w:pPr>
      <w:r>
        <w:rPr>
          <w:b/>
        </w:rPr>
        <w:t xml:space="preserve">1. </w:t>
      </w:r>
      <w:r>
        <w:t>Define baseline outcomes for identity, logging, network, security, cost and delivery.</w:t>
      </w:r>
    </w:p>
    <w:p>
      <w:pPr>
        <w:ind w:left="360" w:hanging="360"/>
      </w:pPr>
      <w:r>
        <w:rPr>
          <w:b/>
        </w:rPr>
        <w:t xml:space="preserve">2. </w:t>
      </w:r>
      <w:r>
        <w:t>Map each outcome to AWS, Azure and Google Cloud mechanisms.</w:t>
      </w:r>
    </w:p>
    <w:p>
      <w:pPr>
        <w:ind w:left="360" w:hanging="360"/>
      </w:pPr>
      <w:r>
        <w:rPr>
          <w:b/>
        </w:rPr>
        <w:t xml:space="preserve">3. </w:t>
      </w:r>
      <w:r>
        <w:t>Write preventive, detective and corrective test cases.</w:t>
      </w:r>
    </w:p>
    <w:p>
      <w:pPr>
        <w:ind w:left="360" w:hanging="360"/>
      </w:pPr>
      <w:r>
        <w:rPr>
          <w:b/>
        </w:rPr>
        <w:t xml:space="preserve">4. </w:t>
      </w:r>
      <w:r>
        <w:t>Design central log archive and security operations ownership.</w:t>
      </w:r>
    </w:p>
    <w:p>
      <w:pPr>
        <w:ind w:left="360" w:hanging="360"/>
      </w:pPr>
      <w:r>
        <w:rPr>
          <w:b/>
        </w:rPr>
        <w:t xml:space="preserve">5. </w:t>
      </w:r>
      <w:r>
        <w:t>Create version, canary rollout, exception and rollback workflows.</w:t>
      </w:r>
    </w:p>
    <w:p>
      <w:pPr>
        <w:ind w:left="360" w:hanging="360"/>
      </w:pPr>
      <w:r>
        <w:rPr>
          <w:b/>
        </w:rPr>
        <w:t xml:space="preserve">6. </w:t>
      </w:r>
      <w:r>
        <w:t>Review the baseline against three workload personas.</w:t>
      </w:r>
    </w:p>
    <w:p>
      <w:pPr>
        <w:pStyle w:val="Heading3"/>
        <w:keepNext/>
      </w:pPr>
      <w:r>
        <w:t>Validation Evidence</w:t>
      </w:r>
    </w:p>
    <w:p>
      <w:pPr>
        <w:pStyle w:val="ListBullet"/>
      </w:pPr>
      <w:r>
        <w:t>Provider-neutral baseline and provider mapping.</w:t>
      </w:r>
    </w:p>
    <w:p>
      <w:pPr>
        <w:pStyle w:val="ListBullet"/>
      </w:pPr>
      <w:r>
        <w:t>Guardrail test suite.</w:t>
      </w:r>
    </w:p>
    <w:p>
      <w:pPr>
        <w:pStyle w:val="ListBullet"/>
      </w:pPr>
      <w:r>
        <w:t>Landing-zone release and exception process.</w:t>
      </w:r>
    </w:p>
    <w:p>
      <w:pPr>
        <w:pStyle w:val="Heading3"/>
        <w:keepNext/>
      </w:pPr>
      <w:r>
        <w:t>Cleanup</w:t>
      </w:r>
    </w:p>
    <w:p>
      <w:pPr>
        <w:pStyle w:val="ListBullet"/>
      </w:pPr>
      <w:r>
        <w:t>Remove temporary policy assignments and test findings.</w:t>
      </w:r>
    </w:p>
    <w:p>
      <w:pPr>
        <w:pStyle w:val="ListBullet"/>
      </w:pPr>
      <w:r>
        <w:t>Ensure central evidence stores contain only synthetic data.</w:t>
      </w:r>
    </w:p>
    <w:p>
      <w:pPr>
        <w:pStyle w:val="Heading2"/>
        <w:keepNext/>
      </w:pPr>
      <w:r>
        <w:t>Interview Questions and Model Answers</w:t>
      </w:r>
    </w:p>
    <w:p>
      <w:r>
        <w:rPr>
          <w:b/>
        </w:rPr>
        <w:t>1. What is a landing zone?</w:t>
      </w:r>
    </w:p>
    <w:p>
      <w:pPr>
        <w:ind w:left="259"/>
      </w:pPr>
      <w:r>
        <w:t>A governed cloud foundation that provides hierarchy, identity, connectivity, logging, security, policy, cost and workload-onboarding capabilities.</w:t>
      </w:r>
    </w:p>
    <w:p>
      <w:r>
        <w:rPr>
          <w:b/>
        </w:rPr>
        <w:t>2. What is the difference between a guardrail and a standard?</w:t>
      </w:r>
    </w:p>
    <w:p>
      <w:pPr>
        <w:ind w:left="259"/>
      </w:pPr>
      <w:r>
        <w:t>A standard states required behavior; a guardrail is a technical or procedural control that prevents, detects or corrects deviation.</w:t>
      </w:r>
    </w:p>
    <w:p>
      <w:r>
        <w:rPr>
          <w:b/>
        </w:rPr>
        <w:t>3. Why centralize audit logs?</w:t>
      </w:r>
    </w:p>
    <w:p>
      <w:pPr>
        <w:ind w:left="259"/>
      </w:pPr>
      <w:r>
        <w:t>To protect evidence from workload administrators, correlate activity and support incident, compliance and forensic use.</w:t>
      </w:r>
    </w:p>
    <w:p>
      <w:r>
        <w:rPr>
          <w:b/>
        </w:rPr>
        <w:t>4. How should landing zones be upgraded?</w:t>
      </w:r>
    </w:p>
    <w:p>
      <w:pPr>
        <w:ind w:left="259"/>
      </w:pPr>
      <w:r>
        <w:t>As versioned platform releases with testing, canary rollout, compatibility analysis, migration and rollback.</w:t>
      </w:r>
    </w:p>
    <w:p>
      <w:pPr>
        <w:pStyle w:val="Heading2"/>
        <w:keepNext/>
      </w:pPr>
      <w:r>
        <w:t>Chapter Summary</w:t>
      </w:r>
    </w:p>
    <w:p>
      <w:pPr>
        <w:pStyle w:val="ListBullet"/>
      </w:pPr>
      <w:r>
        <w:t>Landing zones make cloud adoption repeatable.</w:t>
      </w:r>
    </w:p>
    <w:p>
      <w:pPr>
        <w:pStyle w:val="ListBullet"/>
      </w:pPr>
      <w:r>
        <w:t>Guardrails need tests and exceptions.</w:t>
      </w:r>
    </w:p>
    <w:p>
      <w:pPr>
        <w:pStyle w:val="ListBullet"/>
      </w:pPr>
      <w:r>
        <w:t>Central evidence is essential.</w:t>
      </w:r>
    </w:p>
    <w:p>
      <w:pPr>
        <w:pStyle w:val="ListBullet"/>
      </w:pPr>
      <w:r>
        <w:t>The foundation must evolve through controlled releases.</w:t>
      </w:r>
    </w:p>
    <w:p>
      <w:r>
        <w:br w:type="page"/>
      </w:r>
    </w:p>
    <w:p>
      <w:pPr>
        <w:jc w:val="center"/>
      </w:pPr>
      <w:r>
        <w:rPr>
          <w:b/>
          <w:color w:val="14919B"/>
          <w:sz w:val="17"/>
        </w:rPr>
        <w:t>VOLUME 12A  |  CHAPTER 8</w:t>
      </w:r>
    </w:p>
    <w:p>
      <w:pPr>
        <w:pStyle w:val="Heading1"/>
        <w:jc w:val="center"/>
      </w:pPr>
      <w:r>
        <w:t>Chapter 8: Resource Governance, Metadata, Budgets and FinOps Foundations</w:t>
      </w:r>
    </w:p>
    <w:p>
      <w:pPr>
        <w:jc w:val="center"/>
      </w:pPr>
      <w:r>
        <w:rPr>
          <w:i/>
          <w:color w:val="4B5563"/>
          <w:sz w:val="20"/>
        </w:rPr>
        <w:t>Making ownership, allocation and value visible from the first resource</w:t>
      </w:r>
    </w:p>
    <w:tbl>
      <w:tblPr>
        <w:tblW w:type="auto" w:w="0"/>
        <w:jc w:val="center"/>
        <w:tblLook w:firstColumn="1" w:firstRow="1" w:lastColumn="0" w:lastRow="0" w:noHBand="0" w:noVBand="1" w:val="04A0"/>
      </w:tblPr>
      <w:tblGrid>
        <w:gridCol w:w="10166"/>
      </w:tblGrid>
      <w:tr>
        <w:trPr>
          <w:cantSplit/>
        </w:trPr>
        <w:tc>
          <w:tcPr>
            <w:tcW w:type="dxa" w:w="10166"/>
            <w:shd w:fill="E8F2F5"/>
            <w:tcMar>
              <w:top w:w="110" w:type="dxa"/>
              <w:start w:w="140" w:type="dxa"/>
              <w:bottom w:w="110" w:type="dxa"/>
              <w:end w:w="140" w:type="dxa"/>
            </w:tcMar>
          </w:tcPr>
          <w:p>
            <w:pPr>
              <w:spacing w:after="0"/>
            </w:pPr>
            <w:r>
              <w:rPr>
                <w:b/>
                <w:color w:val="176B87"/>
              </w:rPr>
              <w:t>Why this chapter matters: Variable cloud cost is powerful only when teams can attribute usage, forecast demand, detect waste and connect spending to product value. Governance metadata also powers incident ownership, security review and lifecycle automation.</w:t>
            </w:r>
          </w:p>
        </w:tc>
      </w:tr>
    </w:tbl>
    <w:p>
      <w:pPr>
        <w:spacing w:after="0"/>
      </w:pPr>
    </w:p>
    <w:p>
      <w:pPr>
        <w:pStyle w:val="Heading2"/>
        <w:keepNext/>
      </w:pPr>
      <w:r>
        <w:t>Learning Objectives</w:t>
      </w:r>
    </w:p>
    <w:p>
      <w:pPr>
        <w:pStyle w:val="ListBullet"/>
      </w:pPr>
      <w:r>
        <w:t>Design naming, tagging and labeling standards.</w:t>
      </w:r>
    </w:p>
    <w:p>
      <w:pPr>
        <w:pStyle w:val="ListBullet"/>
      </w:pPr>
      <w:r>
        <w:t>Create ownership, environment, application and cost-allocation metadata.</w:t>
      </w:r>
    </w:p>
    <w:p>
      <w:pPr>
        <w:pStyle w:val="ListBullet"/>
      </w:pPr>
      <w:r>
        <w:t>Implement budgets, anomaly detection and accountability.</w:t>
      </w:r>
    </w:p>
    <w:p>
      <w:pPr>
        <w:pStyle w:val="ListBullet"/>
      </w:pPr>
      <w:r>
        <w:t>Explain FinOps principles, personas and phases.</w:t>
      </w:r>
    </w:p>
    <w:p>
      <w:pPr>
        <w:pStyle w:val="ListBullet"/>
      </w:pPr>
      <w:r>
        <w:t>Integrate cost, reliability, security and sustainability trade-offs.</w:t>
      </w:r>
    </w:p>
    <w:p>
      <w:pPr>
        <w:pStyle w:val="Heading2"/>
        <w:keepNext/>
      </w:pPr>
      <w:r>
        <w:t>Core Concepts</w:t>
      </w:r>
    </w:p>
    <w:p>
      <w:pPr>
        <w:pStyle w:val="Heading3"/>
        <w:keepNext/>
      </w:pPr>
      <w:r>
        <w:t>Metadata as control data</w:t>
      </w:r>
    </w:p>
    <w:p>
      <w:pPr>
        <w:keepNext w:val="0"/>
      </w:pPr>
      <w:r>
        <w:t>Tags and labels should be machine-validated and used for ownership, allocation, automation and policy. Free-form optional metadata quickly becomes incomplete and unreliable.</w:t>
      </w:r>
    </w:p>
    <w:p>
      <w:pPr>
        <w:pStyle w:val="Heading3"/>
        <w:keepNext/>
      </w:pPr>
      <w:r>
        <w:t>Allocation and unit economics</w:t>
      </w:r>
    </w:p>
    <w:p>
      <w:pPr>
        <w:keepNext w:val="0"/>
      </w:pPr>
      <w:r>
        <w:t>Total spend matters less than cost per useful business unit: per transaction, customer, build, model inference or gigabyte processed. Unit metrics reveal efficiency changes hidden by growth.</w:t>
      </w:r>
    </w:p>
    <w:p>
      <w:pPr>
        <w:pStyle w:val="Heading3"/>
        <w:keepNext/>
      </w:pPr>
      <w:r>
        <w:t>FinOps operating practice</w:t>
      </w:r>
    </w:p>
    <w:p>
      <w:pPr>
        <w:keepNext w:val="0"/>
      </w:pPr>
      <w:r>
        <w:t>FinOps connects engineering, finance, business and leadership to maximize technology value through timely, accurate data and shared accountability.</w:t>
      </w:r>
    </w:p>
    <w:p>
      <w:pPr>
        <w:pStyle w:val="Heading3"/>
        <w:keepNext/>
      </w:pPr>
      <w:r>
        <w:t>Optimization without harm</w:t>
      </w:r>
    </w:p>
    <w:p>
      <w:pPr>
        <w:keepNext w:val="0"/>
      </w:pPr>
      <w:r>
        <w:t>Rightsizing, scheduling, commitments and architecture changes must preserve reliability, security and performance objectives. Savings that increase incident risk are not value.</w:t>
      </w:r>
    </w:p>
    <w:p>
      <w:pPr>
        <w:pStyle w:val="Heading2"/>
        <w:keepNext/>
      </w:pPr>
      <w:r>
        <w:t>Architecture and Operating Decisions</w:t>
      </w:r>
    </w:p>
    <w:p>
      <w:pPr>
        <w:pStyle w:val="ListBullet"/>
      </w:pPr>
      <w:r>
        <w:t>Require owner, product, environment, cost center, data classification and expiry metadata where applicable.</w:t>
      </w:r>
    </w:p>
    <w:p>
      <w:pPr>
        <w:pStyle w:val="ListBullet"/>
      </w:pPr>
      <w:r>
        <w:t>Reject or quarantine noncompliant resources through automated controls.</w:t>
      </w:r>
    </w:p>
    <w:p>
      <w:pPr>
        <w:pStyle w:val="ListBullet"/>
      </w:pPr>
      <w:r>
        <w:t>Create budgets and anomaly response at workload and platform levels.</w:t>
      </w:r>
    </w:p>
    <w:p>
      <w:pPr>
        <w:pStyle w:val="ListBullet"/>
      </w:pPr>
      <w:r>
        <w:t>Measure unit economics alongside absolute cost.</w:t>
      </w:r>
    </w:p>
    <w:p>
      <w:pPr>
        <w:pStyle w:val="ListBullet"/>
      </w:pPr>
      <w:r>
        <w:t>Review commitments only after demand, portability and concentration risks are understood.</w:t>
      </w:r>
    </w:p>
    <w:p>
      <w:pPr>
        <w:pStyle w:val="Heading2"/>
        <w:keepNext/>
      </w:pPr>
      <w:r>
        <w:t>Reference Configuration or Decision Pattern</w:t>
      </w:r>
    </w:p>
    <w:tbl>
      <w:tblPr>
        <w:tblW w:type="auto" w:w="0"/>
        <w:jc w:val="center"/>
        <w:tblLook w:firstColumn="1" w:firstRow="1" w:lastColumn="0" w:lastRow="0" w:noHBand="0" w:noVBand="1" w:val="04A0"/>
      </w:tblPr>
      <w:tblGrid>
        <w:gridCol w:w="10166"/>
      </w:tblGrid>
      <w:tr>
        <w:trPr>
          <w:cantSplit/>
        </w:trPr>
        <w:tc>
          <w:tcPr>
            <w:tcW w:type="dxa" w:w="10166"/>
            <w:shd w:fill="F3F5F7"/>
            <w:tcMar>
              <w:top w:w="90" w:type="dxa"/>
              <w:start w:w="120" w:type="dxa"/>
              <w:bottom w:w="90" w:type="dxa"/>
              <w:end w:w="120" w:type="dxa"/>
            </w:tcMar>
          </w:tcPr>
          <w:p>
            <w:pPr>
              <w:spacing w:after="0" w:line="240" w:lineRule="auto"/>
            </w:pPr>
            <w:r>
              <w:rPr>
                <w:rFonts w:ascii="DejaVu Sans Mono" w:hAnsi="DejaVu Sans Mono" w:eastAsia="DejaVu Sans Mono"/>
                <w:color w:val="1F2933"/>
                <w:sz w:val="14"/>
              </w:rPr>
              <w:t>required_metadata:</w:t>
              <w:br/>
              <w:t xml:space="preserve">  owner: team-email-or-id</w:t>
              <w:br/>
              <w:t xml:space="preserve">  product: stable-product-code</w:t>
              <w:br/>
              <w:t xml:space="preserve">  environment: [prod, nonprod, sandbox]</w:t>
              <w:br/>
              <w:t xml:space="preserve">  cost_center: finance-code</w:t>
              <w:br/>
              <w:t xml:space="preserve">  data_classification: [public, internal, confidential, restricted]</w:t>
              <w:br/>
              <w:t xml:space="preserve">  managed_by: [terraform, platform, vendor]</w:t>
              <w:br/>
              <w:t xml:space="preserve">  expiry_date: required-for-sandbox</w:t>
              <w:br/>
              <w:t>controls:</w:t>
              <w:br/>
              <w:t xml:space="preserve">  creation_policy: deny-or-quarantine</w:t>
              <w:br/>
              <w:t xml:space="preserve">  compliance_report: daily</w:t>
              <w:br/>
              <w:t xml:space="preserve">  budget_alerts: [50, 80, 100]</w:t>
              <w:br/>
              <w:t xml:space="preserve">  anomaly_response_sla_hours: 4</w:t>
              <w:br/>
              <w:t>unit_metrics:</w:t>
              <w:br/>
              <w:t xml:space="preserve">  - cost_per_successful_order</w:t>
              <w:br/>
              <w:t xml:space="preserve">  - cost_per_1000_api_requests</w:t>
            </w:r>
          </w:p>
        </w:tc>
      </w:tr>
    </w:tbl>
    <w:p>
      <w:r>
        <w:rPr>
          <w:b/>
        </w:rPr>
        <w:t xml:space="preserve">Interpretation: </w:t>
      </w:r>
      <w:r>
        <w:t>Metadata keys should be stable, controlled and mapped across providers; values should come from authoritative systems where possible.</w:t>
      </w:r>
    </w:p>
    <w:p>
      <w:pPr>
        <w:pStyle w:val="Heading2"/>
        <w:keepNext/>
      </w:pPr>
      <w:r>
        <w:t>Production Readiness Checklist</w:t>
      </w:r>
    </w:p>
    <w:p>
      <w:pPr>
        <w:ind w:left="259" w:hanging="259"/>
      </w:pPr>
      <w:r>
        <w:t>☐ Ownership and allocation metadata coverage is measured.</w:t>
      </w:r>
    </w:p>
    <w:p>
      <w:pPr>
        <w:ind w:left="259" w:hanging="259"/>
      </w:pPr>
      <w:r>
        <w:t>☐ Budgets and anomaly routes have accountable responders.</w:t>
      </w:r>
    </w:p>
    <w:p>
      <w:pPr>
        <w:ind w:left="259" w:hanging="259"/>
      </w:pPr>
      <w:r>
        <w:t>☐ Cost data is reconciled and available to engineering and finance.</w:t>
      </w:r>
    </w:p>
    <w:p>
      <w:pPr>
        <w:ind w:left="259" w:hanging="259"/>
      </w:pPr>
      <w:r>
        <w:t>☐ Optimization actions include reliability and performance validation.</w:t>
      </w:r>
    </w:p>
    <w:p>
      <w:pPr>
        <w:ind w:left="259" w:hanging="259"/>
      </w:pPr>
      <w:r>
        <w:t>☐ Idle and expired resources have automated review or deletion.</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70" w:type="dxa"/>
              <w:start w:w="90" w:type="dxa"/>
              <w:bottom w:w="70" w:type="dxa"/>
              <w:end w:w="90" w:type="dxa"/>
            </w:tcMar>
            <w:vAlign w:val="center"/>
          </w:tcPr>
          <w:p>
            <w:r>
              <w:rPr>
                <w:b/>
                <w:color w:val="FFFFFF"/>
                <w:sz w:val="14"/>
              </w:rPr>
              <w:t>Symptom</w:t>
            </w:r>
          </w:p>
        </w:tc>
        <w:tc>
          <w:tcPr>
            <w:tcW w:type="dxa" w:w="2376"/>
            <w:shd w:fill="176B87"/>
            <w:tcMar>
              <w:top w:w="70" w:type="dxa"/>
              <w:start w:w="90" w:type="dxa"/>
              <w:bottom w:w="70" w:type="dxa"/>
              <w:end w:w="90" w:type="dxa"/>
            </w:tcMar>
            <w:vAlign w:val="center"/>
          </w:tcPr>
          <w:p>
            <w:r>
              <w:rPr>
                <w:b/>
                <w:color w:val="FFFFFF"/>
                <w:sz w:val="14"/>
              </w:rPr>
              <w:t>Likely cause</w:t>
            </w:r>
          </w:p>
        </w:tc>
        <w:tc>
          <w:tcPr>
            <w:tcW w:type="dxa" w:w="3096"/>
            <w:shd w:fill="176B87"/>
            <w:tcMar>
              <w:top w:w="70" w:type="dxa"/>
              <w:start w:w="90" w:type="dxa"/>
              <w:bottom w:w="70" w:type="dxa"/>
              <w:end w:w="90" w:type="dxa"/>
            </w:tcMar>
            <w:vAlign w:val="center"/>
          </w:tcPr>
          <w:p>
            <w:r>
              <w:rPr>
                <w:b/>
                <w:color w:val="FFFFFF"/>
                <w:sz w:val="14"/>
              </w:rPr>
              <w:t>Corrective action</w:t>
            </w:r>
          </w:p>
        </w:tc>
        <w:tc>
          <w:tcPr>
            <w:tcW w:type="dxa" w:w="2232"/>
            <w:shd w:fill="176B87"/>
            <w:tcMar>
              <w:top w:w="70" w:type="dxa"/>
              <w:start w:w="90" w:type="dxa"/>
              <w:bottom w:w="70" w:type="dxa"/>
              <w:end w:w="90" w:type="dxa"/>
            </w:tcMar>
            <w:vAlign w:val="center"/>
          </w:tcPr>
          <w:p>
            <w:r>
              <w:rPr>
                <w:b/>
                <w:color w:val="FFFFFF"/>
                <w:sz w:val="14"/>
              </w:rPr>
              <w:t>Validation evidence</w:t>
            </w:r>
          </w:p>
        </w:tc>
      </w:tr>
      <w:tr>
        <w:trPr>
          <w:cantSplit/>
        </w:trPr>
        <w:tc>
          <w:tcPr>
            <w:tcW w:type="dxa" w:w="1944"/>
            <w:tcMar>
              <w:top w:w="70" w:type="dxa"/>
              <w:start w:w="90" w:type="dxa"/>
              <w:bottom w:w="70" w:type="dxa"/>
              <w:end w:w="90" w:type="dxa"/>
            </w:tcMar>
            <w:vAlign w:val="top"/>
          </w:tcPr>
          <w:p>
            <w:r>
              <w:rPr>
                <w:sz w:val="14"/>
              </w:rPr>
              <w:t>Large unallocated spend</w:t>
            </w:r>
          </w:p>
        </w:tc>
        <w:tc>
          <w:tcPr>
            <w:tcW w:type="dxa" w:w="2376"/>
            <w:tcMar>
              <w:top w:w="70" w:type="dxa"/>
              <w:start w:w="90" w:type="dxa"/>
              <w:bottom w:w="70" w:type="dxa"/>
              <w:end w:w="90" w:type="dxa"/>
            </w:tcMar>
            <w:vAlign w:val="top"/>
          </w:tcPr>
          <w:p>
            <w:r>
              <w:rPr>
                <w:sz w:val="14"/>
              </w:rPr>
              <w:t>Missing or inconsistent metadata</w:t>
            </w:r>
          </w:p>
        </w:tc>
        <w:tc>
          <w:tcPr>
            <w:tcW w:type="dxa" w:w="3096"/>
            <w:tcMar>
              <w:top w:w="70" w:type="dxa"/>
              <w:start w:w="90" w:type="dxa"/>
              <w:bottom w:w="70" w:type="dxa"/>
              <w:end w:w="90" w:type="dxa"/>
            </w:tcMar>
            <w:vAlign w:val="top"/>
          </w:tcPr>
          <w:p>
            <w:r>
              <w:rPr>
                <w:sz w:val="14"/>
              </w:rPr>
              <w:t>Enforce controlled values and billing-data enrichment</w:t>
            </w:r>
          </w:p>
        </w:tc>
        <w:tc>
          <w:tcPr>
            <w:tcW w:type="dxa" w:w="2232"/>
            <w:tcMar>
              <w:top w:w="70" w:type="dxa"/>
              <w:start w:w="90" w:type="dxa"/>
              <w:bottom w:w="70" w:type="dxa"/>
              <w:end w:w="90" w:type="dxa"/>
            </w:tcMar>
            <w:vAlign w:val="top"/>
          </w:tcPr>
          <w:p>
            <w:r>
              <w:rPr>
                <w:sz w:val="14"/>
              </w:rPr>
              <w:t>Allocation coverage exceeds target</w:t>
            </w:r>
          </w:p>
        </w:tc>
      </w:tr>
      <w:tr>
        <w:trPr>
          <w:cantSplit/>
        </w:trPr>
        <w:tc>
          <w:tcPr>
            <w:tcW w:type="dxa" w:w="1944"/>
            <w:tcMar>
              <w:top w:w="70" w:type="dxa"/>
              <w:start w:w="90" w:type="dxa"/>
              <w:bottom w:w="70" w:type="dxa"/>
              <w:end w:w="90" w:type="dxa"/>
            </w:tcMar>
            <w:vAlign w:val="top"/>
          </w:tcPr>
          <w:p>
            <w:r>
              <w:rPr>
                <w:sz w:val="14"/>
              </w:rPr>
              <w:t>Budget alert ignored</w:t>
            </w:r>
          </w:p>
        </w:tc>
        <w:tc>
          <w:tcPr>
            <w:tcW w:type="dxa" w:w="2376"/>
            <w:tcMar>
              <w:top w:w="70" w:type="dxa"/>
              <w:start w:w="90" w:type="dxa"/>
              <w:bottom w:w="70" w:type="dxa"/>
              <w:end w:w="90" w:type="dxa"/>
            </w:tcMar>
            <w:vAlign w:val="top"/>
          </w:tcPr>
          <w:p>
            <w:r>
              <w:rPr>
                <w:sz w:val="14"/>
              </w:rPr>
              <w:t>No owner or response playbook</w:t>
            </w:r>
          </w:p>
        </w:tc>
        <w:tc>
          <w:tcPr>
            <w:tcW w:type="dxa" w:w="3096"/>
            <w:tcMar>
              <w:top w:w="70" w:type="dxa"/>
              <w:start w:w="90" w:type="dxa"/>
              <w:bottom w:w="70" w:type="dxa"/>
              <w:end w:w="90" w:type="dxa"/>
            </w:tcMar>
            <w:vAlign w:val="top"/>
          </w:tcPr>
          <w:p>
            <w:r>
              <w:rPr>
                <w:sz w:val="14"/>
              </w:rPr>
              <w:t>Route to product owner with actions and escalation</w:t>
            </w:r>
          </w:p>
        </w:tc>
        <w:tc>
          <w:tcPr>
            <w:tcW w:type="dxa" w:w="2232"/>
            <w:tcMar>
              <w:top w:w="70" w:type="dxa"/>
              <w:start w:w="90" w:type="dxa"/>
              <w:bottom w:w="70" w:type="dxa"/>
              <w:end w:w="90" w:type="dxa"/>
            </w:tcMar>
            <w:vAlign w:val="top"/>
          </w:tcPr>
          <w:p>
            <w:r>
              <w:rPr>
                <w:sz w:val="14"/>
              </w:rPr>
              <w:t>Alert produces documented response</w:t>
            </w:r>
          </w:p>
        </w:tc>
      </w:tr>
      <w:tr>
        <w:trPr>
          <w:cantSplit/>
        </w:trPr>
        <w:tc>
          <w:tcPr>
            <w:tcW w:type="dxa" w:w="1944"/>
            <w:tcMar>
              <w:top w:w="70" w:type="dxa"/>
              <w:start w:w="90" w:type="dxa"/>
              <w:bottom w:w="70" w:type="dxa"/>
              <w:end w:w="90" w:type="dxa"/>
            </w:tcMar>
            <w:vAlign w:val="top"/>
          </w:tcPr>
          <w:p>
            <w:r>
              <w:rPr>
                <w:sz w:val="14"/>
              </w:rPr>
              <w:t>Rightsizing causes latency</w:t>
            </w:r>
          </w:p>
        </w:tc>
        <w:tc>
          <w:tcPr>
            <w:tcW w:type="dxa" w:w="2376"/>
            <w:tcMar>
              <w:top w:w="70" w:type="dxa"/>
              <w:start w:w="90" w:type="dxa"/>
              <w:bottom w:w="70" w:type="dxa"/>
              <w:end w:w="90" w:type="dxa"/>
            </w:tcMar>
            <w:vAlign w:val="top"/>
          </w:tcPr>
          <w:p>
            <w:r>
              <w:rPr>
                <w:sz w:val="14"/>
              </w:rPr>
              <w:t>Optimization ignored demand variability</w:t>
            </w:r>
          </w:p>
        </w:tc>
        <w:tc>
          <w:tcPr>
            <w:tcW w:type="dxa" w:w="3096"/>
            <w:tcMar>
              <w:top w:w="70" w:type="dxa"/>
              <w:start w:w="90" w:type="dxa"/>
              <w:bottom w:w="70" w:type="dxa"/>
              <w:end w:w="90" w:type="dxa"/>
            </w:tcMar>
            <w:vAlign w:val="top"/>
          </w:tcPr>
          <w:p>
            <w:r>
              <w:rPr>
                <w:sz w:val="14"/>
              </w:rPr>
              <w:t>Load test and preserve headroom/SLOs</w:t>
            </w:r>
          </w:p>
        </w:tc>
        <w:tc>
          <w:tcPr>
            <w:tcW w:type="dxa" w:w="2232"/>
            <w:tcMar>
              <w:top w:w="70" w:type="dxa"/>
              <w:start w:w="90" w:type="dxa"/>
              <w:bottom w:w="70" w:type="dxa"/>
              <w:end w:w="90" w:type="dxa"/>
            </w:tcMar>
            <w:vAlign w:val="top"/>
          </w:tcPr>
          <w:p>
            <w:r>
              <w:rPr>
                <w:sz w:val="14"/>
              </w:rPr>
              <w:t>Cost falls while SLO remains met</w:t>
            </w:r>
          </w:p>
        </w:tc>
      </w:tr>
      <w:tr>
        <w:trPr>
          <w:cantSplit/>
        </w:trPr>
        <w:tc>
          <w:tcPr>
            <w:tcW w:type="dxa" w:w="1944"/>
            <w:tcMar>
              <w:top w:w="70" w:type="dxa"/>
              <w:start w:w="90" w:type="dxa"/>
              <w:bottom w:w="70" w:type="dxa"/>
              <w:end w:w="90" w:type="dxa"/>
            </w:tcMar>
            <w:vAlign w:val="top"/>
          </w:tcPr>
          <w:p>
            <w:r>
              <w:rPr>
                <w:sz w:val="14"/>
              </w:rPr>
              <w:t>Commitment becomes waste</w:t>
            </w:r>
          </w:p>
        </w:tc>
        <w:tc>
          <w:tcPr>
            <w:tcW w:type="dxa" w:w="2376"/>
            <w:tcMar>
              <w:top w:w="70" w:type="dxa"/>
              <w:start w:w="90" w:type="dxa"/>
              <w:bottom w:w="70" w:type="dxa"/>
              <w:end w:w="90" w:type="dxa"/>
            </w:tcMar>
            <w:vAlign w:val="top"/>
          </w:tcPr>
          <w:p>
            <w:r>
              <w:rPr>
                <w:sz w:val="14"/>
              </w:rPr>
              <w:t>Forecast or architecture changed</w:t>
            </w:r>
          </w:p>
        </w:tc>
        <w:tc>
          <w:tcPr>
            <w:tcW w:type="dxa" w:w="3096"/>
            <w:tcMar>
              <w:top w:w="70" w:type="dxa"/>
              <w:start w:w="90" w:type="dxa"/>
              <w:bottom w:w="70" w:type="dxa"/>
              <w:end w:w="90" w:type="dxa"/>
            </w:tcMar>
            <w:vAlign w:val="top"/>
          </w:tcPr>
          <w:p>
            <w:r>
              <w:rPr>
                <w:sz w:val="14"/>
              </w:rPr>
              <w:t>Use staged commitments and coverage review</w:t>
            </w:r>
          </w:p>
        </w:tc>
        <w:tc>
          <w:tcPr>
            <w:tcW w:type="dxa" w:w="2232"/>
            <w:tcMar>
              <w:top w:w="70" w:type="dxa"/>
              <w:start w:w="90" w:type="dxa"/>
              <w:bottom w:w="70" w:type="dxa"/>
              <w:end w:w="90" w:type="dxa"/>
            </w:tcMar>
            <w:vAlign w:val="top"/>
          </w:tcPr>
          <w:p>
            <w:r>
              <w:rPr>
                <w:sz w:val="14"/>
              </w:rPr>
              <w:t>Utilization and coverage meet thresholds</w:t>
            </w:r>
          </w:p>
        </w:tc>
      </w:tr>
    </w:tbl>
    <w:p>
      <w:pPr>
        <w:pStyle w:val="Heading2"/>
        <w:keepNext/>
      </w:pPr>
      <w:r>
        <w:t>Hands-on Lab 8: Build a Cross-Cloud Governance and FinOps Starter Model</w:t>
      </w:r>
    </w:p>
    <w:p>
      <w:pPr>
        <w:pStyle w:val="Heading3"/>
        <w:keepNext/>
      </w:pPr>
      <w:r>
        <w:t>Prerequisites</w:t>
      </w:r>
    </w:p>
    <w:p>
      <w:pPr>
        <w:pStyle w:val="ListBullet"/>
      </w:pPr>
      <w:r>
        <w:t>Synthetic billing exports or a prepared dataset.</w:t>
      </w:r>
    </w:p>
    <w:p>
      <w:pPr>
        <w:pStyle w:val="ListBullet"/>
      </w:pPr>
      <w:r>
        <w:t>Metadata standards and sample resources from three providers.</w:t>
      </w:r>
    </w:p>
    <w:p>
      <w:pPr>
        <w:pStyle w:val="Heading3"/>
        <w:keepNext/>
      </w:pPr>
      <w:r>
        <w:t>Implementation</w:t>
      </w:r>
    </w:p>
    <w:p>
      <w:pPr>
        <w:ind w:left="360" w:hanging="360"/>
      </w:pPr>
      <w:r>
        <w:rPr>
          <w:b/>
        </w:rPr>
        <w:t xml:space="preserve">1. </w:t>
      </w:r>
      <w:r>
        <w:t>Define required metadata and controlled vocabularies.</w:t>
      </w:r>
    </w:p>
    <w:p>
      <w:pPr>
        <w:ind w:left="360" w:hanging="360"/>
      </w:pPr>
      <w:r>
        <w:rPr>
          <w:b/>
        </w:rPr>
        <w:t xml:space="preserve">2. </w:t>
      </w:r>
      <w:r>
        <w:t>Map provider billing fields into one allocation model.</w:t>
      </w:r>
    </w:p>
    <w:p>
      <w:pPr>
        <w:ind w:left="360" w:hanging="360"/>
      </w:pPr>
      <w:r>
        <w:rPr>
          <w:b/>
        </w:rPr>
        <w:t xml:space="preserve">3. </w:t>
      </w:r>
      <w:r>
        <w:t>Calculate allocation coverage and identify unattributed spend.</w:t>
      </w:r>
    </w:p>
    <w:p>
      <w:pPr>
        <w:ind w:left="360" w:hanging="360"/>
      </w:pPr>
      <w:r>
        <w:rPr>
          <w:b/>
        </w:rPr>
        <w:t xml:space="preserve">4. </w:t>
      </w:r>
      <w:r>
        <w:t>Create workload budgets, anomaly thresholds and response owners.</w:t>
      </w:r>
    </w:p>
    <w:p>
      <w:pPr>
        <w:ind w:left="360" w:hanging="360"/>
      </w:pPr>
      <w:r>
        <w:rPr>
          <w:b/>
        </w:rPr>
        <w:t xml:space="preserve">5. </w:t>
      </w:r>
      <w:r>
        <w:t>Calculate two unit-cost metrics.</w:t>
      </w:r>
    </w:p>
    <w:p>
      <w:pPr>
        <w:ind w:left="360" w:hanging="360"/>
      </w:pPr>
      <w:r>
        <w:rPr>
          <w:b/>
        </w:rPr>
        <w:t xml:space="preserve">6. </w:t>
      </w:r>
      <w:r>
        <w:t>Evaluate three optimization actions against SLO and security constraints.</w:t>
      </w:r>
    </w:p>
    <w:p>
      <w:pPr>
        <w:pStyle w:val="Heading3"/>
        <w:keepNext/>
      </w:pPr>
      <w:r>
        <w:t>Validation Evidence</w:t>
      </w:r>
    </w:p>
    <w:p>
      <w:pPr>
        <w:pStyle w:val="ListBullet"/>
      </w:pPr>
      <w:r>
        <w:t>Metadata policy and compliance report.</w:t>
      </w:r>
    </w:p>
    <w:p>
      <w:pPr>
        <w:pStyle w:val="ListBullet"/>
      </w:pPr>
      <w:r>
        <w:t>Allocation dashboard and unit-cost calculations.</w:t>
      </w:r>
    </w:p>
    <w:p>
      <w:pPr>
        <w:pStyle w:val="ListBullet"/>
      </w:pPr>
      <w:r>
        <w:t>Optimization decision records with risk validation.</w:t>
      </w:r>
    </w:p>
    <w:p>
      <w:pPr>
        <w:pStyle w:val="Heading3"/>
        <w:keepNext/>
      </w:pPr>
      <w:r>
        <w:t>Cleanup</w:t>
      </w:r>
    </w:p>
    <w:p>
      <w:pPr>
        <w:pStyle w:val="ListBullet"/>
      </w:pPr>
      <w:r>
        <w:t>Delete synthetic billing files containing accidental identifiers.</w:t>
      </w:r>
    </w:p>
    <w:p>
      <w:pPr>
        <w:pStyle w:val="ListBullet"/>
      </w:pPr>
      <w:r>
        <w:t>Remove test budgets and notification routes.</w:t>
      </w:r>
    </w:p>
    <w:p>
      <w:pPr>
        <w:pStyle w:val="Heading2"/>
        <w:keepNext/>
      </w:pPr>
      <w:r>
        <w:t>Interview Questions and Model Answers</w:t>
      </w:r>
    </w:p>
    <w:p>
      <w:r>
        <w:rPr>
          <w:b/>
        </w:rPr>
        <w:t>1. What is FinOps?</w:t>
      </w:r>
    </w:p>
    <w:p>
      <w:pPr>
        <w:ind w:left="259"/>
      </w:pPr>
      <w:r>
        <w:t>An operational framework and cultural practice that maximizes technology value through collaboration, timely data and financial accountability.</w:t>
      </w:r>
    </w:p>
    <w:p>
      <w:r>
        <w:rPr>
          <w:b/>
        </w:rPr>
        <w:t>2. Why are tags insufficient alone?</w:t>
      </w:r>
    </w:p>
    <w:p>
      <w:pPr>
        <w:ind w:left="259"/>
      </w:pPr>
      <w:r>
        <w:t>They can be missing or inconsistent; mature allocation also uses account hierarchy, billing enrichment, resource inventory and policy enforcement.</w:t>
      </w:r>
    </w:p>
    <w:p>
      <w:r>
        <w:rPr>
          <w:b/>
        </w:rPr>
        <w:t>3. What is unit cost?</w:t>
      </w:r>
    </w:p>
    <w:p>
      <w:pPr>
        <w:ind w:left="259"/>
      </w:pPr>
      <w:r>
        <w:t>Technology cost divided by a useful business or technical output, such as cost per successful order.</w:t>
      </w:r>
    </w:p>
    <w:p>
      <w:r>
        <w:rPr>
          <w:b/>
        </w:rPr>
        <w:t>4. How do you avoid unsafe cost optimization?</w:t>
      </w:r>
    </w:p>
    <w:p>
      <w:pPr>
        <w:ind w:left="259"/>
      </w:pPr>
      <w:r>
        <w:t>Validate changes against SLOs, performance, security, capacity, recovery and workload growth.</w:t>
      </w:r>
    </w:p>
    <w:p>
      <w:pPr>
        <w:pStyle w:val="Heading2"/>
        <w:keepNext/>
      </w:pPr>
      <w:r>
        <w:t>Chapter Summary</w:t>
      </w:r>
    </w:p>
    <w:p>
      <w:pPr>
        <w:pStyle w:val="ListBullet"/>
      </w:pPr>
      <w:r>
        <w:t>Governance metadata enables ownership and automation.</w:t>
      </w:r>
    </w:p>
    <w:p>
      <w:pPr>
        <w:pStyle w:val="ListBullet"/>
      </w:pPr>
      <w:r>
        <w:t>FinOps is cross-functional, not only cost cutting.</w:t>
      </w:r>
    </w:p>
    <w:p>
      <w:pPr>
        <w:pStyle w:val="ListBullet"/>
      </w:pPr>
      <w:r>
        <w:t>Unit economics connect spend to value.</w:t>
      </w:r>
    </w:p>
    <w:p>
      <w:pPr>
        <w:pStyle w:val="ListBullet"/>
      </w:pPr>
      <w:r>
        <w:t>Optimization must preserve engineering objectives.</w:t>
      </w:r>
    </w:p>
    <w:p>
      <w:r>
        <w:br w:type="page"/>
      </w:r>
    </w:p>
    <w:p>
      <w:pPr>
        <w:jc w:val="center"/>
      </w:pPr>
      <w:r>
        <w:rPr>
          <w:b/>
          <w:color w:val="14919B"/>
          <w:sz w:val="17"/>
        </w:rPr>
        <w:t>VOLUME 12A  |  CHAPTER 9</w:t>
      </w:r>
    </w:p>
    <w:p>
      <w:pPr>
        <w:pStyle w:val="Heading1"/>
        <w:jc w:val="center"/>
      </w:pPr>
      <w:r>
        <w:t>Chapter 9: Infrastructure as Code Foundations for Multi-Cloud</w:t>
      </w:r>
    </w:p>
    <w:p>
      <w:pPr>
        <w:jc w:val="center"/>
      </w:pPr>
      <w:r>
        <w:rPr>
          <w:i/>
          <w:color w:val="4B5563"/>
          <w:sz w:val="20"/>
        </w:rPr>
        <w:t>Standardizing modules, state, testing and delivery without hiding provider reality</w:t>
      </w:r>
    </w:p>
    <w:tbl>
      <w:tblPr>
        <w:tblW w:type="auto" w:w="0"/>
        <w:jc w:val="center"/>
        <w:tblLook w:firstColumn="1" w:firstRow="1" w:lastColumn="0" w:lastRow="0" w:noHBand="0" w:noVBand="1" w:val="04A0"/>
      </w:tblPr>
      <w:tblGrid>
        <w:gridCol w:w="10166"/>
      </w:tblGrid>
      <w:tr>
        <w:trPr>
          <w:cantSplit/>
        </w:trPr>
        <w:tc>
          <w:tcPr>
            <w:tcW w:type="dxa" w:w="10166"/>
            <w:shd w:fill="E8F2F5"/>
            <w:tcMar>
              <w:top w:w="110" w:type="dxa"/>
              <w:start w:w="140" w:type="dxa"/>
              <w:bottom w:w="110" w:type="dxa"/>
              <w:end w:w="140" w:type="dxa"/>
            </w:tcMar>
          </w:tcPr>
          <w:p>
            <w:pPr>
              <w:spacing w:after="0"/>
            </w:pPr>
            <w:r>
              <w:rPr>
                <w:b/>
                <w:color w:val="176B87"/>
              </w:rPr>
              <w:t>Why this chapter matters: Multi-cloud infrastructure managed manually cannot remain consistent or auditable. IaC creates repeatability, but poor module boundaries, insecure state and uncontrolled provider upgrades can turn automation into a high-speed failure mechanism.</w:t>
            </w:r>
          </w:p>
        </w:tc>
      </w:tr>
    </w:tbl>
    <w:p>
      <w:pPr>
        <w:spacing w:after="0"/>
      </w:pPr>
    </w:p>
    <w:p>
      <w:pPr>
        <w:pStyle w:val="Heading2"/>
        <w:keepNext/>
      </w:pPr>
      <w:r>
        <w:t>Learning Objectives</w:t>
      </w:r>
    </w:p>
    <w:p>
      <w:pPr>
        <w:pStyle w:val="ListBullet"/>
      </w:pPr>
      <w:r>
        <w:t>Design root and reusable child modules.</w:t>
      </w:r>
    </w:p>
    <w:p>
      <w:pPr>
        <w:pStyle w:val="ListBullet"/>
      </w:pPr>
      <w:r>
        <w:t>Manage remote state, locking, isolation and sensitive data.</w:t>
      </w:r>
    </w:p>
    <w:p>
      <w:pPr>
        <w:pStyle w:val="ListBullet"/>
      </w:pPr>
      <w:r>
        <w:t>Pin providers and control upgrades.</w:t>
      </w:r>
    </w:p>
    <w:p>
      <w:pPr>
        <w:pStyle w:val="ListBullet"/>
      </w:pPr>
      <w:r>
        <w:t>Test formatting, validation, plans, policies and modules in CI.</w:t>
      </w:r>
    </w:p>
    <w:p>
      <w:pPr>
        <w:pStyle w:val="ListBullet"/>
      </w:pPr>
      <w:r>
        <w:t>Use provider-specific modules behind a consistent operating contract.</w:t>
      </w:r>
    </w:p>
    <w:p>
      <w:pPr>
        <w:pStyle w:val="Heading2"/>
        <w:keepNext/>
      </w:pPr>
      <w:r>
        <w:t>Core Concepts</w:t>
      </w:r>
    </w:p>
    <w:p>
      <w:pPr>
        <w:pStyle w:val="Heading3"/>
        <w:keepNext/>
      </w:pPr>
      <w:r>
        <w:t>Module contracts</w:t>
      </w:r>
    </w:p>
    <w:p>
      <w:pPr>
        <w:keepNext w:val="0"/>
      </w:pPr>
      <w:r>
        <w:t>A module should represent a meaningful architecture capability with clear inputs, outputs, versions and documented constraints. A universal module that hides all provider differences often becomes difficult to use and maintain.</w:t>
      </w:r>
    </w:p>
    <w:p>
      <w:pPr>
        <w:pStyle w:val="Heading3"/>
        <w:keepNext/>
      </w:pPr>
      <w:r>
        <w:t>State as sensitive control data</w:t>
      </w:r>
    </w:p>
    <w:p>
      <w:pPr>
        <w:keepNext w:val="0"/>
      </w:pPr>
      <w:r>
        <w:t>Terraform state maps configuration to real resources and can contain sensitive values. It requires encryption, access control, locking, backups, versioning and separation by blast radius.</w:t>
      </w:r>
    </w:p>
    <w:p>
      <w:pPr>
        <w:pStyle w:val="Heading3"/>
        <w:keepNext/>
      </w:pPr>
      <w:r>
        <w:t>Plan and apply separation</w:t>
      </w:r>
    </w:p>
    <w:p>
      <w:pPr>
        <w:keepNext w:val="0"/>
      </w:pPr>
      <w:r>
        <w:t>CI should validate and produce a reviewed plan; controlled automation applies approved changes using short-lived identity. Production changes require policy and concurrency controls.</w:t>
      </w:r>
    </w:p>
    <w:p>
      <w:pPr>
        <w:pStyle w:val="Heading3"/>
        <w:keepNext/>
      </w:pPr>
      <w:r>
        <w:t>Testing layers</w:t>
      </w:r>
    </w:p>
    <w:p>
      <w:pPr>
        <w:keepNext w:val="0"/>
      </w:pPr>
      <w:r>
        <w:t>Static validation, provider lock checks, linting, security scanning, policy tests, module tests, plan review and ephemeral integration tests catch different classes of failure.</w:t>
      </w:r>
    </w:p>
    <w:p>
      <w:pPr>
        <w:pStyle w:val="Heading2"/>
        <w:keepNext/>
      </w:pPr>
      <w:r>
        <w:t>Architecture and Operating Decisions</w:t>
      </w:r>
    </w:p>
    <w:p>
      <w:pPr>
        <w:pStyle w:val="ListBullet"/>
      </w:pPr>
      <w:r>
        <w:t>Keep provider-specific implementation explicit while standardizing repository, policy and delivery conventions.</w:t>
      </w:r>
    </w:p>
    <w:p>
      <w:pPr>
        <w:pStyle w:val="ListBullet"/>
      </w:pPr>
      <w:r>
        <w:t>Separate state by environment and meaningful failure boundary.</w:t>
      </w:r>
    </w:p>
    <w:p>
      <w:pPr>
        <w:pStyle w:val="ListBullet"/>
      </w:pPr>
      <w:r>
        <w:t>Use remote encrypted state and never commit state files.</w:t>
      </w:r>
    </w:p>
    <w:p>
      <w:pPr>
        <w:pStyle w:val="ListBullet"/>
      </w:pPr>
      <w:r>
        <w:t>Pin Terraform and provider versions and test upgrades.</w:t>
      </w:r>
    </w:p>
    <w:p>
      <w:pPr>
        <w:pStyle w:val="ListBullet"/>
      </w:pPr>
      <w:r>
        <w:t>Use OIDC or native workload identity for CI/CD applies.</w:t>
      </w:r>
    </w:p>
    <w:p>
      <w:pPr>
        <w:pStyle w:val="Heading2"/>
        <w:keepNext/>
      </w:pPr>
      <w:r>
        <w:t>Reference Configuration or Decision Pattern</w:t>
      </w:r>
    </w:p>
    <w:tbl>
      <w:tblPr>
        <w:tblW w:type="auto" w:w="0"/>
        <w:jc w:val="center"/>
        <w:tblLook w:firstColumn="1" w:firstRow="1" w:lastColumn="0" w:lastRow="0" w:noHBand="0" w:noVBand="1" w:val="04A0"/>
      </w:tblPr>
      <w:tblGrid>
        <w:gridCol w:w="10166"/>
      </w:tblGrid>
      <w:tr>
        <w:trPr>
          <w:cantSplit/>
        </w:trPr>
        <w:tc>
          <w:tcPr>
            <w:tcW w:type="dxa" w:w="10166"/>
            <w:shd w:fill="F3F5F7"/>
            <w:tcMar>
              <w:top w:w="90" w:type="dxa"/>
              <w:start w:w="120" w:type="dxa"/>
              <w:bottom w:w="90" w:type="dxa"/>
              <w:end w:w="120" w:type="dxa"/>
            </w:tcMar>
          </w:tcPr>
          <w:p>
            <w:pPr>
              <w:spacing w:after="0" w:line="240" w:lineRule="auto"/>
            </w:pPr>
            <w:r>
              <w:rPr>
                <w:rFonts w:ascii="DejaVu Sans Mono" w:hAnsi="DejaVu Sans Mono" w:eastAsia="DejaVu Sans Mono"/>
                <w:color w:val="1F2933"/>
                <w:sz w:val="14"/>
              </w:rPr>
              <w:t>repo/</w:t>
              <w:br/>
              <w:t>├── modules/</w:t>
              <w:br/>
              <w:t>│   ├── aws-landing-zone-account/</w:t>
              <w:br/>
              <w:t>│   ├── azure-application-landing-zone/</w:t>
              <w:br/>
              <w:t>│   └── gcp-project-foundation/</w:t>
              <w:br/>
              <w:t>├── live/</w:t>
              <w:br/>
              <w:t>│   ├── aws/prod/</w:t>
              <w:br/>
              <w:t>│   ├── azure/prod/</w:t>
              <w:br/>
              <w:t>│   └── gcp/prod/</w:t>
              <w:br/>
              <w:t>├── policies/</w:t>
              <w:br/>
              <w:t>├── tests/</w:t>
              <w:br/>
              <w:t>└── pipelines/</w:t>
              <w:br/>
              <w:br/>
              <w:t>CI stages:</w:t>
              <w:br/>
              <w:t xml:space="preserve">  fmt -&gt; validate -&gt; lint -&gt; security -&gt; test -&gt; plan -&gt; policy -&gt; approve -&gt; apply -&gt; verify</w:t>
            </w:r>
          </w:p>
        </w:tc>
      </w:tr>
    </w:tbl>
    <w:p>
      <w:r>
        <w:rPr>
          <w:b/>
        </w:rPr>
        <w:t xml:space="preserve">Interpretation: </w:t>
      </w:r>
      <w:r>
        <w:t>A shared workflow does not require identical resource abstractions. Preserve provider semantics while standardizing quality gates and evidence.</w:t>
      </w:r>
    </w:p>
    <w:p>
      <w:pPr>
        <w:pStyle w:val="Heading2"/>
        <w:keepNext/>
      </w:pPr>
      <w:r>
        <w:t>Production Readiness Checklist</w:t>
      </w:r>
    </w:p>
    <w:p>
      <w:pPr>
        <w:ind w:left="259" w:hanging="259"/>
      </w:pPr>
      <w:r>
        <w:t>☐ State is remote, encrypted, locked, backed up and access-controlled.</w:t>
      </w:r>
    </w:p>
    <w:p>
      <w:pPr>
        <w:ind w:left="259" w:hanging="259"/>
      </w:pPr>
      <w:r>
        <w:t>☐ Modules have versions, owners, tests and upgrade notes.</w:t>
      </w:r>
    </w:p>
    <w:p>
      <w:pPr>
        <w:ind w:left="259" w:hanging="259"/>
      </w:pPr>
      <w:r>
        <w:t>☐ Provider and Terraform versions are pinned.</w:t>
      </w:r>
    </w:p>
    <w:p>
      <w:pPr>
        <w:ind w:left="259" w:hanging="259"/>
      </w:pPr>
      <w:r>
        <w:t>☐ Plans are reviewed and policy checked before apply.</w:t>
      </w:r>
    </w:p>
    <w:p>
      <w:pPr>
        <w:ind w:left="259" w:hanging="259"/>
      </w:pPr>
      <w:r>
        <w:t>☐ Applies use short-lived identity and post-deployment validation.</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70" w:type="dxa"/>
              <w:start w:w="90" w:type="dxa"/>
              <w:bottom w:w="70" w:type="dxa"/>
              <w:end w:w="90" w:type="dxa"/>
            </w:tcMar>
            <w:vAlign w:val="center"/>
          </w:tcPr>
          <w:p>
            <w:r>
              <w:rPr>
                <w:b/>
                <w:color w:val="FFFFFF"/>
                <w:sz w:val="14"/>
              </w:rPr>
              <w:t>Symptom</w:t>
            </w:r>
          </w:p>
        </w:tc>
        <w:tc>
          <w:tcPr>
            <w:tcW w:type="dxa" w:w="2376"/>
            <w:shd w:fill="176B87"/>
            <w:tcMar>
              <w:top w:w="70" w:type="dxa"/>
              <w:start w:w="90" w:type="dxa"/>
              <w:bottom w:w="70" w:type="dxa"/>
              <w:end w:w="90" w:type="dxa"/>
            </w:tcMar>
            <w:vAlign w:val="center"/>
          </w:tcPr>
          <w:p>
            <w:r>
              <w:rPr>
                <w:b/>
                <w:color w:val="FFFFFF"/>
                <w:sz w:val="14"/>
              </w:rPr>
              <w:t>Likely cause</w:t>
            </w:r>
          </w:p>
        </w:tc>
        <w:tc>
          <w:tcPr>
            <w:tcW w:type="dxa" w:w="3096"/>
            <w:shd w:fill="176B87"/>
            <w:tcMar>
              <w:top w:w="70" w:type="dxa"/>
              <w:start w:w="90" w:type="dxa"/>
              <w:bottom w:w="70" w:type="dxa"/>
              <w:end w:w="90" w:type="dxa"/>
            </w:tcMar>
            <w:vAlign w:val="center"/>
          </w:tcPr>
          <w:p>
            <w:r>
              <w:rPr>
                <w:b/>
                <w:color w:val="FFFFFF"/>
                <w:sz w:val="14"/>
              </w:rPr>
              <w:t>Corrective action</w:t>
            </w:r>
          </w:p>
        </w:tc>
        <w:tc>
          <w:tcPr>
            <w:tcW w:type="dxa" w:w="2232"/>
            <w:shd w:fill="176B87"/>
            <w:tcMar>
              <w:top w:w="70" w:type="dxa"/>
              <w:start w:w="90" w:type="dxa"/>
              <w:bottom w:w="70" w:type="dxa"/>
              <w:end w:w="90" w:type="dxa"/>
            </w:tcMar>
            <w:vAlign w:val="center"/>
          </w:tcPr>
          <w:p>
            <w:r>
              <w:rPr>
                <w:b/>
                <w:color w:val="FFFFFF"/>
                <w:sz w:val="14"/>
              </w:rPr>
              <w:t>Validation evidence</w:t>
            </w:r>
          </w:p>
        </w:tc>
      </w:tr>
      <w:tr>
        <w:trPr>
          <w:cantSplit/>
        </w:trPr>
        <w:tc>
          <w:tcPr>
            <w:tcW w:type="dxa" w:w="1944"/>
            <w:tcMar>
              <w:top w:w="70" w:type="dxa"/>
              <w:start w:w="90" w:type="dxa"/>
              <w:bottom w:w="70" w:type="dxa"/>
              <w:end w:w="90" w:type="dxa"/>
            </w:tcMar>
            <w:vAlign w:val="top"/>
          </w:tcPr>
          <w:p>
            <w:r>
              <w:rPr>
                <w:sz w:val="14"/>
              </w:rPr>
              <w:t>Concurrent changes corrupt workflow</w:t>
            </w:r>
          </w:p>
        </w:tc>
        <w:tc>
          <w:tcPr>
            <w:tcW w:type="dxa" w:w="2376"/>
            <w:tcMar>
              <w:top w:w="70" w:type="dxa"/>
              <w:start w:w="90" w:type="dxa"/>
              <w:bottom w:w="70" w:type="dxa"/>
              <w:end w:w="90" w:type="dxa"/>
            </w:tcMar>
            <w:vAlign w:val="top"/>
          </w:tcPr>
          <w:p>
            <w:r>
              <w:rPr>
                <w:sz w:val="14"/>
              </w:rPr>
              <w:t>No state locking or apply serialization</w:t>
            </w:r>
          </w:p>
        </w:tc>
        <w:tc>
          <w:tcPr>
            <w:tcW w:type="dxa" w:w="3096"/>
            <w:tcMar>
              <w:top w:w="70" w:type="dxa"/>
              <w:start w:w="90" w:type="dxa"/>
              <w:bottom w:w="70" w:type="dxa"/>
              <w:end w:w="90" w:type="dxa"/>
            </w:tcMar>
            <w:vAlign w:val="top"/>
          </w:tcPr>
          <w:p>
            <w:r>
              <w:rPr>
                <w:sz w:val="14"/>
              </w:rPr>
              <w:t>Enable locking and environment concurrency control</w:t>
            </w:r>
          </w:p>
        </w:tc>
        <w:tc>
          <w:tcPr>
            <w:tcW w:type="dxa" w:w="2232"/>
            <w:tcMar>
              <w:top w:w="70" w:type="dxa"/>
              <w:start w:w="90" w:type="dxa"/>
              <w:bottom w:w="70" w:type="dxa"/>
              <w:end w:w="90" w:type="dxa"/>
            </w:tcMar>
            <w:vAlign w:val="top"/>
          </w:tcPr>
          <w:p>
            <w:r>
              <w:rPr>
                <w:sz w:val="14"/>
              </w:rPr>
              <w:t>Second apply is blocked safely</w:t>
            </w:r>
          </w:p>
        </w:tc>
      </w:tr>
      <w:tr>
        <w:trPr>
          <w:cantSplit/>
        </w:trPr>
        <w:tc>
          <w:tcPr>
            <w:tcW w:type="dxa" w:w="1944"/>
            <w:tcMar>
              <w:top w:w="70" w:type="dxa"/>
              <w:start w:w="90" w:type="dxa"/>
              <w:bottom w:w="70" w:type="dxa"/>
              <w:end w:w="90" w:type="dxa"/>
            </w:tcMar>
            <w:vAlign w:val="top"/>
          </w:tcPr>
          <w:p>
            <w:r>
              <w:rPr>
                <w:sz w:val="14"/>
              </w:rPr>
              <w:t>Plan replaces critical resources</w:t>
            </w:r>
          </w:p>
        </w:tc>
        <w:tc>
          <w:tcPr>
            <w:tcW w:type="dxa" w:w="2376"/>
            <w:tcMar>
              <w:top w:w="70" w:type="dxa"/>
              <w:start w:w="90" w:type="dxa"/>
              <w:bottom w:w="70" w:type="dxa"/>
              <w:end w:w="90" w:type="dxa"/>
            </w:tcMar>
            <w:vAlign w:val="top"/>
          </w:tcPr>
          <w:p>
            <w:r>
              <w:rPr>
                <w:sz w:val="14"/>
              </w:rPr>
              <w:t>Module refactor changed addresses</w:t>
            </w:r>
          </w:p>
        </w:tc>
        <w:tc>
          <w:tcPr>
            <w:tcW w:type="dxa" w:w="3096"/>
            <w:tcMar>
              <w:top w:w="70" w:type="dxa"/>
              <w:start w:w="90" w:type="dxa"/>
              <w:bottom w:w="70" w:type="dxa"/>
              <w:end w:w="90" w:type="dxa"/>
            </w:tcMar>
            <w:vAlign w:val="top"/>
          </w:tcPr>
          <w:p>
            <w:r>
              <w:rPr>
                <w:sz w:val="14"/>
              </w:rPr>
              <w:t>Use moved blocks and migration tests</w:t>
            </w:r>
          </w:p>
        </w:tc>
        <w:tc>
          <w:tcPr>
            <w:tcW w:type="dxa" w:w="2232"/>
            <w:tcMar>
              <w:top w:w="70" w:type="dxa"/>
              <w:start w:w="90" w:type="dxa"/>
              <w:bottom w:w="70" w:type="dxa"/>
              <w:end w:w="90" w:type="dxa"/>
            </w:tcMar>
            <w:vAlign w:val="top"/>
          </w:tcPr>
          <w:p>
            <w:r>
              <w:rPr>
                <w:sz w:val="14"/>
              </w:rPr>
              <w:t>Plan shows no unintended replacement</w:t>
            </w:r>
          </w:p>
        </w:tc>
      </w:tr>
      <w:tr>
        <w:trPr>
          <w:cantSplit/>
        </w:trPr>
        <w:tc>
          <w:tcPr>
            <w:tcW w:type="dxa" w:w="1944"/>
            <w:tcMar>
              <w:top w:w="70" w:type="dxa"/>
              <w:start w:w="90" w:type="dxa"/>
              <w:bottom w:w="70" w:type="dxa"/>
              <w:end w:w="90" w:type="dxa"/>
            </w:tcMar>
            <w:vAlign w:val="top"/>
          </w:tcPr>
          <w:p>
            <w:r>
              <w:rPr>
                <w:sz w:val="14"/>
              </w:rPr>
              <w:t>Secret appears in state</w:t>
            </w:r>
          </w:p>
        </w:tc>
        <w:tc>
          <w:tcPr>
            <w:tcW w:type="dxa" w:w="2376"/>
            <w:tcMar>
              <w:top w:w="70" w:type="dxa"/>
              <w:start w:w="90" w:type="dxa"/>
              <w:bottom w:w="70" w:type="dxa"/>
              <w:end w:w="90" w:type="dxa"/>
            </w:tcMar>
            <w:vAlign w:val="top"/>
          </w:tcPr>
          <w:p>
            <w:r>
              <w:rPr>
                <w:sz w:val="14"/>
              </w:rPr>
              <w:t>Sensitive resource design not considered</w:t>
            </w:r>
          </w:p>
        </w:tc>
        <w:tc>
          <w:tcPr>
            <w:tcW w:type="dxa" w:w="3096"/>
            <w:tcMar>
              <w:top w:w="70" w:type="dxa"/>
              <w:start w:w="90" w:type="dxa"/>
              <w:bottom w:w="70" w:type="dxa"/>
              <w:end w:w="90" w:type="dxa"/>
            </w:tcMar>
            <w:vAlign w:val="top"/>
          </w:tcPr>
          <w:p>
            <w:r>
              <w:rPr>
                <w:sz w:val="14"/>
              </w:rPr>
              <w:t>Use secret references and restrict state access</w:t>
            </w:r>
          </w:p>
        </w:tc>
        <w:tc>
          <w:tcPr>
            <w:tcW w:type="dxa" w:w="2232"/>
            <w:tcMar>
              <w:top w:w="70" w:type="dxa"/>
              <w:start w:w="90" w:type="dxa"/>
              <w:bottom w:w="70" w:type="dxa"/>
              <w:end w:w="90" w:type="dxa"/>
            </w:tcMar>
            <w:vAlign w:val="top"/>
          </w:tcPr>
          <w:p>
            <w:r>
              <w:rPr>
                <w:sz w:val="14"/>
              </w:rPr>
              <w:t>State scan and access review pass</w:t>
            </w:r>
          </w:p>
        </w:tc>
      </w:tr>
      <w:tr>
        <w:trPr>
          <w:cantSplit/>
        </w:trPr>
        <w:tc>
          <w:tcPr>
            <w:tcW w:type="dxa" w:w="1944"/>
            <w:tcMar>
              <w:top w:w="70" w:type="dxa"/>
              <w:start w:w="90" w:type="dxa"/>
              <w:bottom w:w="70" w:type="dxa"/>
              <w:end w:w="90" w:type="dxa"/>
            </w:tcMar>
            <w:vAlign w:val="top"/>
          </w:tcPr>
          <w:p>
            <w:r>
              <w:rPr>
                <w:sz w:val="14"/>
              </w:rPr>
              <w:t>Provider upgrade breaks plan</w:t>
            </w:r>
          </w:p>
        </w:tc>
        <w:tc>
          <w:tcPr>
            <w:tcW w:type="dxa" w:w="2376"/>
            <w:tcMar>
              <w:top w:w="70" w:type="dxa"/>
              <w:start w:w="90" w:type="dxa"/>
              <w:bottom w:w="70" w:type="dxa"/>
              <w:end w:w="90" w:type="dxa"/>
            </w:tcMar>
            <w:vAlign w:val="top"/>
          </w:tcPr>
          <w:p>
            <w:r>
              <w:rPr>
                <w:sz w:val="14"/>
              </w:rPr>
              <w:t>Loose version constraints</w:t>
            </w:r>
          </w:p>
        </w:tc>
        <w:tc>
          <w:tcPr>
            <w:tcW w:type="dxa" w:w="3096"/>
            <w:tcMar>
              <w:top w:w="70" w:type="dxa"/>
              <w:start w:w="90" w:type="dxa"/>
              <w:bottom w:w="70" w:type="dxa"/>
              <w:end w:w="90" w:type="dxa"/>
            </w:tcMar>
            <w:vAlign w:val="top"/>
          </w:tcPr>
          <w:p>
            <w:r>
              <w:rPr>
                <w:sz w:val="14"/>
              </w:rPr>
              <w:t>Pin, test and promote dependency upgrades</w:t>
            </w:r>
          </w:p>
        </w:tc>
        <w:tc>
          <w:tcPr>
            <w:tcW w:type="dxa" w:w="2232"/>
            <w:tcMar>
              <w:top w:w="70" w:type="dxa"/>
              <w:start w:w="90" w:type="dxa"/>
              <w:bottom w:w="70" w:type="dxa"/>
              <w:end w:w="90" w:type="dxa"/>
            </w:tcMar>
            <w:vAlign w:val="top"/>
          </w:tcPr>
          <w:p>
            <w:r>
              <w:rPr>
                <w:sz w:val="14"/>
              </w:rPr>
              <w:t>Upgrade plan passes integration tests</w:t>
            </w:r>
          </w:p>
        </w:tc>
      </w:tr>
    </w:tbl>
    <w:p>
      <w:pPr>
        <w:pStyle w:val="Heading2"/>
        <w:keepNext/>
      </w:pPr>
      <w:r>
        <w:t>Hands-on Lab 9: Build a Tested Multi-Cloud IaC Repository Skeleton</w:t>
      </w:r>
    </w:p>
    <w:p>
      <w:pPr>
        <w:pStyle w:val="Heading3"/>
        <w:keepNext/>
      </w:pPr>
      <w:r>
        <w:t>Prerequisites</w:t>
      </w:r>
    </w:p>
    <w:p>
      <w:pPr>
        <w:pStyle w:val="ListBullet"/>
      </w:pPr>
      <w:r>
        <w:t>Terraform CLI in an isolated lab.</w:t>
      </w:r>
    </w:p>
    <w:p>
      <w:pPr>
        <w:pStyle w:val="ListBullet"/>
      </w:pPr>
      <w:r>
        <w:t>No production credentials.</w:t>
      </w:r>
    </w:p>
    <w:p>
      <w:pPr>
        <w:pStyle w:val="ListBullet"/>
      </w:pPr>
      <w:r>
        <w:t>Git repository and CI runner or local simulation.</w:t>
      </w:r>
    </w:p>
    <w:p>
      <w:pPr>
        <w:pStyle w:val="Heading3"/>
        <w:keepNext/>
      </w:pPr>
      <w:r>
        <w:t>Implementation</w:t>
      </w:r>
    </w:p>
    <w:p>
      <w:pPr>
        <w:ind w:left="360" w:hanging="360"/>
      </w:pPr>
      <w:r>
        <w:rPr>
          <w:b/>
        </w:rPr>
        <w:t xml:space="preserve">1. </w:t>
      </w:r>
      <w:r>
        <w:t>Create provider-specific landing-zone modules with common documentation standards.</w:t>
      </w:r>
    </w:p>
    <w:p>
      <w:pPr>
        <w:ind w:left="360" w:hanging="360"/>
      </w:pPr>
      <w:r>
        <w:rPr>
          <w:b/>
        </w:rPr>
        <w:t xml:space="preserve">2. </w:t>
      </w:r>
      <w:r>
        <w:t>Configure isolated remote-state backends or safe local simulations.</w:t>
      </w:r>
    </w:p>
    <w:p>
      <w:pPr>
        <w:ind w:left="360" w:hanging="360"/>
      </w:pPr>
      <w:r>
        <w:rPr>
          <w:b/>
        </w:rPr>
        <w:t xml:space="preserve">3. </w:t>
      </w:r>
      <w:r>
        <w:t>Add version constraints, lock files and module interfaces.</w:t>
      </w:r>
    </w:p>
    <w:p>
      <w:pPr>
        <w:ind w:left="360" w:hanging="360"/>
      </w:pPr>
      <w:r>
        <w:rPr>
          <w:b/>
        </w:rPr>
        <w:t xml:space="preserve">4. </w:t>
      </w:r>
      <w:r>
        <w:t>Create CI stages for formatting, validation, linting, security, tests and plan.</w:t>
      </w:r>
    </w:p>
    <w:p>
      <w:pPr>
        <w:ind w:left="360" w:hanging="360"/>
      </w:pPr>
      <w:r>
        <w:rPr>
          <w:b/>
        </w:rPr>
        <w:t xml:space="preserve">5. </w:t>
      </w:r>
      <w:r>
        <w:t>Add policy tests for required metadata, prohibited public access and approved regions.</w:t>
      </w:r>
    </w:p>
    <w:p>
      <w:pPr>
        <w:ind w:left="360" w:hanging="360"/>
      </w:pPr>
      <w:r>
        <w:rPr>
          <w:b/>
        </w:rPr>
        <w:t xml:space="preserve">6. </w:t>
      </w:r>
      <w:r>
        <w:t>Run a controlled module refactor using a moved block and verify no replacement.</w:t>
      </w:r>
    </w:p>
    <w:p>
      <w:pPr>
        <w:pStyle w:val="Heading3"/>
        <w:keepNext/>
      </w:pPr>
      <w:r>
        <w:t>Validation Evidence</w:t>
      </w:r>
    </w:p>
    <w:p>
      <w:pPr>
        <w:pStyle w:val="ListBullet"/>
      </w:pPr>
      <w:r>
        <w:t>Repository with module and live structure.</w:t>
      </w:r>
    </w:p>
    <w:p>
      <w:pPr>
        <w:pStyle w:val="ListBullet"/>
      </w:pPr>
      <w:r>
        <w:t>Passing CI and policy-test output.</w:t>
      </w:r>
    </w:p>
    <w:p>
      <w:pPr>
        <w:pStyle w:val="ListBullet"/>
      </w:pPr>
      <w:r>
        <w:t>State-access design and safe refactor plan.</w:t>
      </w:r>
    </w:p>
    <w:p>
      <w:pPr>
        <w:pStyle w:val="Heading3"/>
        <w:keepNext/>
      </w:pPr>
      <w:r>
        <w:t>Cleanup</w:t>
      </w:r>
    </w:p>
    <w:p>
      <w:pPr>
        <w:pStyle w:val="ListBullet"/>
      </w:pPr>
      <w:r>
        <w:t>Destroy lab resources and remove local state copies.</w:t>
      </w:r>
    </w:p>
    <w:p>
      <w:pPr>
        <w:pStyle w:val="ListBullet"/>
      </w:pPr>
      <w:r>
        <w:t>Revoke temporary identities and verify no secret is in Git history.</w:t>
      </w:r>
    </w:p>
    <w:p>
      <w:pPr>
        <w:pStyle w:val="Heading2"/>
        <w:keepNext/>
      </w:pPr>
      <w:r>
        <w:t>Interview Questions and Model Answers</w:t>
      </w:r>
    </w:p>
    <w:p>
      <w:r>
        <w:rPr>
          <w:b/>
        </w:rPr>
        <w:t>1. Why is Terraform state sensitive?</w:t>
      </w:r>
    </w:p>
    <w:p>
      <w:pPr>
        <w:ind w:left="259"/>
      </w:pPr>
      <w:r>
        <w:t>It maps resources and may contain configuration or secret values, so compromise can reveal infrastructure and enable destructive changes.</w:t>
      </w:r>
    </w:p>
    <w:p>
      <w:r>
        <w:rPr>
          <w:b/>
        </w:rPr>
        <w:t>2. What makes a good module?</w:t>
      </w:r>
    </w:p>
    <w:p>
      <w:pPr>
        <w:ind w:left="259"/>
      </w:pPr>
      <w:r>
        <w:t>A stable, meaningful capability with clear inputs, outputs, ownership, tests, versioning and limited hidden behavior.</w:t>
      </w:r>
    </w:p>
    <w:p>
      <w:r>
        <w:rPr>
          <w:b/>
        </w:rPr>
        <w:t>3. Should multi-cloud use one universal module?</w:t>
      </w:r>
    </w:p>
    <w:p>
      <w:pPr>
        <w:ind w:left="259"/>
      </w:pPr>
      <w:r>
        <w:t>Usually not for everything. Standardize contracts and controls while preserving provider-specific capabilities and constraints.</w:t>
      </w:r>
    </w:p>
    <w:p>
      <w:r>
        <w:rPr>
          <w:b/>
        </w:rPr>
        <w:t>4. What should happen between plan and apply?</w:t>
      </w:r>
    </w:p>
    <w:p>
      <w:pPr>
        <w:ind w:left="259"/>
      </w:pPr>
      <w:r>
        <w:t>Review, policy evaluation, approval, concurrency control and verification using the exact reviewed artifact where possible.</w:t>
      </w:r>
    </w:p>
    <w:p>
      <w:pPr>
        <w:pStyle w:val="Heading2"/>
        <w:keepNext/>
      </w:pPr>
      <w:r>
        <w:t>Chapter Summary</w:t>
      </w:r>
    </w:p>
    <w:p>
      <w:pPr>
        <w:pStyle w:val="ListBullet"/>
      </w:pPr>
      <w:r>
        <w:t>IaC is necessary for governed scale.</w:t>
      </w:r>
    </w:p>
    <w:p>
      <w:pPr>
        <w:pStyle w:val="ListBullet"/>
      </w:pPr>
      <w:r>
        <w:t>State requires strong protection.</w:t>
      </w:r>
    </w:p>
    <w:p>
      <w:pPr>
        <w:pStyle w:val="ListBullet"/>
      </w:pPr>
      <w:r>
        <w:t>Provider differences should remain visible.</w:t>
      </w:r>
    </w:p>
    <w:p>
      <w:pPr>
        <w:pStyle w:val="ListBullet"/>
      </w:pPr>
      <w:r>
        <w:t>Testing and controlled delivery prevent high-speed mistakes.</w:t>
      </w:r>
    </w:p>
    <w:p>
      <w:r>
        <w:br w:type="page"/>
      </w:r>
    </w:p>
    <w:p>
      <w:pPr>
        <w:jc w:val="center"/>
      </w:pPr>
      <w:r>
        <w:rPr>
          <w:b/>
          <w:color w:val="14919B"/>
          <w:sz w:val="17"/>
        </w:rPr>
        <w:t>VOLUME 12A  |  CHAPTER 10</w:t>
      </w:r>
    </w:p>
    <w:p>
      <w:pPr>
        <w:pStyle w:val="Heading1"/>
        <w:jc w:val="center"/>
      </w:pPr>
      <w:r>
        <w:t>Chapter 10: Multi-Cloud Landing-Zone Foundation Capstone</w:t>
      </w:r>
    </w:p>
    <w:p>
      <w:pPr>
        <w:jc w:val="center"/>
      </w:pPr>
      <w:r>
        <w:rPr>
          <w:i/>
          <w:color w:val="4B5563"/>
          <w:sz w:val="20"/>
        </w:rPr>
        <w:t>Integrating strategy, hierarchy, identity, network, guardrails, cost and IaC into one platform blueprint</w:t>
      </w:r>
    </w:p>
    <w:tbl>
      <w:tblPr>
        <w:tblW w:type="auto" w:w="0"/>
        <w:jc w:val="center"/>
        <w:tblLook w:firstColumn="1" w:firstRow="1" w:lastColumn="0" w:lastRow="0" w:noHBand="0" w:noVBand="1" w:val="04A0"/>
      </w:tblPr>
      <w:tblGrid>
        <w:gridCol w:w="10166"/>
      </w:tblGrid>
      <w:tr>
        <w:trPr>
          <w:cantSplit/>
        </w:trPr>
        <w:tc>
          <w:tcPr>
            <w:tcW w:type="dxa" w:w="10166"/>
            <w:shd w:fill="E8F2F5"/>
            <w:tcMar>
              <w:top w:w="110" w:type="dxa"/>
              <w:start w:w="140" w:type="dxa"/>
              <w:bottom w:w="110" w:type="dxa"/>
              <w:end w:w="140" w:type="dxa"/>
            </w:tcMar>
          </w:tcPr>
          <w:p>
            <w:pPr>
              <w:spacing w:after="0"/>
            </w:pPr>
            <w:r>
              <w:rPr>
                <w:b/>
                <w:color w:val="176B87"/>
              </w:rPr>
              <w:t>Why this chapter matters: The foundation is complete only when a workload team can request an environment, receive a governed landing zone, deploy safely, generate audit and cost evidence, survive a bounded failure and decommission without orphaned access or spend.</w:t>
            </w:r>
          </w:p>
        </w:tc>
      </w:tr>
    </w:tbl>
    <w:p>
      <w:pPr>
        <w:spacing w:after="0"/>
      </w:pPr>
    </w:p>
    <w:p>
      <w:pPr>
        <w:pStyle w:val="Heading2"/>
        <w:keepNext/>
      </w:pPr>
      <w:r>
        <w:t>Learning Objectives</w:t>
      </w:r>
    </w:p>
    <w:p>
      <w:pPr>
        <w:pStyle w:val="ListBullet"/>
      </w:pPr>
      <w:r>
        <w:t>Design a three-provider cloud foundation with explicit provider roles.</w:t>
      </w:r>
    </w:p>
    <w:p>
      <w:pPr>
        <w:pStyle w:val="ListBullet"/>
      </w:pPr>
      <w:r>
        <w:t>Automate environment vending and baseline controls.</w:t>
      </w:r>
    </w:p>
    <w:p>
      <w:pPr>
        <w:pStyle w:val="ListBullet"/>
      </w:pPr>
      <w:r>
        <w:t>Validate identity, network, logging, policy, budgets and IaC delivery.</w:t>
      </w:r>
    </w:p>
    <w:p>
      <w:pPr>
        <w:pStyle w:val="ListBullet"/>
      </w:pPr>
      <w:r>
        <w:t>Run failure and governance exercises.</w:t>
      </w:r>
    </w:p>
    <w:p>
      <w:pPr>
        <w:pStyle w:val="ListBullet"/>
      </w:pPr>
      <w:r>
        <w:t>Produce a portfolio-ready architecture and evidence package.</w:t>
      </w:r>
    </w:p>
    <w:p>
      <w:pPr>
        <w:pStyle w:val="Heading2"/>
        <w:keepNext/>
      </w:pPr>
      <w:r>
        <w:t>Core Concepts</w:t>
      </w:r>
    </w:p>
    <w:p>
      <w:pPr>
        <w:pStyle w:val="Heading3"/>
        <w:keepNext/>
      </w:pPr>
      <w:r>
        <w:t>Platform product</w:t>
      </w:r>
    </w:p>
    <w:p>
      <w:pPr>
        <w:keepNext w:val="0"/>
      </w:pPr>
      <w:r>
        <w:t>The landing-zone platform provides reusable capabilities, documentation, support, versions and service objectives. Its customers are workload teams.</w:t>
      </w:r>
    </w:p>
    <w:p>
      <w:pPr>
        <w:pStyle w:val="Heading3"/>
        <w:keepNext/>
      </w:pPr>
      <w:r>
        <w:t>Golden request path</w:t>
      </w:r>
    </w:p>
    <w:p>
      <w:pPr>
        <w:keepNext w:val="0"/>
      </w:pPr>
      <w:r>
        <w:t>A request supplies owner, product, environment, data classification, region and connectivity. Automation creates the resource boundary, roles, network, logs, policies, budget and repository bootstrap.</w:t>
      </w:r>
    </w:p>
    <w:p>
      <w:pPr>
        <w:pStyle w:val="Heading3"/>
        <w:keepNext/>
      </w:pPr>
      <w:r>
        <w:t>Verification over deployment</w:t>
      </w:r>
    </w:p>
    <w:p>
      <w:pPr>
        <w:keepNext w:val="0"/>
      </w:pPr>
      <w:r>
        <w:t>Success requires effective-policy checks, known audit events, identity tests, reachability tests, budget routing, state controls and decommission evidence—not only successful provisioning.</w:t>
      </w:r>
    </w:p>
    <w:p>
      <w:pPr>
        <w:pStyle w:val="Heading3"/>
        <w:keepNext/>
      </w:pPr>
      <w:r>
        <w:t>Bounded failure drills</w:t>
      </w:r>
    </w:p>
    <w:p>
      <w:pPr>
        <w:keepNext w:val="0"/>
      </w:pPr>
      <w:r>
        <w:t>Exercises include identity-provider outage, denied policy, network-path failure, quota exhaustion, central logging interruption and accidental drift. Each has stop conditions and recovery steps.</w:t>
      </w:r>
    </w:p>
    <w:p>
      <w:pPr>
        <w:pStyle w:val="Heading2"/>
        <w:keepNext/>
      </w:pPr>
      <w:r>
        <w:t>Architecture and Operating Decisions</w:t>
      </w:r>
    </w:p>
    <w:p>
      <w:pPr>
        <w:pStyle w:val="ListBullet"/>
      </w:pPr>
      <w:r>
        <w:t>Implement one provider deeply and model the other two where cost limits apply, while preserving equivalent design evidence.</w:t>
      </w:r>
    </w:p>
    <w:p>
      <w:pPr>
        <w:pStyle w:val="ListBullet"/>
      </w:pPr>
      <w:r>
        <w:t>Use synthetic identities and data.</w:t>
      </w:r>
    </w:p>
    <w:p>
      <w:pPr>
        <w:pStyle w:val="ListBullet"/>
      </w:pPr>
      <w:r>
        <w:t>Keep the capstone within strict budgets and automatic expiry.</w:t>
      </w:r>
    </w:p>
    <w:p>
      <w:pPr>
        <w:pStyle w:val="ListBullet"/>
      </w:pPr>
      <w:r>
        <w:t>Separate platform and workload administrator duties.</w:t>
      </w:r>
    </w:p>
    <w:p>
      <w:pPr>
        <w:pStyle w:val="ListBullet"/>
      </w:pPr>
      <w:r>
        <w:t>Publish known limitations and the backlog for provider-deep Parts B-D.</w:t>
      </w:r>
    </w:p>
    <w:p>
      <w:pPr>
        <w:pStyle w:val="Heading2"/>
        <w:keepNext/>
      </w:pPr>
      <w:r>
        <w:t>Reference Configuration or Decision Pattern</w:t>
      </w:r>
    </w:p>
    <w:tbl>
      <w:tblPr>
        <w:tblW w:type="auto" w:w="0"/>
        <w:jc w:val="center"/>
        <w:tblLook w:firstColumn="1" w:firstRow="1" w:lastColumn="0" w:lastRow="0" w:noHBand="0" w:noVBand="1" w:val="04A0"/>
      </w:tblPr>
      <w:tblGrid>
        <w:gridCol w:w="10166"/>
      </w:tblGrid>
      <w:tr>
        <w:trPr>
          <w:cantSplit/>
        </w:trPr>
        <w:tc>
          <w:tcPr>
            <w:tcW w:type="dxa" w:w="10166"/>
            <w:shd w:fill="F3F5F7"/>
            <w:tcMar>
              <w:top w:w="90" w:type="dxa"/>
              <w:start w:w="120" w:type="dxa"/>
              <w:bottom w:w="90" w:type="dxa"/>
              <w:end w:w="120" w:type="dxa"/>
            </w:tcMar>
          </w:tcPr>
          <w:p>
            <w:pPr>
              <w:spacing w:after="0" w:line="240" w:lineRule="auto"/>
            </w:pPr>
            <w:r>
              <w:rPr>
                <w:rFonts w:ascii="DejaVu Sans Mono" w:hAnsi="DejaVu Sans Mono" w:eastAsia="DejaVu Sans Mono"/>
                <w:color w:val="1F2933"/>
                <w:sz w:val="14"/>
              </w:rPr>
              <w:t>capstone_repository/</w:t>
              <w:br/>
              <w:t>├── architecture/</w:t>
              <w:br/>
              <w:t>│   ├── strategy.md</w:t>
              <w:br/>
              <w:t>│   ├── hierarchy.drawio</w:t>
              <w:br/>
              <w:t>│   ├── identity.drawio</w:t>
              <w:br/>
              <w:t>│   └── network.drawio</w:t>
              <w:br/>
              <w:t>├── modules/{aws,azure,gcp}/</w:t>
              <w:br/>
              <w:t>├── live/{aws,azure,gcp}/</w:t>
              <w:br/>
              <w:t>├── policy/</w:t>
              <w:br/>
              <w:t>├── catalog/</w:t>
              <w:br/>
              <w:t>├── vending/</w:t>
              <w:br/>
              <w:t>├── tests/</w:t>
              <w:br/>
              <w:t>├── runbooks/</w:t>
              <w:br/>
              <w:t>└── evidence/</w:t>
              <w:br/>
              <w:br/>
              <w:t>acceptance:</w:t>
              <w:br/>
              <w:t xml:space="preserve">  - environment_vended_under_30_minutes</w:t>
              <w:br/>
              <w:t xml:space="preserve">  - no_long_lived_cloud_keys</w:t>
              <w:br/>
              <w:t xml:space="preserve">  - audit_event_visible_under_5_minutes</w:t>
              <w:br/>
              <w:t xml:space="preserve">  - required_metadata_100_percent</w:t>
              <w:br/>
              <w:t xml:space="preserve">  - denied_public_storage_test_passes</w:t>
              <w:br/>
              <w:t xml:space="preserve">  - teardown_leaves_no_billable_resource</w:t>
            </w:r>
          </w:p>
        </w:tc>
      </w:tr>
    </w:tbl>
    <w:p>
      <w:r>
        <w:rPr>
          <w:b/>
        </w:rPr>
        <w:t xml:space="preserve">Interpretation: </w:t>
      </w:r>
      <w:r>
        <w:t>The capstone is an engineering evidence package. Replace sample targets with measured results and clearly mark simulated provider implementations.</w:t>
      </w:r>
    </w:p>
    <w:p>
      <w:pPr>
        <w:pStyle w:val="Heading2"/>
        <w:keepNext/>
      </w:pPr>
      <w:r>
        <w:t>Production Readiness Checklist</w:t>
      </w:r>
    </w:p>
    <w:p>
      <w:pPr>
        <w:ind w:left="259" w:hanging="259"/>
      </w:pPr>
      <w:r>
        <w:t>☐ Strategy, provider roles and placement policy are approved.</w:t>
      </w:r>
    </w:p>
    <w:p>
      <w:pPr>
        <w:ind w:left="259" w:hanging="259"/>
      </w:pPr>
      <w:r>
        <w:t>☐ Resource hierarchy, identity and network designs are complete.</w:t>
      </w:r>
    </w:p>
    <w:p>
      <w:pPr>
        <w:ind w:left="259" w:hanging="259"/>
      </w:pPr>
      <w:r>
        <w:t>☐ Vending applies logging, guardrails, metadata and budgets automatically.</w:t>
      </w:r>
    </w:p>
    <w:p>
      <w:pPr>
        <w:ind w:left="259" w:hanging="259"/>
      </w:pPr>
      <w:r>
        <w:t>☐ IaC pipeline and state controls are validated.</w:t>
      </w:r>
    </w:p>
    <w:p>
      <w:pPr>
        <w:ind w:left="259" w:hanging="259"/>
      </w:pPr>
      <w:r>
        <w:t>☐ Failure drills and full teardown produce auditable evidence.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70" w:type="dxa"/>
              <w:start w:w="90" w:type="dxa"/>
              <w:bottom w:w="70" w:type="dxa"/>
              <w:end w:w="90" w:type="dxa"/>
            </w:tcMar>
            <w:vAlign w:val="center"/>
          </w:tcPr>
          <w:p>
            <w:r>
              <w:rPr>
                <w:b/>
                <w:color w:val="FFFFFF"/>
                <w:sz w:val="14"/>
              </w:rPr>
              <w:t>Symptom</w:t>
            </w:r>
          </w:p>
        </w:tc>
        <w:tc>
          <w:tcPr>
            <w:tcW w:type="dxa" w:w="2376"/>
            <w:shd w:fill="176B87"/>
            <w:tcMar>
              <w:top w:w="70" w:type="dxa"/>
              <w:start w:w="90" w:type="dxa"/>
              <w:bottom w:w="70" w:type="dxa"/>
              <w:end w:w="90" w:type="dxa"/>
            </w:tcMar>
            <w:vAlign w:val="center"/>
          </w:tcPr>
          <w:p>
            <w:r>
              <w:rPr>
                <w:b/>
                <w:color w:val="FFFFFF"/>
                <w:sz w:val="14"/>
              </w:rPr>
              <w:t>Likely cause</w:t>
            </w:r>
          </w:p>
        </w:tc>
        <w:tc>
          <w:tcPr>
            <w:tcW w:type="dxa" w:w="3096"/>
            <w:shd w:fill="176B87"/>
            <w:tcMar>
              <w:top w:w="70" w:type="dxa"/>
              <w:start w:w="90" w:type="dxa"/>
              <w:bottom w:w="70" w:type="dxa"/>
              <w:end w:w="90" w:type="dxa"/>
            </w:tcMar>
            <w:vAlign w:val="center"/>
          </w:tcPr>
          <w:p>
            <w:r>
              <w:rPr>
                <w:b/>
                <w:color w:val="FFFFFF"/>
                <w:sz w:val="14"/>
              </w:rPr>
              <w:t>Corrective action</w:t>
            </w:r>
          </w:p>
        </w:tc>
        <w:tc>
          <w:tcPr>
            <w:tcW w:type="dxa" w:w="2232"/>
            <w:shd w:fill="176B87"/>
            <w:tcMar>
              <w:top w:w="70" w:type="dxa"/>
              <w:start w:w="90" w:type="dxa"/>
              <w:bottom w:w="70" w:type="dxa"/>
              <w:end w:w="90" w:type="dxa"/>
            </w:tcMar>
            <w:vAlign w:val="center"/>
          </w:tcPr>
          <w:p>
            <w:r>
              <w:rPr>
                <w:b/>
                <w:color w:val="FFFFFF"/>
                <w:sz w:val="14"/>
              </w:rPr>
              <w:t>Validation evidence</w:t>
            </w:r>
          </w:p>
        </w:tc>
      </w:tr>
      <w:tr>
        <w:trPr>
          <w:cantSplit/>
        </w:trPr>
        <w:tc>
          <w:tcPr>
            <w:tcW w:type="dxa" w:w="1944"/>
            <w:tcMar>
              <w:top w:w="70" w:type="dxa"/>
              <w:start w:w="90" w:type="dxa"/>
              <w:bottom w:w="70" w:type="dxa"/>
              <w:end w:w="90" w:type="dxa"/>
            </w:tcMar>
            <w:vAlign w:val="top"/>
          </w:tcPr>
          <w:p>
            <w:r>
              <w:rPr>
                <w:sz w:val="14"/>
              </w:rPr>
              <w:t>Vending succeeds but app cannot deploy</w:t>
            </w:r>
          </w:p>
        </w:tc>
        <w:tc>
          <w:tcPr>
            <w:tcW w:type="dxa" w:w="2376"/>
            <w:tcMar>
              <w:top w:w="70" w:type="dxa"/>
              <w:start w:w="90" w:type="dxa"/>
              <w:bottom w:w="70" w:type="dxa"/>
              <w:end w:w="90" w:type="dxa"/>
            </w:tcMar>
            <w:vAlign w:val="top"/>
          </w:tcPr>
          <w:p>
            <w:r>
              <w:rPr>
                <w:sz w:val="14"/>
              </w:rPr>
              <w:t>Baseline lacks required delegated permissions or network path</w:t>
            </w:r>
          </w:p>
        </w:tc>
        <w:tc>
          <w:tcPr>
            <w:tcW w:type="dxa" w:w="3096"/>
            <w:tcMar>
              <w:top w:w="70" w:type="dxa"/>
              <w:start w:w="90" w:type="dxa"/>
              <w:bottom w:w="70" w:type="dxa"/>
              <w:end w:w="90" w:type="dxa"/>
            </w:tcMar>
            <w:vAlign w:val="top"/>
          </w:tcPr>
          <w:p>
            <w:r>
              <w:rPr>
                <w:sz w:val="14"/>
              </w:rPr>
              <w:t>Run persona-based acceptance tests</w:t>
            </w:r>
          </w:p>
        </w:tc>
        <w:tc>
          <w:tcPr>
            <w:tcW w:type="dxa" w:w="2232"/>
            <w:tcMar>
              <w:top w:w="70" w:type="dxa"/>
              <w:start w:w="90" w:type="dxa"/>
              <w:bottom w:w="70" w:type="dxa"/>
              <w:end w:w="90" w:type="dxa"/>
            </w:tcMar>
            <w:vAlign w:val="top"/>
          </w:tcPr>
          <w:p>
            <w:r>
              <w:rPr>
                <w:sz w:val="14"/>
              </w:rPr>
              <w:t>Developer deploys within approved boundary</w:t>
            </w:r>
          </w:p>
        </w:tc>
      </w:tr>
      <w:tr>
        <w:trPr>
          <w:cantSplit/>
        </w:trPr>
        <w:tc>
          <w:tcPr>
            <w:tcW w:type="dxa" w:w="1944"/>
            <w:tcMar>
              <w:top w:w="70" w:type="dxa"/>
              <w:start w:w="90" w:type="dxa"/>
              <w:bottom w:w="70" w:type="dxa"/>
              <w:end w:w="90" w:type="dxa"/>
            </w:tcMar>
            <w:vAlign w:val="top"/>
          </w:tcPr>
          <w:p>
            <w:r>
              <w:rPr>
                <w:sz w:val="14"/>
              </w:rPr>
              <w:t>Central log missing</w:t>
            </w:r>
          </w:p>
        </w:tc>
        <w:tc>
          <w:tcPr>
            <w:tcW w:type="dxa" w:w="2376"/>
            <w:tcMar>
              <w:top w:w="70" w:type="dxa"/>
              <w:start w:w="90" w:type="dxa"/>
              <w:bottom w:w="70" w:type="dxa"/>
              <w:end w:w="90" w:type="dxa"/>
            </w:tcMar>
            <w:vAlign w:val="top"/>
          </w:tcPr>
          <w:p>
            <w:r>
              <w:rPr>
                <w:sz w:val="14"/>
              </w:rPr>
              <w:t>Audit source or delivery permission incomplete</w:t>
            </w:r>
          </w:p>
        </w:tc>
        <w:tc>
          <w:tcPr>
            <w:tcW w:type="dxa" w:w="3096"/>
            <w:tcMar>
              <w:top w:w="70" w:type="dxa"/>
              <w:start w:w="90" w:type="dxa"/>
              <w:bottom w:w="70" w:type="dxa"/>
              <w:end w:w="90" w:type="dxa"/>
            </w:tcMar>
            <w:vAlign w:val="top"/>
          </w:tcPr>
          <w:p>
            <w:r>
              <w:rPr>
                <w:sz w:val="14"/>
              </w:rPr>
              <w:t>Generate known action and trace collection path</w:t>
            </w:r>
          </w:p>
        </w:tc>
        <w:tc>
          <w:tcPr>
            <w:tcW w:type="dxa" w:w="2232"/>
            <w:tcMar>
              <w:top w:w="70" w:type="dxa"/>
              <w:start w:w="90" w:type="dxa"/>
              <w:bottom w:w="70" w:type="dxa"/>
              <w:end w:w="90" w:type="dxa"/>
            </w:tcMar>
            <w:vAlign w:val="top"/>
          </w:tcPr>
          <w:p>
            <w:r>
              <w:rPr>
                <w:sz w:val="14"/>
              </w:rPr>
              <w:t>Event appears with correct identity/time</w:t>
            </w:r>
          </w:p>
        </w:tc>
      </w:tr>
      <w:tr>
        <w:trPr>
          <w:cantSplit/>
        </w:trPr>
        <w:tc>
          <w:tcPr>
            <w:tcW w:type="dxa" w:w="1944"/>
            <w:tcMar>
              <w:top w:w="70" w:type="dxa"/>
              <w:start w:w="90" w:type="dxa"/>
              <w:bottom w:w="70" w:type="dxa"/>
              <w:end w:w="90" w:type="dxa"/>
            </w:tcMar>
            <w:vAlign w:val="top"/>
          </w:tcPr>
          <w:p>
            <w:r>
              <w:rPr>
                <w:sz w:val="14"/>
              </w:rPr>
              <w:t>Teardown leaves spend</w:t>
            </w:r>
          </w:p>
        </w:tc>
        <w:tc>
          <w:tcPr>
            <w:tcW w:type="dxa" w:w="2376"/>
            <w:tcMar>
              <w:top w:w="70" w:type="dxa"/>
              <w:start w:w="90" w:type="dxa"/>
              <w:bottom w:w="70" w:type="dxa"/>
              <w:end w:w="90" w:type="dxa"/>
            </w:tcMar>
            <w:vAlign w:val="top"/>
          </w:tcPr>
          <w:p>
            <w:r>
              <w:rPr>
                <w:sz w:val="14"/>
              </w:rPr>
              <w:t>Dependencies, backups or retained addresses remain</w:t>
            </w:r>
          </w:p>
        </w:tc>
        <w:tc>
          <w:tcPr>
            <w:tcW w:type="dxa" w:w="3096"/>
            <w:tcMar>
              <w:top w:w="70" w:type="dxa"/>
              <w:start w:w="90" w:type="dxa"/>
              <w:bottom w:w="70" w:type="dxa"/>
              <w:end w:w="90" w:type="dxa"/>
            </w:tcMar>
            <w:vAlign w:val="top"/>
          </w:tcPr>
          <w:p>
            <w:r>
              <w:rPr>
                <w:sz w:val="14"/>
              </w:rPr>
              <w:t>Add inventory reconciliation and closure checklist</w:t>
            </w:r>
          </w:p>
        </w:tc>
        <w:tc>
          <w:tcPr>
            <w:tcW w:type="dxa" w:w="2232"/>
            <w:tcMar>
              <w:top w:w="70" w:type="dxa"/>
              <w:start w:w="90" w:type="dxa"/>
              <w:bottom w:w="70" w:type="dxa"/>
              <w:end w:w="90" w:type="dxa"/>
            </w:tcMar>
            <w:vAlign w:val="top"/>
          </w:tcPr>
          <w:p>
            <w:r>
              <w:rPr>
                <w:sz w:val="14"/>
              </w:rPr>
              <w:t>Billing inventory reaches zero expected resources</w:t>
            </w:r>
          </w:p>
        </w:tc>
      </w:tr>
      <w:tr>
        <w:trPr>
          <w:cantSplit/>
        </w:trPr>
        <w:tc>
          <w:tcPr>
            <w:tcW w:type="dxa" w:w="1944"/>
            <w:tcMar>
              <w:top w:w="70" w:type="dxa"/>
              <w:start w:w="90" w:type="dxa"/>
              <w:bottom w:w="70" w:type="dxa"/>
              <w:end w:w="90" w:type="dxa"/>
            </w:tcMar>
            <w:vAlign w:val="top"/>
          </w:tcPr>
          <w:p>
            <w:r>
              <w:rPr>
                <w:sz w:val="14"/>
              </w:rPr>
              <w:t>Provider designs drift apart</w:t>
            </w:r>
          </w:p>
        </w:tc>
        <w:tc>
          <w:tcPr>
            <w:tcW w:type="dxa" w:w="2376"/>
            <w:tcMar>
              <w:top w:w="70" w:type="dxa"/>
              <w:start w:w="90" w:type="dxa"/>
              <w:bottom w:w="70" w:type="dxa"/>
              <w:end w:w="90" w:type="dxa"/>
            </w:tcMar>
            <w:vAlign w:val="top"/>
          </w:tcPr>
          <w:p>
            <w:r>
              <w:rPr>
                <w:sz w:val="14"/>
              </w:rPr>
              <w:t>No common control contract</w:t>
            </w:r>
          </w:p>
        </w:tc>
        <w:tc>
          <w:tcPr>
            <w:tcW w:type="dxa" w:w="3096"/>
            <w:tcMar>
              <w:top w:w="70" w:type="dxa"/>
              <w:start w:w="90" w:type="dxa"/>
              <w:bottom w:w="70" w:type="dxa"/>
              <w:end w:w="90" w:type="dxa"/>
            </w:tcMar>
            <w:vAlign w:val="top"/>
          </w:tcPr>
          <w:p>
            <w:r>
              <w:rPr>
                <w:sz w:val="14"/>
              </w:rPr>
              <w:t>Define provider-neutral outcomes and compliance tests</w:t>
            </w:r>
          </w:p>
        </w:tc>
        <w:tc>
          <w:tcPr>
            <w:tcW w:type="dxa" w:w="2232"/>
            <w:tcMar>
              <w:top w:w="70" w:type="dxa"/>
              <w:start w:w="90" w:type="dxa"/>
              <w:bottom w:w="70" w:type="dxa"/>
              <w:end w:w="90" w:type="dxa"/>
            </w:tcMar>
            <w:vAlign w:val="top"/>
          </w:tcPr>
          <w:p>
            <w:r>
              <w:rPr>
                <w:sz w:val="14"/>
              </w:rPr>
              <w:t>All implementations pass same outcome tests</w:t>
            </w:r>
          </w:p>
        </w:tc>
      </w:tr>
    </w:tbl>
    <w:p>
      <w:pPr>
        <w:pStyle w:val="Heading2"/>
        <w:keepNext/>
      </w:pPr>
      <w:r>
        <w:t>Hands-on Lab 10: Build the Volume 12A Multi-Cloud Foundation</w:t>
      </w:r>
    </w:p>
    <w:p>
      <w:pPr>
        <w:pStyle w:val="Heading3"/>
        <w:keepNext/>
      </w:pPr>
      <w:r>
        <w:t>Prerequisites</w:t>
      </w:r>
    </w:p>
    <w:p>
      <w:pPr>
        <w:pStyle w:val="ListBullet"/>
      </w:pPr>
      <w:r>
        <w:t>At least 12 GB RAM for local tools or approved free-tier/sandbox accounts.</w:t>
      </w:r>
    </w:p>
    <w:p>
      <w:pPr>
        <w:pStyle w:val="ListBullet"/>
      </w:pPr>
      <w:r>
        <w:t>Strict spend alerts and automatic expiry.</w:t>
      </w:r>
    </w:p>
    <w:p>
      <w:pPr>
        <w:pStyle w:val="ListBullet"/>
      </w:pPr>
      <w:r>
        <w:t>Git repository and synthetic organization data.</w:t>
      </w:r>
    </w:p>
    <w:p>
      <w:pPr>
        <w:pStyle w:val="Heading3"/>
        <w:keepNext/>
      </w:pPr>
      <w:r>
        <w:t>Implementation</w:t>
      </w:r>
    </w:p>
    <w:p>
      <w:pPr>
        <w:ind w:left="360" w:hanging="360"/>
      </w:pPr>
      <w:r>
        <w:rPr>
          <w:b/>
        </w:rPr>
        <w:t xml:space="preserve">1. </w:t>
      </w:r>
      <w:r>
        <w:t>Publish the cloud strategy, provider roles and four workload placement records.</w:t>
      </w:r>
    </w:p>
    <w:p>
      <w:pPr>
        <w:ind w:left="360" w:hanging="360"/>
      </w:pPr>
      <w:r>
        <w:rPr>
          <w:b/>
        </w:rPr>
        <w:t xml:space="preserve">2. </w:t>
      </w:r>
      <w:r>
        <w:t>Create resource hierarchy, responsibility, identity and network designs for AWS, Azure and Google Cloud.</w:t>
      </w:r>
    </w:p>
    <w:p>
      <w:pPr>
        <w:ind w:left="360" w:hanging="360"/>
      </w:pPr>
      <w:r>
        <w:rPr>
          <w:b/>
        </w:rPr>
        <w:t xml:space="preserve">3. </w:t>
      </w:r>
      <w:r>
        <w:t>Implement or simulate landing-zone modules and a request-driven vending workflow.</w:t>
      </w:r>
    </w:p>
    <w:p>
      <w:pPr>
        <w:ind w:left="360" w:hanging="360"/>
      </w:pPr>
      <w:r>
        <w:rPr>
          <w:b/>
        </w:rPr>
        <w:t xml:space="preserve">4. </w:t>
      </w:r>
      <w:r>
        <w:t>Add central audit evidence, policy tests, required metadata and budgets.</w:t>
      </w:r>
    </w:p>
    <w:p>
      <w:pPr>
        <w:ind w:left="360" w:hanging="360"/>
      </w:pPr>
      <w:r>
        <w:rPr>
          <w:b/>
        </w:rPr>
        <w:t xml:space="preserve">5. </w:t>
      </w:r>
      <w:r>
        <w:t>Run CI plan/apply verification with short-lived identity.</w:t>
      </w:r>
    </w:p>
    <w:p>
      <w:pPr>
        <w:ind w:left="360" w:hanging="360"/>
      </w:pPr>
      <w:r>
        <w:rPr>
          <w:b/>
        </w:rPr>
        <w:t xml:space="preserve">6. </w:t>
      </w:r>
      <w:r>
        <w:t>Exercise IdP outage, policy denial, network failure, logging failure and IaC drift.</w:t>
      </w:r>
    </w:p>
    <w:p>
      <w:pPr>
        <w:ind w:left="360" w:hanging="360"/>
      </w:pPr>
      <w:r>
        <w:rPr>
          <w:b/>
        </w:rPr>
        <w:t xml:space="preserve">7. </w:t>
      </w:r>
      <w:r>
        <w:t>Decommission the environment and reconcile identity, inventory, state and spend.</w:t>
      </w:r>
    </w:p>
    <w:p>
      <w:pPr>
        <w:ind w:left="360" w:hanging="360"/>
      </w:pPr>
      <w:r>
        <w:rPr>
          <w:b/>
        </w:rPr>
        <w:t xml:space="preserve">8. </w:t>
      </w:r>
      <w:r>
        <w:t>Publish architecture, ADRs, evidence, limitations and the Volume 12B backlog.</w:t>
      </w:r>
    </w:p>
    <w:p>
      <w:pPr>
        <w:pStyle w:val="Heading3"/>
        <w:keepNext/>
      </w:pPr>
      <w:r>
        <w:t>Validation Evidence</w:t>
      </w:r>
    </w:p>
    <w:p>
      <w:pPr>
        <w:pStyle w:val="ListBullet"/>
      </w:pPr>
      <w:r>
        <w:t>Fresh environment can be reproduced from version-controlled inputs.</w:t>
      </w:r>
    </w:p>
    <w:p>
      <w:pPr>
        <w:pStyle w:val="ListBullet"/>
      </w:pPr>
      <w:r>
        <w:t>Known audit, network, identity, policy and budget tests pass.</w:t>
      </w:r>
    </w:p>
    <w:p>
      <w:pPr>
        <w:pStyle w:val="ListBullet"/>
      </w:pPr>
      <w:r>
        <w:t>Failure exercises include timeline, recovery and lessons.</w:t>
      </w:r>
    </w:p>
    <w:p>
      <w:pPr>
        <w:pStyle w:val="ListBullet"/>
      </w:pPr>
      <w:r>
        <w:t>Final inventory proves complete teardown or documented retained artifacts.</w:t>
      </w:r>
    </w:p>
    <w:p>
      <w:pPr>
        <w:pStyle w:val="Heading3"/>
        <w:keepNext/>
      </w:pPr>
      <w:r>
        <w:t>Cleanup</w:t>
      </w:r>
    </w:p>
    <w:p>
      <w:pPr>
        <w:pStyle w:val="ListBullet"/>
      </w:pPr>
      <w:r>
        <w:t>Destroy all cloud resources and check billing consoles after eventual-consistency delay.</w:t>
      </w:r>
    </w:p>
    <w:p>
      <w:pPr>
        <w:pStyle w:val="ListBullet"/>
      </w:pPr>
      <w:r>
        <w:t>Revoke roles, OIDC trusts, tokens, test domains and local credentials.</w:t>
      </w:r>
    </w:p>
    <w:p>
      <w:pPr>
        <w:pStyle w:val="ListBullet"/>
      </w:pPr>
      <w:r>
        <w:t>Delete state only after retaining sanitized evidence and confirming no resources remain.</w:t>
      </w:r>
    </w:p>
    <w:p>
      <w:pPr>
        <w:pStyle w:val="Heading2"/>
        <w:keepNext/>
      </w:pPr>
      <w:r>
        <w:t>Interview Questions and Model Answers</w:t>
      </w:r>
    </w:p>
    <w:p>
      <w:r>
        <w:rPr>
          <w:b/>
        </w:rPr>
        <w:t>1. What proves a landing zone works?</w:t>
      </w:r>
    </w:p>
    <w:p>
      <w:pPr>
        <w:ind w:left="259"/>
      </w:pPr>
      <w:r>
        <w:t>A workload team can onboard through the supported path and the resulting environment passes identity, network, logging, policy, cost and lifecycle tests.</w:t>
      </w:r>
    </w:p>
    <w:p>
      <w:r>
        <w:rPr>
          <w:b/>
        </w:rPr>
        <w:t>2. What should be centralized?</w:t>
      </w:r>
    </w:p>
    <w:p>
      <w:pPr>
        <w:ind w:left="259"/>
      </w:pPr>
      <w:r>
        <w:t>Organization-wide governance, identity integration, audit evidence, security operations, shared connectivity and platform standards—while workload ownership remains delegated.</w:t>
      </w:r>
    </w:p>
    <w:p>
      <w:r>
        <w:rPr>
          <w:b/>
        </w:rPr>
        <w:t>3. How do you validate multi-cloud equivalence?</w:t>
      </w:r>
    </w:p>
    <w:p>
      <w:pPr>
        <w:ind w:left="259"/>
      </w:pPr>
      <w:r>
        <w:t>Define common control outcomes and run provider-specific implementation tests rather than expecting identical services.</w:t>
      </w:r>
    </w:p>
    <w:p>
      <w:r>
        <w:rPr>
          <w:b/>
        </w:rPr>
        <w:t>4. What comes next after the foundation?</w:t>
      </w:r>
    </w:p>
    <w:p>
      <w:pPr>
        <w:ind w:left="259"/>
      </w:pPr>
      <w:r>
        <w:t>Deep provider engineering: AWS in Part B, Azure in Part C, Google Cloud in Part D, then cross-cloud operations in Part E and graduation projects in Part F.</w:t>
      </w:r>
    </w:p>
    <w:p>
      <w:pPr>
        <w:pStyle w:val="Heading2"/>
        <w:keepNext/>
      </w:pPr>
      <w:r>
        <w:t>Chapter Summary</w:t>
      </w:r>
    </w:p>
    <w:p>
      <w:pPr>
        <w:pStyle w:val="ListBullet"/>
      </w:pPr>
      <w:r>
        <w:t>The capstone integrates every Volume 12A control domain.</w:t>
      </w:r>
    </w:p>
    <w:p>
      <w:pPr>
        <w:pStyle w:val="ListBullet"/>
      </w:pPr>
      <w:r>
        <w:t>Vending and teardown are equal parts of lifecycle engineering.</w:t>
      </w:r>
    </w:p>
    <w:p>
      <w:pPr>
        <w:pStyle w:val="ListBullet"/>
      </w:pPr>
      <w:r>
        <w:t>Provider-neutral outcomes require provider-specific implementations.</w:t>
      </w:r>
    </w:p>
    <w:p>
      <w:pPr>
        <w:pStyle w:val="ListBullet"/>
      </w:pPr>
      <w:r>
        <w:t>Evidence and repeatability define completion.</w:t>
      </w:r>
    </w:p>
    <w:p>
      <w:r>
        <w:br w:type="page"/>
      </w:r>
    </w:p>
    <w:p>
      <w:pPr>
        <w:pStyle w:val="Heading1"/>
        <w:keepNext w:val="0"/>
      </w:pPr>
      <w:r>
        <w:t>Part A Architecture and Control Reference</w:t>
      </w:r>
    </w:p>
    <w:tbl>
      <w:tblPr>
        <w:tblW w:type="auto" w:w="0"/>
        <w:jc w:val="center"/>
        <w:tblLook w:firstColumn="1" w:firstRow="1" w:lastColumn="0" w:lastRow="0" w:noHBand="0" w:noVBand="1" w:val="04A0"/>
      </w:tblPr>
      <w:tblGrid>
        <w:gridCol w:w="10166"/>
      </w:tblGrid>
      <w:tr>
        <w:trPr>
          <w:cantSplit/>
        </w:trPr>
        <w:tc>
          <w:tcPr>
            <w:tcW w:type="dxa" w:w="10166"/>
            <w:shd w:fill="E8F2F5"/>
            <w:tcMar>
              <w:top w:w="110" w:type="dxa"/>
              <w:start w:w="140" w:type="dxa"/>
              <w:bottom w:w="110" w:type="dxa"/>
              <w:end w:w="140" w:type="dxa"/>
            </w:tcMar>
          </w:tcPr>
          <w:p>
            <w:pPr>
              <w:spacing w:after="0"/>
            </w:pPr>
            <w:r>
              <w:rPr>
                <w:b/>
                <w:color w:val="176B87"/>
              </w:rPr>
              <w:t>Treat each row as an outcome to prove through architecture, configuration, tests and evidence - not as a product shopping list.</w:t>
            </w:r>
          </w:p>
        </w:tc>
      </w:tr>
    </w:tbl>
    <w:p>
      <w:pPr>
        <w:spacing w:after="0"/>
      </w:pP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1512"/>
            <w:shd w:fill="176B87"/>
            <w:tcMar>
              <w:top w:w="70" w:type="dxa"/>
              <w:start w:w="90" w:type="dxa"/>
              <w:bottom w:w="70" w:type="dxa"/>
              <w:end w:w="90" w:type="dxa"/>
            </w:tcMar>
            <w:vAlign w:val="center"/>
          </w:tcPr>
          <w:p>
            <w:r>
              <w:rPr>
                <w:b/>
                <w:color w:val="FFFFFF"/>
                <w:sz w:val="14"/>
              </w:rPr>
              <w:t>Domain</w:t>
            </w:r>
          </w:p>
        </w:tc>
        <w:tc>
          <w:tcPr>
            <w:tcW w:type="dxa" w:w="4176"/>
            <w:shd w:fill="176B87"/>
            <w:tcMar>
              <w:top w:w="70" w:type="dxa"/>
              <w:start w:w="90" w:type="dxa"/>
              <w:bottom w:w="70" w:type="dxa"/>
              <w:end w:w="90" w:type="dxa"/>
            </w:tcMar>
            <w:vAlign w:val="center"/>
          </w:tcPr>
          <w:p>
            <w:r>
              <w:rPr>
                <w:b/>
                <w:color w:val="FFFFFF"/>
                <w:sz w:val="14"/>
              </w:rPr>
              <w:t>Required artifact</w:t>
            </w:r>
          </w:p>
        </w:tc>
        <w:tc>
          <w:tcPr>
            <w:tcW w:type="dxa" w:w="4392"/>
            <w:shd w:fill="176B87"/>
            <w:tcMar>
              <w:top w:w="70" w:type="dxa"/>
              <w:start w:w="90" w:type="dxa"/>
              <w:bottom w:w="70" w:type="dxa"/>
              <w:end w:w="90" w:type="dxa"/>
            </w:tcMar>
            <w:vAlign w:val="center"/>
          </w:tcPr>
          <w:p>
            <w:r>
              <w:rPr>
                <w:b/>
                <w:color w:val="FFFFFF"/>
                <w:sz w:val="14"/>
              </w:rPr>
              <w:t>Primary validation</w:t>
            </w:r>
          </w:p>
        </w:tc>
      </w:tr>
      <w:tr>
        <w:trPr>
          <w:cantSplit/>
        </w:trPr>
        <w:tc>
          <w:tcPr>
            <w:tcW w:type="dxa" w:w="1512"/>
            <w:tcMar>
              <w:top w:w="70" w:type="dxa"/>
              <w:start w:w="90" w:type="dxa"/>
              <w:bottom w:w="70" w:type="dxa"/>
              <w:end w:w="90" w:type="dxa"/>
            </w:tcMar>
            <w:vAlign w:val="top"/>
          </w:tcPr>
          <w:p>
            <w:r>
              <w:rPr>
                <w:sz w:val="14"/>
              </w:rPr>
              <w:t>Strategy</w:t>
            </w:r>
          </w:p>
        </w:tc>
        <w:tc>
          <w:tcPr>
            <w:tcW w:type="dxa" w:w="4176"/>
            <w:tcMar>
              <w:top w:w="70" w:type="dxa"/>
              <w:start w:w="90" w:type="dxa"/>
              <w:bottom w:w="70" w:type="dxa"/>
              <w:end w:w="90" w:type="dxa"/>
            </w:tcMar>
            <w:vAlign w:val="top"/>
          </w:tcPr>
          <w:p>
            <w:r>
              <w:rPr>
                <w:sz w:val="14"/>
              </w:rPr>
              <w:t>Cloud charter and workload placement records</w:t>
            </w:r>
          </w:p>
        </w:tc>
        <w:tc>
          <w:tcPr>
            <w:tcW w:type="dxa" w:w="4392"/>
            <w:tcMar>
              <w:top w:w="70" w:type="dxa"/>
              <w:start w:w="90" w:type="dxa"/>
              <w:bottom w:w="70" w:type="dxa"/>
              <w:end w:w="90" w:type="dxa"/>
            </w:tcMar>
            <w:vAlign w:val="top"/>
          </w:tcPr>
          <w:p>
            <w:r>
              <w:rPr>
                <w:sz w:val="14"/>
              </w:rPr>
              <w:t>Architecture board approval and scenario review</w:t>
            </w:r>
          </w:p>
        </w:tc>
      </w:tr>
      <w:tr>
        <w:trPr>
          <w:cantSplit/>
        </w:trPr>
        <w:tc>
          <w:tcPr>
            <w:tcW w:type="dxa" w:w="1512"/>
            <w:tcMar>
              <w:top w:w="70" w:type="dxa"/>
              <w:start w:w="90" w:type="dxa"/>
              <w:bottom w:w="70" w:type="dxa"/>
              <w:end w:w="90" w:type="dxa"/>
            </w:tcMar>
            <w:vAlign w:val="top"/>
          </w:tcPr>
          <w:p>
            <w:r>
              <w:rPr>
                <w:sz w:val="14"/>
              </w:rPr>
              <w:t>Responsibility</w:t>
            </w:r>
          </w:p>
        </w:tc>
        <w:tc>
          <w:tcPr>
            <w:tcW w:type="dxa" w:w="4176"/>
            <w:tcMar>
              <w:top w:w="70" w:type="dxa"/>
              <w:start w:w="90" w:type="dxa"/>
              <w:bottom w:w="70" w:type="dxa"/>
              <w:end w:w="90" w:type="dxa"/>
            </w:tcMar>
            <w:vAlign w:val="top"/>
          </w:tcPr>
          <w:p>
            <w:r>
              <w:rPr>
                <w:sz w:val="14"/>
              </w:rPr>
              <w:t>Service responsibility matrices</w:t>
            </w:r>
          </w:p>
        </w:tc>
        <w:tc>
          <w:tcPr>
            <w:tcW w:type="dxa" w:w="4392"/>
            <w:tcMar>
              <w:top w:w="70" w:type="dxa"/>
              <w:start w:w="90" w:type="dxa"/>
              <w:bottom w:w="70" w:type="dxa"/>
              <w:end w:w="90" w:type="dxa"/>
            </w:tcMar>
            <w:vAlign w:val="top"/>
          </w:tcPr>
          <w:p>
            <w:r>
              <w:rPr>
                <w:sz w:val="14"/>
              </w:rPr>
              <w:t>Control owner and evidence verification</w:t>
            </w:r>
          </w:p>
        </w:tc>
      </w:tr>
      <w:tr>
        <w:trPr>
          <w:cantSplit/>
        </w:trPr>
        <w:tc>
          <w:tcPr>
            <w:tcW w:type="dxa" w:w="1512"/>
            <w:tcMar>
              <w:top w:w="70" w:type="dxa"/>
              <w:start w:w="90" w:type="dxa"/>
              <w:bottom w:w="70" w:type="dxa"/>
              <w:end w:w="90" w:type="dxa"/>
            </w:tcMar>
            <w:vAlign w:val="top"/>
          </w:tcPr>
          <w:p>
            <w:r>
              <w:rPr>
                <w:sz w:val="14"/>
              </w:rPr>
              <w:t>Architecture quality</w:t>
            </w:r>
          </w:p>
        </w:tc>
        <w:tc>
          <w:tcPr>
            <w:tcW w:type="dxa" w:w="4176"/>
            <w:tcMar>
              <w:top w:w="70" w:type="dxa"/>
              <w:start w:w="90" w:type="dxa"/>
              <w:bottom w:w="70" w:type="dxa"/>
              <w:end w:w="90" w:type="dxa"/>
            </w:tcMar>
            <w:vAlign w:val="top"/>
          </w:tcPr>
          <w:p>
            <w:r>
              <w:rPr>
                <w:sz w:val="14"/>
              </w:rPr>
              <w:t>Well-architected review and ADRs</w:t>
            </w:r>
          </w:p>
        </w:tc>
        <w:tc>
          <w:tcPr>
            <w:tcW w:type="dxa" w:w="4392"/>
            <w:tcMar>
              <w:top w:w="70" w:type="dxa"/>
              <w:start w:w="90" w:type="dxa"/>
              <w:bottom w:w="70" w:type="dxa"/>
              <w:end w:w="90" w:type="dxa"/>
            </w:tcMar>
            <w:vAlign w:val="top"/>
          </w:tcPr>
          <w:p>
            <w:r>
              <w:rPr>
                <w:sz w:val="14"/>
              </w:rPr>
              <w:t>Risk remediation closure</w:t>
            </w:r>
          </w:p>
        </w:tc>
      </w:tr>
      <w:tr>
        <w:trPr>
          <w:cantSplit/>
        </w:trPr>
        <w:tc>
          <w:tcPr>
            <w:tcW w:type="dxa" w:w="1512"/>
            <w:tcMar>
              <w:top w:w="70" w:type="dxa"/>
              <w:start w:w="90" w:type="dxa"/>
              <w:bottom w:w="70" w:type="dxa"/>
              <w:end w:w="90" w:type="dxa"/>
            </w:tcMar>
            <w:vAlign w:val="top"/>
          </w:tcPr>
          <w:p>
            <w:r>
              <w:rPr>
                <w:sz w:val="14"/>
              </w:rPr>
              <w:t>Hierarchy</w:t>
            </w:r>
          </w:p>
        </w:tc>
        <w:tc>
          <w:tcPr>
            <w:tcW w:type="dxa" w:w="4176"/>
            <w:tcMar>
              <w:top w:w="70" w:type="dxa"/>
              <w:start w:w="90" w:type="dxa"/>
              <w:bottom w:w="70" w:type="dxa"/>
              <w:end w:w="90" w:type="dxa"/>
            </w:tcMar>
            <w:vAlign w:val="top"/>
          </w:tcPr>
          <w:p>
            <w:r>
              <w:rPr>
                <w:sz w:val="14"/>
              </w:rPr>
              <w:t>Organization/account/subscription/project design</w:t>
            </w:r>
          </w:p>
        </w:tc>
        <w:tc>
          <w:tcPr>
            <w:tcW w:type="dxa" w:w="4392"/>
            <w:tcMar>
              <w:top w:w="70" w:type="dxa"/>
              <w:start w:w="90" w:type="dxa"/>
              <w:bottom w:w="70" w:type="dxa"/>
              <w:end w:w="90" w:type="dxa"/>
            </w:tcMar>
            <w:vAlign w:val="top"/>
          </w:tcPr>
          <w:p>
            <w:r>
              <w:rPr>
                <w:sz w:val="14"/>
              </w:rPr>
              <w:t>Effective-policy and delegated-admin tests</w:t>
            </w:r>
          </w:p>
        </w:tc>
      </w:tr>
      <w:tr>
        <w:trPr>
          <w:cantSplit/>
        </w:trPr>
        <w:tc>
          <w:tcPr>
            <w:tcW w:type="dxa" w:w="1512"/>
            <w:tcMar>
              <w:top w:w="70" w:type="dxa"/>
              <w:start w:w="90" w:type="dxa"/>
              <w:bottom w:w="70" w:type="dxa"/>
              <w:end w:w="90" w:type="dxa"/>
            </w:tcMar>
            <w:vAlign w:val="top"/>
          </w:tcPr>
          <w:p>
            <w:r>
              <w:rPr>
                <w:sz w:val="14"/>
              </w:rPr>
              <w:t>Identity</w:t>
            </w:r>
          </w:p>
        </w:tc>
        <w:tc>
          <w:tcPr>
            <w:tcW w:type="dxa" w:w="4176"/>
            <w:tcMar>
              <w:top w:w="70" w:type="dxa"/>
              <w:start w:w="90" w:type="dxa"/>
              <w:bottom w:w="70" w:type="dxa"/>
              <w:end w:w="90" w:type="dxa"/>
            </w:tcMar>
            <w:vAlign w:val="top"/>
          </w:tcPr>
          <w:p>
            <w:r>
              <w:rPr>
                <w:sz w:val="14"/>
              </w:rPr>
              <w:t>Federation, workload identity and privilege model</w:t>
            </w:r>
          </w:p>
        </w:tc>
        <w:tc>
          <w:tcPr>
            <w:tcW w:type="dxa" w:w="4392"/>
            <w:tcMar>
              <w:top w:w="70" w:type="dxa"/>
              <w:start w:w="90" w:type="dxa"/>
              <w:bottom w:w="70" w:type="dxa"/>
              <w:end w:w="90" w:type="dxa"/>
            </w:tcMar>
            <w:vAlign w:val="top"/>
          </w:tcPr>
          <w:p>
            <w:r>
              <w:rPr>
                <w:sz w:val="14"/>
              </w:rPr>
              <w:t>Access graph, token and emergency tests</w:t>
            </w:r>
          </w:p>
        </w:tc>
      </w:tr>
      <w:tr>
        <w:trPr>
          <w:cantSplit/>
        </w:trPr>
        <w:tc>
          <w:tcPr>
            <w:tcW w:type="dxa" w:w="1512"/>
            <w:tcMar>
              <w:top w:w="70" w:type="dxa"/>
              <w:start w:w="90" w:type="dxa"/>
              <w:bottom w:w="70" w:type="dxa"/>
              <w:end w:w="90" w:type="dxa"/>
            </w:tcMar>
            <w:vAlign w:val="top"/>
          </w:tcPr>
          <w:p>
            <w:r>
              <w:rPr>
                <w:sz w:val="14"/>
              </w:rPr>
              <w:t>Network</w:t>
            </w:r>
          </w:p>
        </w:tc>
        <w:tc>
          <w:tcPr>
            <w:tcW w:type="dxa" w:w="4176"/>
            <w:tcMar>
              <w:top w:w="70" w:type="dxa"/>
              <w:start w:w="90" w:type="dxa"/>
              <w:bottom w:w="70" w:type="dxa"/>
              <w:end w:w="90" w:type="dxa"/>
            </w:tcMar>
            <w:vAlign w:val="top"/>
          </w:tcPr>
          <w:p>
            <w:r>
              <w:rPr>
                <w:sz w:val="14"/>
              </w:rPr>
              <w:t>IPAM, topology, DNS and flow matrix</w:t>
            </w:r>
          </w:p>
        </w:tc>
        <w:tc>
          <w:tcPr>
            <w:tcW w:type="dxa" w:w="4392"/>
            <w:tcMar>
              <w:top w:w="70" w:type="dxa"/>
              <w:start w:w="90" w:type="dxa"/>
              <w:bottom w:w="70" w:type="dxa"/>
              <w:end w:w="90" w:type="dxa"/>
            </w:tcMar>
            <w:vAlign w:val="top"/>
          </w:tcPr>
          <w:p>
            <w:r>
              <w:rPr>
                <w:sz w:val="14"/>
              </w:rPr>
              <w:t>Reachability, return-path, MTU and failover tests</w:t>
            </w:r>
          </w:p>
        </w:tc>
      </w:tr>
      <w:tr>
        <w:trPr>
          <w:cantSplit/>
        </w:trPr>
        <w:tc>
          <w:tcPr>
            <w:tcW w:type="dxa" w:w="1512"/>
            <w:tcMar>
              <w:top w:w="70" w:type="dxa"/>
              <w:start w:w="90" w:type="dxa"/>
              <w:bottom w:w="70" w:type="dxa"/>
              <w:end w:w="90" w:type="dxa"/>
            </w:tcMar>
            <w:vAlign w:val="top"/>
          </w:tcPr>
          <w:p>
            <w:r>
              <w:rPr>
                <w:sz w:val="14"/>
              </w:rPr>
              <w:t>Landing zone</w:t>
            </w:r>
          </w:p>
        </w:tc>
        <w:tc>
          <w:tcPr>
            <w:tcW w:type="dxa" w:w="4176"/>
            <w:tcMar>
              <w:top w:w="70" w:type="dxa"/>
              <w:start w:w="90" w:type="dxa"/>
              <w:bottom w:w="70" w:type="dxa"/>
              <w:end w:w="90" w:type="dxa"/>
            </w:tcMar>
            <w:vAlign w:val="top"/>
          </w:tcPr>
          <w:p>
            <w:r>
              <w:rPr>
                <w:sz w:val="14"/>
              </w:rPr>
              <w:t>Baseline, guardrails and central evidence</w:t>
            </w:r>
          </w:p>
        </w:tc>
        <w:tc>
          <w:tcPr>
            <w:tcW w:type="dxa" w:w="4392"/>
            <w:tcMar>
              <w:top w:w="70" w:type="dxa"/>
              <w:start w:w="90" w:type="dxa"/>
              <w:bottom w:w="70" w:type="dxa"/>
              <w:end w:w="90" w:type="dxa"/>
            </w:tcMar>
            <w:vAlign w:val="top"/>
          </w:tcPr>
          <w:p>
            <w:r>
              <w:rPr>
                <w:sz w:val="14"/>
              </w:rPr>
              <w:t>Allowed/denied controls and known audit event</w:t>
            </w:r>
          </w:p>
        </w:tc>
      </w:tr>
      <w:tr>
        <w:trPr>
          <w:cantSplit/>
        </w:trPr>
        <w:tc>
          <w:tcPr>
            <w:tcW w:type="dxa" w:w="1512"/>
            <w:tcMar>
              <w:top w:w="70" w:type="dxa"/>
              <w:start w:w="90" w:type="dxa"/>
              <w:bottom w:w="70" w:type="dxa"/>
              <w:end w:w="90" w:type="dxa"/>
            </w:tcMar>
            <w:vAlign w:val="top"/>
          </w:tcPr>
          <w:p>
            <w:r>
              <w:rPr>
                <w:sz w:val="14"/>
              </w:rPr>
              <w:t>FinOps</w:t>
            </w:r>
          </w:p>
        </w:tc>
        <w:tc>
          <w:tcPr>
            <w:tcW w:type="dxa" w:w="4176"/>
            <w:tcMar>
              <w:top w:w="70" w:type="dxa"/>
              <w:start w:w="90" w:type="dxa"/>
              <w:bottom w:w="70" w:type="dxa"/>
              <w:end w:w="90" w:type="dxa"/>
            </w:tcMar>
            <w:vAlign w:val="top"/>
          </w:tcPr>
          <w:p>
            <w:r>
              <w:rPr>
                <w:sz w:val="14"/>
              </w:rPr>
              <w:t>Metadata, allocation, budget and unit metrics</w:t>
            </w:r>
          </w:p>
        </w:tc>
        <w:tc>
          <w:tcPr>
            <w:tcW w:type="dxa" w:w="4392"/>
            <w:tcMar>
              <w:top w:w="70" w:type="dxa"/>
              <w:start w:w="90" w:type="dxa"/>
              <w:bottom w:w="70" w:type="dxa"/>
              <w:end w:w="90" w:type="dxa"/>
            </w:tcMar>
            <w:vAlign w:val="top"/>
          </w:tcPr>
          <w:p>
            <w:r>
              <w:rPr>
                <w:sz w:val="14"/>
              </w:rPr>
              <w:t>Allocation coverage and anomaly response</w:t>
            </w:r>
          </w:p>
        </w:tc>
      </w:tr>
      <w:tr>
        <w:trPr>
          <w:cantSplit/>
        </w:trPr>
        <w:tc>
          <w:tcPr>
            <w:tcW w:type="dxa" w:w="1512"/>
            <w:tcMar>
              <w:top w:w="70" w:type="dxa"/>
              <w:start w:w="90" w:type="dxa"/>
              <w:bottom w:w="70" w:type="dxa"/>
              <w:end w:w="90" w:type="dxa"/>
            </w:tcMar>
            <w:vAlign w:val="top"/>
          </w:tcPr>
          <w:p>
            <w:r>
              <w:rPr>
                <w:sz w:val="14"/>
              </w:rPr>
              <w:t>IaC</w:t>
            </w:r>
          </w:p>
        </w:tc>
        <w:tc>
          <w:tcPr>
            <w:tcW w:type="dxa" w:w="4176"/>
            <w:tcMar>
              <w:top w:w="70" w:type="dxa"/>
              <w:start w:w="90" w:type="dxa"/>
              <w:bottom w:w="70" w:type="dxa"/>
              <w:end w:w="90" w:type="dxa"/>
            </w:tcMar>
            <w:vAlign w:val="top"/>
          </w:tcPr>
          <w:p>
            <w:r>
              <w:rPr>
                <w:sz w:val="14"/>
              </w:rPr>
              <w:t>Modules, state, pipeline and policy tests</w:t>
            </w:r>
          </w:p>
        </w:tc>
        <w:tc>
          <w:tcPr>
            <w:tcW w:type="dxa" w:w="4392"/>
            <w:tcMar>
              <w:top w:w="70" w:type="dxa"/>
              <w:start w:w="90" w:type="dxa"/>
              <w:bottom w:w="70" w:type="dxa"/>
              <w:end w:w="90" w:type="dxa"/>
            </w:tcMar>
            <w:vAlign w:val="top"/>
          </w:tcPr>
          <w:p>
            <w:r>
              <w:rPr>
                <w:sz w:val="14"/>
              </w:rPr>
              <w:t>Reviewed plan, apply, verification and drift test</w:t>
            </w:r>
          </w:p>
        </w:tc>
      </w:tr>
      <w:tr>
        <w:trPr>
          <w:cantSplit/>
        </w:trPr>
        <w:tc>
          <w:tcPr>
            <w:tcW w:type="dxa" w:w="1512"/>
            <w:tcMar>
              <w:top w:w="70" w:type="dxa"/>
              <w:start w:w="90" w:type="dxa"/>
              <w:bottom w:w="70" w:type="dxa"/>
              <w:end w:w="90" w:type="dxa"/>
            </w:tcMar>
            <w:vAlign w:val="top"/>
          </w:tcPr>
          <w:p>
            <w:r>
              <w:rPr>
                <w:sz w:val="14"/>
              </w:rPr>
              <w:t>Lifecycle</w:t>
            </w:r>
          </w:p>
        </w:tc>
        <w:tc>
          <w:tcPr>
            <w:tcW w:type="dxa" w:w="4176"/>
            <w:tcMar>
              <w:top w:w="70" w:type="dxa"/>
              <w:start w:w="90" w:type="dxa"/>
              <w:bottom w:w="70" w:type="dxa"/>
              <w:end w:w="90" w:type="dxa"/>
            </w:tcMar>
            <w:vAlign w:val="top"/>
          </w:tcPr>
          <w:p>
            <w:r>
              <w:rPr>
                <w:sz w:val="14"/>
              </w:rPr>
              <w:t>Vending, upgrade, exception and closure</w:t>
            </w:r>
          </w:p>
        </w:tc>
        <w:tc>
          <w:tcPr>
            <w:tcW w:type="dxa" w:w="4392"/>
            <w:tcMar>
              <w:top w:w="70" w:type="dxa"/>
              <w:start w:w="90" w:type="dxa"/>
              <w:bottom w:w="70" w:type="dxa"/>
              <w:end w:w="90" w:type="dxa"/>
            </w:tcMar>
            <w:vAlign w:val="top"/>
          </w:tcPr>
          <w:p>
            <w:r>
              <w:rPr>
                <w:sz w:val="14"/>
              </w:rPr>
              <w:t>Fresh build and zero-or-approved residual inventory</w:t>
            </w:r>
          </w:p>
        </w:tc>
      </w:tr>
    </w:tbl>
    <w:p>
      <w:pPr>
        <w:pStyle w:val="Heading1"/>
        <w:keepNext w:val="0"/>
      </w:pPr>
      <w:r>
        <w:t>Multi-Cloud Foundation Completion Checklist</w:t>
      </w:r>
    </w:p>
    <w:p>
      <w:pPr>
        <w:ind w:left="259" w:hanging="259"/>
      </w:pPr>
      <w:r>
        <w:t>☐ I can distinguish hybrid, multi-account, multi-cloud and distributed-cloud strategies.</w:t>
      </w:r>
    </w:p>
    <w:p>
      <w:pPr>
        <w:ind w:left="259" w:hanging="259"/>
      </w:pPr>
      <w:r>
        <w:t>☐ I can create workload placement records using business, data, latency, reliability, skills, cost and exit criteria.</w:t>
      </w:r>
    </w:p>
    <w:p>
      <w:pPr>
        <w:ind w:left="259" w:hanging="259"/>
      </w:pPr>
      <w:r>
        <w:t>☐ I can map shared security and reliability responsibilities for IaaS, PaaS, SaaS and managed services.</w:t>
      </w:r>
    </w:p>
    <w:p>
      <w:pPr>
        <w:ind w:left="259" w:hanging="259"/>
      </w:pPr>
      <w:r>
        <w:t>☐ I can perform a well-architected review and write evidence-backed ADRs.</w:t>
      </w:r>
    </w:p>
    <w:p>
      <w:pPr>
        <w:ind w:left="259" w:hanging="259"/>
      </w:pPr>
      <w:r>
        <w:t>☐ I can design equivalent AWS, Azure and Google Cloud resource hierarchies and landing-zone boundaries.</w:t>
      </w:r>
    </w:p>
    <w:p>
      <w:pPr>
        <w:ind w:left="259" w:hanging="259"/>
      </w:pPr>
      <w:r>
        <w:t>☐ I can design workforce federation, workload identity, least privilege and break-glass access.</w:t>
      </w:r>
    </w:p>
    <w:p>
      <w:pPr>
        <w:ind w:left="259" w:hanging="259"/>
      </w:pPr>
      <w:r>
        <w:t>☐ I can create IPAM, routing, DNS, ingress, egress and hybrid connectivity designs.</w:t>
      </w:r>
    </w:p>
    <w:p>
      <w:pPr>
        <w:ind w:left="259" w:hanging="259"/>
      </w:pPr>
      <w:r>
        <w:t>☐ I can define preventive, detective and corrective guardrails with test cases.</w:t>
      </w:r>
    </w:p>
    <w:p>
      <w:pPr>
        <w:ind w:left="259" w:hanging="259"/>
      </w:pPr>
      <w:r>
        <w:t>☐ I can implement metadata, allocation, budget, anomaly and unit-cost practices.</w:t>
      </w:r>
    </w:p>
    <w:p>
      <w:pPr>
        <w:ind w:left="259" w:hanging="259"/>
      </w:pPr>
      <w:r>
        <w:t>☐ I can build a secure Terraform repository with tested modules, state controls and CI policy gates.</w:t>
      </w:r>
    </w:p>
    <w:p>
      <w:pPr>
        <w:ind w:left="259" w:hanging="259"/>
      </w:pPr>
      <w:r>
        <w:t>☐ I can execute the capstone, recover from bounded failures and prove complete teardown.</w:t>
      </w:r>
    </w:p>
    <w:p>
      <w:pPr>
        <w:pStyle w:val="Heading1"/>
        <w:keepNext w:val="0"/>
      </w:pPr>
      <w:r>
        <w:t>Ten Additional Practice Projects</w:t>
      </w:r>
    </w:p>
    <w:p>
      <w:r>
        <w:rPr>
          <w:b/>
        </w:rPr>
        <w:t>1. Provider Role Matrix</w:t>
      </w:r>
    </w:p>
    <w:p>
      <w:pPr>
        <w:ind w:left="259"/>
      </w:pPr>
      <w:r>
        <w:t>Define strategic, tactical and prohibited use cases for AWS, Azure and Google Cloud.</w:t>
      </w:r>
    </w:p>
    <w:p>
      <w:r>
        <w:rPr>
          <w:b/>
        </w:rPr>
        <w:t>2. Placement Decision Engine</w:t>
      </w:r>
    </w:p>
    <w:p>
      <w:pPr>
        <w:ind w:left="259"/>
      </w:pPr>
      <w:r>
        <w:t>Create a weighted decision tool that outputs an ADR starter and review triggers.</w:t>
      </w:r>
    </w:p>
    <w:p>
      <w:r>
        <w:rPr>
          <w:b/>
        </w:rPr>
        <w:t>3. Responsibility Evidence Catalog</w:t>
      </w:r>
    </w:p>
    <w:p>
      <w:pPr>
        <w:ind w:left="259"/>
      </w:pPr>
      <w:r>
        <w:t>Map 20 managed-service responsibilities to controls and proof artifacts.</w:t>
      </w:r>
    </w:p>
    <w:p>
      <w:r>
        <w:rPr>
          <w:b/>
        </w:rPr>
        <w:t>4. Hierarchy Policy Simulator</w:t>
      </w:r>
    </w:p>
    <w:p>
      <w:pPr>
        <w:ind w:left="259"/>
      </w:pPr>
      <w:r>
        <w:t>Model inherited policy and exceptions across three provider hierarchies.</w:t>
      </w:r>
    </w:p>
    <w:p>
      <w:r>
        <w:rPr>
          <w:b/>
        </w:rPr>
        <w:t>5. OIDC CI Federation Lab</w:t>
      </w:r>
    </w:p>
    <w:p>
      <w:pPr>
        <w:ind w:left="259"/>
      </w:pPr>
      <w:r>
        <w:t>Authenticate a CI job to a sandbox without a stored cloud access key.</w:t>
      </w:r>
    </w:p>
    <w:p>
      <w:r>
        <w:rPr>
          <w:b/>
        </w:rPr>
        <w:t>6. Enterprise IPAM Ledger</w:t>
      </w:r>
    </w:p>
    <w:p>
      <w:pPr>
        <w:ind w:left="259"/>
      </w:pPr>
      <w:r>
        <w:t>Allocate cloud, on-premises, Kubernetes and managed-service ranges without overlap.</w:t>
      </w:r>
    </w:p>
    <w:p>
      <w:r>
        <w:rPr>
          <w:b/>
        </w:rPr>
        <w:t>7. Guardrail Test Harness</w:t>
      </w:r>
    </w:p>
    <w:p>
      <w:pPr>
        <w:ind w:left="259"/>
      </w:pPr>
      <w:r>
        <w:t>Test required metadata, approved regions, encryption and prohibited public storage.</w:t>
      </w:r>
    </w:p>
    <w:p>
      <w:r>
        <w:rPr>
          <w:b/>
        </w:rPr>
        <w:t>8. Cost Allocation Normalizer</w:t>
      </w:r>
    </w:p>
    <w:p>
      <w:pPr>
        <w:ind w:left="259"/>
      </w:pPr>
      <w:r>
        <w:t>Transform synthetic billing data from three providers into one allocation schema.</w:t>
      </w:r>
    </w:p>
    <w:p>
      <w:r>
        <w:rPr>
          <w:b/>
        </w:rPr>
        <w:t>9. Terraform Upgrade Pipeline</w:t>
      </w:r>
    </w:p>
    <w:p>
      <w:pPr>
        <w:ind w:left="259"/>
      </w:pPr>
      <w:r>
        <w:t>Test provider and Terraform upgrades with pinned versions and integration plans.</w:t>
      </w:r>
    </w:p>
    <w:p>
      <w:r>
        <w:rPr>
          <w:b/>
        </w:rPr>
        <w:t>10. Landing-Zone Decommission Drill</w:t>
      </w:r>
    </w:p>
    <w:p>
      <w:pPr>
        <w:ind w:left="259"/>
      </w:pPr>
      <w:r>
        <w:t>Close a sandbox and prove removal of access, resources, state references and spend.</w:t>
      </w:r>
    </w:p>
    <w:p>
      <w:pPr>
        <w:pStyle w:val="Heading1"/>
        <w:keepNext w:val="0"/>
      </w:pPr>
      <w:r>
        <w:t>30-Day Foundation Practice Plan</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1080"/>
            <w:shd w:fill="176B87"/>
            <w:tcMar>
              <w:top w:w="70" w:type="dxa"/>
              <w:start w:w="90" w:type="dxa"/>
              <w:bottom w:w="70" w:type="dxa"/>
              <w:end w:w="90" w:type="dxa"/>
            </w:tcMar>
            <w:vAlign w:val="center"/>
          </w:tcPr>
          <w:p>
            <w:r>
              <w:rPr>
                <w:b/>
                <w:color w:val="FFFFFF"/>
                <w:sz w:val="15"/>
              </w:rPr>
              <w:t>Days</w:t>
            </w:r>
          </w:p>
        </w:tc>
        <w:tc>
          <w:tcPr>
            <w:tcW w:type="dxa" w:w="2880"/>
            <w:shd w:fill="176B87"/>
            <w:tcMar>
              <w:top w:w="70" w:type="dxa"/>
              <w:start w:w="90" w:type="dxa"/>
              <w:bottom w:w="70" w:type="dxa"/>
              <w:end w:w="90" w:type="dxa"/>
            </w:tcMar>
            <w:vAlign w:val="center"/>
          </w:tcPr>
          <w:p>
            <w:r>
              <w:rPr>
                <w:b/>
                <w:color w:val="FFFFFF"/>
                <w:sz w:val="15"/>
              </w:rPr>
              <w:t>Focus</w:t>
            </w:r>
          </w:p>
        </w:tc>
        <w:tc>
          <w:tcPr>
            <w:tcW w:type="dxa" w:w="5976"/>
            <w:shd w:fill="176B87"/>
            <w:tcMar>
              <w:top w:w="70" w:type="dxa"/>
              <w:start w:w="90" w:type="dxa"/>
              <w:bottom w:w="70" w:type="dxa"/>
              <w:end w:w="90" w:type="dxa"/>
            </w:tcMar>
            <w:vAlign w:val="center"/>
          </w:tcPr>
          <w:p>
            <w:r>
              <w:rPr>
                <w:b/>
                <w:color w:val="FFFFFF"/>
                <w:sz w:val="15"/>
              </w:rPr>
              <w:t>Required output</w:t>
            </w:r>
          </w:p>
        </w:tc>
      </w:tr>
      <w:tr>
        <w:trPr>
          <w:cantSplit/>
        </w:trPr>
        <w:tc>
          <w:tcPr>
            <w:tcW w:type="dxa" w:w="1080"/>
            <w:tcMar>
              <w:top w:w="70" w:type="dxa"/>
              <w:start w:w="90" w:type="dxa"/>
              <w:bottom w:w="70" w:type="dxa"/>
              <w:end w:w="90" w:type="dxa"/>
            </w:tcMar>
            <w:vAlign w:val="top"/>
          </w:tcPr>
          <w:p>
            <w:r>
              <w:rPr>
                <w:sz w:val="15"/>
              </w:rPr>
              <w:t>1-3</w:t>
            </w:r>
          </w:p>
        </w:tc>
        <w:tc>
          <w:tcPr>
            <w:tcW w:type="dxa" w:w="2880"/>
            <w:tcMar>
              <w:top w:w="70" w:type="dxa"/>
              <w:start w:w="90" w:type="dxa"/>
              <w:bottom w:w="70" w:type="dxa"/>
              <w:end w:w="90" w:type="dxa"/>
            </w:tcMar>
            <w:vAlign w:val="top"/>
          </w:tcPr>
          <w:p>
            <w:r>
              <w:rPr>
                <w:sz w:val="15"/>
              </w:rPr>
              <w:t>Strategy and placement</w:t>
            </w:r>
          </w:p>
        </w:tc>
        <w:tc>
          <w:tcPr>
            <w:tcW w:type="dxa" w:w="5976"/>
            <w:tcMar>
              <w:top w:w="70" w:type="dxa"/>
              <w:start w:w="90" w:type="dxa"/>
              <w:bottom w:w="70" w:type="dxa"/>
              <w:end w:w="90" w:type="dxa"/>
            </w:tcMar>
            <w:vAlign w:val="top"/>
          </w:tcPr>
          <w:p>
            <w:r>
              <w:rPr>
                <w:sz w:val="15"/>
              </w:rPr>
              <w:t>Cloud charter and four placement records</w:t>
            </w:r>
          </w:p>
        </w:tc>
      </w:tr>
      <w:tr>
        <w:trPr>
          <w:cantSplit/>
        </w:trPr>
        <w:tc>
          <w:tcPr>
            <w:tcW w:type="dxa" w:w="1080"/>
            <w:tcMar>
              <w:top w:w="70" w:type="dxa"/>
              <w:start w:w="90" w:type="dxa"/>
              <w:bottom w:w="70" w:type="dxa"/>
              <w:end w:w="90" w:type="dxa"/>
            </w:tcMar>
            <w:vAlign w:val="top"/>
          </w:tcPr>
          <w:p>
            <w:r>
              <w:rPr>
                <w:sz w:val="15"/>
              </w:rPr>
              <w:t>4-6</w:t>
            </w:r>
          </w:p>
        </w:tc>
        <w:tc>
          <w:tcPr>
            <w:tcW w:type="dxa" w:w="2880"/>
            <w:tcMar>
              <w:top w:w="70" w:type="dxa"/>
              <w:start w:w="90" w:type="dxa"/>
              <w:bottom w:w="70" w:type="dxa"/>
              <w:end w:w="90" w:type="dxa"/>
            </w:tcMar>
            <w:vAlign w:val="top"/>
          </w:tcPr>
          <w:p>
            <w:r>
              <w:rPr>
                <w:sz w:val="15"/>
              </w:rPr>
              <w:t>Responsibility and failures</w:t>
            </w:r>
          </w:p>
        </w:tc>
        <w:tc>
          <w:tcPr>
            <w:tcW w:type="dxa" w:w="5976"/>
            <w:tcMar>
              <w:top w:w="70" w:type="dxa"/>
              <w:start w:w="90" w:type="dxa"/>
              <w:bottom w:w="70" w:type="dxa"/>
              <w:end w:w="90" w:type="dxa"/>
            </w:tcMar>
            <w:vAlign w:val="top"/>
          </w:tcPr>
          <w:p>
            <w:r>
              <w:rPr>
                <w:sz w:val="15"/>
              </w:rPr>
              <w:t>Responsibility matrix and boundary diagram</w:t>
            </w:r>
          </w:p>
        </w:tc>
      </w:tr>
      <w:tr>
        <w:trPr>
          <w:cantSplit/>
        </w:trPr>
        <w:tc>
          <w:tcPr>
            <w:tcW w:type="dxa" w:w="1080"/>
            <w:tcMar>
              <w:top w:w="70" w:type="dxa"/>
              <w:start w:w="90" w:type="dxa"/>
              <w:bottom w:w="70" w:type="dxa"/>
              <w:end w:w="90" w:type="dxa"/>
            </w:tcMar>
            <w:vAlign w:val="top"/>
          </w:tcPr>
          <w:p>
            <w:r>
              <w:rPr>
                <w:sz w:val="15"/>
              </w:rPr>
              <w:t>7-9</w:t>
            </w:r>
          </w:p>
        </w:tc>
        <w:tc>
          <w:tcPr>
            <w:tcW w:type="dxa" w:w="2880"/>
            <w:tcMar>
              <w:top w:w="70" w:type="dxa"/>
              <w:start w:w="90" w:type="dxa"/>
              <w:bottom w:w="70" w:type="dxa"/>
              <w:end w:w="90" w:type="dxa"/>
            </w:tcMar>
            <w:vAlign w:val="top"/>
          </w:tcPr>
          <w:p>
            <w:r>
              <w:rPr>
                <w:sz w:val="15"/>
              </w:rPr>
              <w:t>Well-architected reviews</w:t>
            </w:r>
          </w:p>
        </w:tc>
        <w:tc>
          <w:tcPr>
            <w:tcW w:type="dxa" w:w="5976"/>
            <w:tcMar>
              <w:top w:w="70" w:type="dxa"/>
              <w:start w:w="90" w:type="dxa"/>
              <w:bottom w:w="70" w:type="dxa"/>
              <w:end w:w="90" w:type="dxa"/>
            </w:tcMar>
            <w:vAlign w:val="top"/>
          </w:tcPr>
          <w:p>
            <w:r>
              <w:rPr>
                <w:sz w:val="15"/>
              </w:rPr>
              <w:t>Review report, risks and two ADRs</w:t>
            </w:r>
          </w:p>
        </w:tc>
      </w:tr>
      <w:tr>
        <w:trPr>
          <w:cantSplit/>
        </w:trPr>
        <w:tc>
          <w:tcPr>
            <w:tcW w:type="dxa" w:w="1080"/>
            <w:tcMar>
              <w:top w:w="70" w:type="dxa"/>
              <w:start w:w="90" w:type="dxa"/>
              <w:bottom w:w="70" w:type="dxa"/>
              <w:end w:w="90" w:type="dxa"/>
            </w:tcMar>
            <w:vAlign w:val="top"/>
          </w:tcPr>
          <w:p>
            <w:r>
              <w:rPr>
                <w:sz w:val="15"/>
              </w:rPr>
              <w:t>10-12</w:t>
            </w:r>
          </w:p>
        </w:tc>
        <w:tc>
          <w:tcPr>
            <w:tcW w:type="dxa" w:w="2880"/>
            <w:tcMar>
              <w:top w:w="70" w:type="dxa"/>
              <w:start w:w="90" w:type="dxa"/>
              <w:bottom w:w="70" w:type="dxa"/>
              <w:end w:w="90" w:type="dxa"/>
            </w:tcMar>
            <w:vAlign w:val="top"/>
          </w:tcPr>
          <w:p>
            <w:r>
              <w:rPr>
                <w:sz w:val="15"/>
              </w:rPr>
              <w:t>Resource hierarchy</w:t>
            </w:r>
          </w:p>
        </w:tc>
        <w:tc>
          <w:tcPr>
            <w:tcW w:type="dxa" w:w="5976"/>
            <w:tcMar>
              <w:top w:w="70" w:type="dxa"/>
              <w:start w:w="90" w:type="dxa"/>
              <w:bottom w:w="70" w:type="dxa"/>
              <w:end w:w="90" w:type="dxa"/>
            </w:tcMar>
            <w:vAlign w:val="top"/>
          </w:tcPr>
          <w:p>
            <w:r>
              <w:rPr>
                <w:sz w:val="15"/>
              </w:rPr>
              <w:t>Three-provider hierarchy and vending design</w:t>
            </w:r>
          </w:p>
        </w:tc>
      </w:tr>
      <w:tr>
        <w:trPr>
          <w:cantSplit/>
        </w:trPr>
        <w:tc>
          <w:tcPr>
            <w:tcW w:type="dxa" w:w="1080"/>
            <w:tcMar>
              <w:top w:w="70" w:type="dxa"/>
              <w:start w:w="90" w:type="dxa"/>
              <w:bottom w:w="70" w:type="dxa"/>
              <w:end w:w="90" w:type="dxa"/>
            </w:tcMar>
            <w:vAlign w:val="top"/>
          </w:tcPr>
          <w:p>
            <w:r>
              <w:rPr>
                <w:sz w:val="15"/>
              </w:rPr>
              <w:t>13-15</w:t>
            </w:r>
          </w:p>
        </w:tc>
        <w:tc>
          <w:tcPr>
            <w:tcW w:type="dxa" w:w="2880"/>
            <w:tcMar>
              <w:top w:w="70" w:type="dxa"/>
              <w:start w:w="90" w:type="dxa"/>
              <w:bottom w:w="70" w:type="dxa"/>
              <w:end w:w="90" w:type="dxa"/>
            </w:tcMar>
            <w:vAlign w:val="top"/>
          </w:tcPr>
          <w:p>
            <w:r>
              <w:rPr>
                <w:sz w:val="15"/>
              </w:rPr>
              <w:t>Identity</w:t>
            </w:r>
          </w:p>
        </w:tc>
        <w:tc>
          <w:tcPr>
            <w:tcW w:type="dxa" w:w="5976"/>
            <w:tcMar>
              <w:top w:w="70" w:type="dxa"/>
              <w:start w:w="90" w:type="dxa"/>
              <w:bottom w:w="70" w:type="dxa"/>
              <w:end w:w="90" w:type="dxa"/>
            </w:tcMar>
            <w:vAlign w:val="top"/>
          </w:tcPr>
          <w:p>
            <w:r>
              <w:rPr>
                <w:sz w:val="15"/>
              </w:rPr>
              <w:t>Federation, roles, OIDC workload identity and break-glass test</w:t>
            </w:r>
          </w:p>
        </w:tc>
      </w:tr>
      <w:tr>
        <w:trPr>
          <w:cantSplit/>
        </w:trPr>
        <w:tc>
          <w:tcPr>
            <w:tcW w:type="dxa" w:w="1080"/>
            <w:tcMar>
              <w:top w:w="70" w:type="dxa"/>
              <w:start w:w="90" w:type="dxa"/>
              <w:bottom w:w="70" w:type="dxa"/>
              <w:end w:w="90" w:type="dxa"/>
            </w:tcMar>
            <w:vAlign w:val="top"/>
          </w:tcPr>
          <w:p>
            <w:r>
              <w:rPr>
                <w:sz w:val="15"/>
              </w:rPr>
              <w:t>16-18</w:t>
            </w:r>
          </w:p>
        </w:tc>
        <w:tc>
          <w:tcPr>
            <w:tcW w:type="dxa" w:w="2880"/>
            <w:tcMar>
              <w:top w:w="70" w:type="dxa"/>
              <w:start w:w="90" w:type="dxa"/>
              <w:bottom w:w="70" w:type="dxa"/>
              <w:end w:w="90" w:type="dxa"/>
            </w:tcMar>
            <w:vAlign w:val="top"/>
          </w:tcPr>
          <w:p>
            <w:r>
              <w:rPr>
                <w:sz w:val="15"/>
              </w:rPr>
              <w:t>Networking</w:t>
            </w:r>
          </w:p>
        </w:tc>
        <w:tc>
          <w:tcPr>
            <w:tcW w:type="dxa" w:w="5976"/>
            <w:tcMar>
              <w:top w:w="70" w:type="dxa"/>
              <w:start w:w="90" w:type="dxa"/>
              <w:bottom w:w="70" w:type="dxa"/>
              <w:end w:w="90" w:type="dxa"/>
            </w:tcMar>
            <w:vAlign w:val="top"/>
          </w:tcPr>
          <w:p>
            <w:r>
              <w:rPr>
                <w:sz w:val="15"/>
              </w:rPr>
              <w:t>IPAM, transit, DNS and flow validation</w:t>
            </w:r>
          </w:p>
        </w:tc>
      </w:tr>
      <w:tr>
        <w:trPr>
          <w:cantSplit/>
        </w:trPr>
        <w:tc>
          <w:tcPr>
            <w:tcW w:type="dxa" w:w="1080"/>
            <w:tcMar>
              <w:top w:w="70" w:type="dxa"/>
              <w:start w:w="90" w:type="dxa"/>
              <w:bottom w:w="70" w:type="dxa"/>
              <w:end w:w="90" w:type="dxa"/>
            </w:tcMar>
            <w:vAlign w:val="top"/>
          </w:tcPr>
          <w:p>
            <w:r>
              <w:rPr>
                <w:sz w:val="15"/>
              </w:rPr>
              <w:t>19-21</w:t>
            </w:r>
          </w:p>
        </w:tc>
        <w:tc>
          <w:tcPr>
            <w:tcW w:type="dxa" w:w="2880"/>
            <w:tcMar>
              <w:top w:w="70" w:type="dxa"/>
              <w:start w:w="90" w:type="dxa"/>
              <w:bottom w:w="70" w:type="dxa"/>
              <w:end w:w="90" w:type="dxa"/>
            </w:tcMar>
            <w:vAlign w:val="top"/>
          </w:tcPr>
          <w:p>
            <w:r>
              <w:rPr>
                <w:sz w:val="15"/>
              </w:rPr>
              <w:t>Landing zones</w:t>
            </w:r>
          </w:p>
        </w:tc>
        <w:tc>
          <w:tcPr>
            <w:tcW w:type="dxa" w:w="5976"/>
            <w:tcMar>
              <w:top w:w="70" w:type="dxa"/>
              <w:start w:w="90" w:type="dxa"/>
              <w:bottom w:w="70" w:type="dxa"/>
              <w:end w:w="90" w:type="dxa"/>
            </w:tcMar>
            <w:vAlign w:val="top"/>
          </w:tcPr>
          <w:p>
            <w:r>
              <w:rPr>
                <w:sz w:val="15"/>
              </w:rPr>
              <w:t>Baseline, guardrails, central evidence and versioning</w:t>
            </w:r>
          </w:p>
        </w:tc>
      </w:tr>
      <w:tr>
        <w:trPr>
          <w:cantSplit/>
        </w:trPr>
        <w:tc>
          <w:tcPr>
            <w:tcW w:type="dxa" w:w="1080"/>
            <w:tcMar>
              <w:top w:w="70" w:type="dxa"/>
              <w:start w:w="90" w:type="dxa"/>
              <w:bottom w:w="70" w:type="dxa"/>
              <w:end w:w="90" w:type="dxa"/>
            </w:tcMar>
            <w:vAlign w:val="top"/>
          </w:tcPr>
          <w:p>
            <w:r>
              <w:rPr>
                <w:sz w:val="15"/>
              </w:rPr>
              <w:t>22-24</w:t>
            </w:r>
          </w:p>
        </w:tc>
        <w:tc>
          <w:tcPr>
            <w:tcW w:type="dxa" w:w="2880"/>
            <w:tcMar>
              <w:top w:w="70" w:type="dxa"/>
              <w:start w:w="90" w:type="dxa"/>
              <w:bottom w:w="70" w:type="dxa"/>
              <w:end w:w="90" w:type="dxa"/>
            </w:tcMar>
            <w:vAlign w:val="top"/>
          </w:tcPr>
          <w:p>
            <w:r>
              <w:rPr>
                <w:sz w:val="15"/>
              </w:rPr>
              <w:t>FinOps</w:t>
            </w:r>
          </w:p>
        </w:tc>
        <w:tc>
          <w:tcPr>
            <w:tcW w:type="dxa" w:w="5976"/>
            <w:tcMar>
              <w:top w:w="70" w:type="dxa"/>
              <w:start w:w="90" w:type="dxa"/>
              <w:bottom w:w="70" w:type="dxa"/>
              <w:end w:w="90" w:type="dxa"/>
            </w:tcMar>
            <w:vAlign w:val="top"/>
          </w:tcPr>
          <w:p>
            <w:r>
              <w:rPr>
                <w:sz w:val="15"/>
              </w:rPr>
              <w:t>Metadata, allocation, budgets and unit economics</w:t>
            </w:r>
          </w:p>
        </w:tc>
      </w:tr>
      <w:tr>
        <w:trPr>
          <w:cantSplit/>
        </w:trPr>
        <w:tc>
          <w:tcPr>
            <w:tcW w:type="dxa" w:w="1080"/>
            <w:tcMar>
              <w:top w:w="70" w:type="dxa"/>
              <w:start w:w="90" w:type="dxa"/>
              <w:bottom w:w="70" w:type="dxa"/>
              <w:end w:w="90" w:type="dxa"/>
            </w:tcMar>
            <w:vAlign w:val="top"/>
          </w:tcPr>
          <w:p>
            <w:r>
              <w:rPr>
                <w:sz w:val="15"/>
              </w:rPr>
              <w:t>25-27</w:t>
            </w:r>
          </w:p>
        </w:tc>
        <w:tc>
          <w:tcPr>
            <w:tcW w:type="dxa" w:w="2880"/>
            <w:tcMar>
              <w:top w:w="70" w:type="dxa"/>
              <w:start w:w="90" w:type="dxa"/>
              <w:bottom w:w="70" w:type="dxa"/>
              <w:end w:w="90" w:type="dxa"/>
            </w:tcMar>
            <w:vAlign w:val="top"/>
          </w:tcPr>
          <w:p>
            <w:r>
              <w:rPr>
                <w:sz w:val="15"/>
              </w:rPr>
              <w:t>Terraform</w:t>
            </w:r>
          </w:p>
        </w:tc>
        <w:tc>
          <w:tcPr>
            <w:tcW w:type="dxa" w:w="5976"/>
            <w:tcMar>
              <w:top w:w="70" w:type="dxa"/>
              <w:start w:w="90" w:type="dxa"/>
              <w:bottom w:w="70" w:type="dxa"/>
              <w:end w:w="90" w:type="dxa"/>
            </w:tcMar>
            <w:vAlign w:val="top"/>
          </w:tcPr>
          <w:p>
            <w:r>
              <w:rPr>
                <w:sz w:val="15"/>
              </w:rPr>
              <w:t>Modules, state, CI, policy and upgrade tests</w:t>
            </w:r>
          </w:p>
        </w:tc>
      </w:tr>
      <w:tr>
        <w:trPr>
          <w:cantSplit/>
        </w:trPr>
        <w:tc>
          <w:tcPr>
            <w:tcW w:type="dxa" w:w="1080"/>
            <w:tcMar>
              <w:top w:w="70" w:type="dxa"/>
              <w:start w:w="90" w:type="dxa"/>
              <w:bottom w:w="70" w:type="dxa"/>
              <w:end w:w="90" w:type="dxa"/>
            </w:tcMar>
            <w:vAlign w:val="top"/>
          </w:tcPr>
          <w:p>
            <w:r>
              <w:rPr>
                <w:sz w:val="15"/>
              </w:rPr>
              <w:t>28-30</w:t>
            </w:r>
          </w:p>
        </w:tc>
        <w:tc>
          <w:tcPr>
            <w:tcW w:type="dxa" w:w="2880"/>
            <w:tcMar>
              <w:top w:w="70" w:type="dxa"/>
              <w:start w:w="90" w:type="dxa"/>
              <w:bottom w:w="70" w:type="dxa"/>
              <w:end w:w="90" w:type="dxa"/>
            </w:tcMar>
            <w:vAlign w:val="top"/>
          </w:tcPr>
          <w:p>
            <w:r>
              <w:rPr>
                <w:sz w:val="15"/>
              </w:rPr>
              <w:t>Capstone</w:t>
            </w:r>
          </w:p>
        </w:tc>
        <w:tc>
          <w:tcPr>
            <w:tcW w:type="dxa" w:w="5976"/>
            <w:tcMar>
              <w:top w:w="70" w:type="dxa"/>
              <w:start w:w="90" w:type="dxa"/>
              <w:bottom w:w="70" w:type="dxa"/>
              <w:end w:w="90" w:type="dxa"/>
            </w:tcMar>
            <w:vAlign w:val="top"/>
          </w:tcPr>
          <w:p>
            <w:r>
              <w:rPr>
                <w:sz w:val="15"/>
              </w:rPr>
              <w:t>Integrated foundation, failure drills, teardown and report</w:t>
            </w:r>
          </w:p>
        </w:tc>
      </w:tr>
    </w:tbl>
    <w:p>
      <w:pPr>
        <w:pStyle w:val="Heading1"/>
        <w:keepNext w:val="0"/>
      </w:pPr>
      <w:r>
        <w:t>Glossary</w:t>
      </w:r>
    </w:p>
    <w:tbl>
      <w:tblPr>
        <w:tblStyle w:val="LightShading-Accent1"/>
        <w:tblW w:type="auto" w:w="0"/>
        <w:jc w:val="center"/>
        <w:tblLook w:firstColumn="1" w:firstRow="1" w:lastColumn="0" w:lastRow="0" w:noHBand="0" w:noVBand="1" w:val="04A0"/>
      </w:tblPr>
      <w:tblGrid>
        <w:gridCol w:w="5083"/>
        <w:gridCol w:w="5083"/>
      </w:tblGrid>
      <w:tr>
        <w:trPr>
          <w:tblHeader w:val="true"/>
          <w:cantSplit/>
        </w:trPr>
        <w:tc>
          <w:tcPr>
            <w:tcW w:type="dxa" w:w="2088"/>
            <w:shd w:fill="176B87"/>
            <w:tcMar>
              <w:top w:w="70" w:type="dxa"/>
              <w:start w:w="90" w:type="dxa"/>
              <w:bottom w:w="70" w:type="dxa"/>
              <w:end w:w="90" w:type="dxa"/>
            </w:tcMar>
            <w:vAlign w:val="center"/>
          </w:tcPr>
          <w:p>
            <w:r>
              <w:rPr>
                <w:b/>
                <w:color w:val="FFFFFF"/>
                <w:sz w:val="15"/>
              </w:rPr>
              <w:t>Term</w:t>
            </w:r>
          </w:p>
        </w:tc>
        <w:tc>
          <w:tcPr>
            <w:tcW w:type="dxa" w:w="7848"/>
            <w:shd w:fill="176B87"/>
            <w:tcMar>
              <w:top w:w="70" w:type="dxa"/>
              <w:start w:w="90" w:type="dxa"/>
              <w:bottom w:w="70" w:type="dxa"/>
              <w:end w:w="90" w:type="dxa"/>
            </w:tcMar>
            <w:vAlign w:val="center"/>
          </w:tcPr>
          <w:p>
            <w:r>
              <w:rPr>
                <w:b/>
                <w:color w:val="FFFFFF"/>
                <w:sz w:val="15"/>
              </w:rPr>
              <w:t>Definition</w:t>
            </w:r>
          </w:p>
        </w:tc>
      </w:tr>
      <w:tr>
        <w:trPr>
          <w:cantSplit/>
        </w:trPr>
        <w:tc>
          <w:tcPr>
            <w:tcW w:type="dxa" w:w="2088"/>
            <w:tcMar>
              <w:top w:w="70" w:type="dxa"/>
              <w:start w:w="90" w:type="dxa"/>
              <w:bottom w:w="70" w:type="dxa"/>
              <w:end w:w="90" w:type="dxa"/>
            </w:tcMar>
            <w:vAlign w:val="top"/>
          </w:tcPr>
          <w:p>
            <w:r>
              <w:rPr>
                <w:sz w:val="15"/>
              </w:rPr>
              <w:t>Application landing zone</w:t>
            </w:r>
          </w:p>
        </w:tc>
        <w:tc>
          <w:tcPr>
            <w:tcW w:type="dxa" w:w="7848"/>
            <w:tcMar>
              <w:top w:w="70" w:type="dxa"/>
              <w:start w:w="90" w:type="dxa"/>
              <w:bottom w:w="70" w:type="dxa"/>
              <w:end w:w="90" w:type="dxa"/>
            </w:tcMar>
            <w:vAlign w:val="top"/>
          </w:tcPr>
          <w:p>
            <w:r>
              <w:rPr>
                <w:sz w:val="15"/>
              </w:rPr>
              <w:t>A governed resource boundary where a workload team deploys applications.</w:t>
            </w:r>
          </w:p>
        </w:tc>
      </w:tr>
      <w:tr>
        <w:trPr>
          <w:cantSplit/>
        </w:trPr>
        <w:tc>
          <w:tcPr>
            <w:tcW w:type="dxa" w:w="2088"/>
            <w:tcMar>
              <w:top w:w="70" w:type="dxa"/>
              <w:start w:w="90" w:type="dxa"/>
              <w:bottom w:w="70" w:type="dxa"/>
              <w:end w:w="90" w:type="dxa"/>
            </w:tcMar>
            <w:vAlign w:val="top"/>
          </w:tcPr>
          <w:p>
            <w:r>
              <w:rPr>
                <w:sz w:val="15"/>
              </w:rPr>
              <w:t>Architecture decision record</w:t>
            </w:r>
          </w:p>
        </w:tc>
        <w:tc>
          <w:tcPr>
            <w:tcW w:type="dxa" w:w="7848"/>
            <w:tcMar>
              <w:top w:w="70" w:type="dxa"/>
              <w:start w:w="90" w:type="dxa"/>
              <w:bottom w:w="70" w:type="dxa"/>
              <w:end w:w="90" w:type="dxa"/>
            </w:tcMar>
            <w:vAlign w:val="top"/>
          </w:tcPr>
          <w:p>
            <w:r>
              <w:rPr>
                <w:sz w:val="15"/>
              </w:rPr>
              <w:t>A record of context, options, decision, rationale and consequences.</w:t>
            </w:r>
          </w:p>
        </w:tc>
      </w:tr>
      <w:tr>
        <w:trPr>
          <w:cantSplit/>
        </w:trPr>
        <w:tc>
          <w:tcPr>
            <w:tcW w:type="dxa" w:w="2088"/>
            <w:tcMar>
              <w:top w:w="70" w:type="dxa"/>
              <w:start w:w="90" w:type="dxa"/>
              <w:bottom w:w="70" w:type="dxa"/>
              <w:end w:w="90" w:type="dxa"/>
            </w:tcMar>
            <w:vAlign w:val="top"/>
          </w:tcPr>
          <w:p>
            <w:r>
              <w:rPr>
                <w:sz w:val="15"/>
              </w:rPr>
              <w:t>Control plane</w:t>
            </w:r>
          </w:p>
        </w:tc>
        <w:tc>
          <w:tcPr>
            <w:tcW w:type="dxa" w:w="7848"/>
            <w:tcMar>
              <w:top w:w="70" w:type="dxa"/>
              <w:start w:w="90" w:type="dxa"/>
              <w:bottom w:w="70" w:type="dxa"/>
              <w:end w:w="90" w:type="dxa"/>
            </w:tcMar>
            <w:vAlign w:val="top"/>
          </w:tcPr>
          <w:p>
            <w:r>
              <w:rPr>
                <w:sz w:val="15"/>
              </w:rPr>
              <w:t>Management interfaces and services used to configure or administer a platform.</w:t>
            </w:r>
          </w:p>
        </w:tc>
      </w:tr>
      <w:tr>
        <w:trPr>
          <w:cantSplit/>
        </w:trPr>
        <w:tc>
          <w:tcPr>
            <w:tcW w:type="dxa" w:w="2088"/>
            <w:tcMar>
              <w:top w:w="70" w:type="dxa"/>
              <w:start w:w="90" w:type="dxa"/>
              <w:bottom w:w="70" w:type="dxa"/>
              <w:end w:w="90" w:type="dxa"/>
            </w:tcMar>
            <w:vAlign w:val="top"/>
          </w:tcPr>
          <w:p>
            <w:r>
              <w:rPr>
                <w:sz w:val="15"/>
              </w:rPr>
              <w:t>Data plane</w:t>
            </w:r>
          </w:p>
        </w:tc>
        <w:tc>
          <w:tcPr>
            <w:tcW w:type="dxa" w:w="7848"/>
            <w:tcMar>
              <w:top w:w="70" w:type="dxa"/>
              <w:start w:w="90" w:type="dxa"/>
              <w:bottom w:w="70" w:type="dxa"/>
              <w:end w:w="90" w:type="dxa"/>
            </w:tcMar>
            <w:vAlign w:val="top"/>
          </w:tcPr>
          <w:p>
            <w:r>
              <w:rPr>
                <w:sz w:val="15"/>
              </w:rPr>
              <w:t>The path that processes workload or user traffic and data.</w:t>
            </w:r>
          </w:p>
        </w:tc>
      </w:tr>
      <w:tr>
        <w:trPr>
          <w:cantSplit/>
        </w:trPr>
        <w:tc>
          <w:tcPr>
            <w:tcW w:type="dxa" w:w="2088"/>
            <w:tcMar>
              <w:top w:w="70" w:type="dxa"/>
              <w:start w:w="90" w:type="dxa"/>
              <w:bottom w:w="70" w:type="dxa"/>
              <w:end w:w="90" w:type="dxa"/>
            </w:tcMar>
            <w:vAlign w:val="top"/>
          </w:tcPr>
          <w:p>
            <w:r>
              <w:rPr>
                <w:sz w:val="15"/>
              </w:rPr>
              <w:t>FinOps</w:t>
            </w:r>
          </w:p>
        </w:tc>
        <w:tc>
          <w:tcPr>
            <w:tcW w:type="dxa" w:w="7848"/>
            <w:tcMar>
              <w:top w:w="70" w:type="dxa"/>
              <w:start w:w="90" w:type="dxa"/>
              <w:bottom w:w="70" w:type="dxa"/>
              <w:end w:w="90" w:type="dxa"/>
            </w:tcMar>
            <w:vAlign w:val="top"/>
          </w:tcPr>
          <w:p>
            <w:r>
              <w:rPr>
                <w:sz w:val="15"/>
              </w:rPr>
              <w:t>A collaborative operational practice for maximizing technology value and financial accountability.</w:t>
            </w:r>
          </w:p>
        </w:tc>
      </w:tr>
      <w:tr>
        <w:trPr>
          <w:cantSplit/>
        </w:trPr>
        <w:tc>
          <w:tcPr>
            <w:tcW w:type="dxa" w:w="2088"/>
            <w:tcMar>
              <w:top w:w="70" w:type="dxa"/>
              <w:start w:w="90" w:type="dxa"/>
              <w:bottom w:w="70" w:type="dxa"/>
              <w:end w:w="90" w:type="dxa"/>
            </w:tcMar>
            <w:vAlign w:val="top"/>
          </w:tcPr>
          <w:p>
            <w:r>
              <w:rPr>
                <w:sz w:val="15"/>
              </w:rPr>
              <w:t>Guardrail</w:t>
            </w:r>
          </w:p>
        </w:tc>
        <w:tc>
          <w:tcPr>
            <w:tcW w:type="dxa" w:w="7848"/>
            <w:tcMar>
              <w:top w:w="70" w:type="dxa"/>
              <w:start w:w="90" w:type="dxa"/>
              <w:bottom w:w="70" w:type="dxa"/>
              <w:end w:w="90" w:type="dxa"/>
            </w:tcMar>
            <w:vAlign w:val="top"/>
          </w:tcPr>
          <w:p>
            <w:r>
              <w:rPr>
                <w:sz w:val="15"/>
              </w:rPr>
              <w:t>A preventive, detective or corrective control that keeps activity within approved boundaries.</w:t>
            </w:r>
          </w:p>
        </w:tc>
      </w:tr>
      <w:tr>
        <w:trPr>
          <w:cantSplit/>
        </w:trPr>
        <w:tc>
          <w:tcPr>
            <w:tcW w:type="dxa" w:w="2088"/>
            <w:tcMar>
              <w:top w:w="70" w:type="dxa"/>
              <w:start w:w="90" w:type="dxa"/>
              <w:bottom w:w="70" w:type="dxa"/>
              <w:end w:w="90" w:type="dxa"/>
            </w:tcMar>
            <w:vAlign w:val="top"/>
          </w:tcPr>
          <w:p>
            <w:r>
              <w:rPr>
                <w:sz w:val="15"/>
              </w:rPr>
              <w:t>Hybrid cloud</w:t>
            </w:r>
          </w:p>
        </w:tc>
        <w:tc>
          <w:tcPr>
            <w:tcW w:type="dxa" w:w="7848"/>
            <w:tcMar>
              <w:top w:w="70" w:type="dxa"/>
              <w:start w:w="90" w:type="dxa"/>
              <w:bottom w:w="70" w:type="dxa"/>
              <w:end w:w="90" w:type="dxa"/>
            </w:tcMar>
            <w:vAlign w:val="top"/>
          </w:tcPr>
          <w:p>
            <w:r>
              <w:rPr>
                <w:sz w:val="15"/>
              </w:rPr>
              <w:t>An operating model connecting on-premises or private environments with public cloud.</w:t>
            </w:r>
          </w:p>
        </w:tc>
      </w:tr>
      <w:tr>
        <w:trPr>
          <w:cantSplit/>
        </w:trPr>
        <w:tc>
          <w:tcPr>
            <w:tcW w:type="dxa" w:w="2088"/>
            <w:tcMar>
              <w:top w:w="70" w:type="dxa"/>
              <w:start w:w="90" w:type="dxa"/>
              <w:bottom w:w="70" w:type="dxa"/>
              <w:end w:w="90" w:type="dxa"/>
            </w:tcMar>
            <w:vAlign w:val="top"/>
          </w:tcPr>
          <w:p>
            <w:r>
              <w:rPr>
                <w:sz w:val="15"/>
              </w:rPr>
              <w:t>Landing zone</w:t>
            </w:r>
          </w:p>
        </w:tc>
        <w:tc>
          <w:tcPr>
            <w:tcW w:type="dxa" w:w="7848"/>
            <w:tcMar>
              <w:top w:w="70" w:type="dxa"/>
              <w:start w:w="90" w:type="dxa"/>
              <w:bottom w:w="70" w:type="dxa"/>
              <w:end w:w="90" w:type="dxa"/>
            </w:tcMar>
            <w:vAlign w:val="top"/>
          </w:tcPr>
          <w:p>
            <w:r>
              <w:rPr>
                <w:sz w:val="15"/>
              </w:rPr>
              <w:t>A scalable cloud foundation for hierarchy, identity, network, security, logging, cost and workload onboarding.</w:t>
            </w:r>
          </w:p>
        </w:tc>
      </w:tr>
      <w:tr>
        <w:trPr>
          <w:cantSplit/>
        </w:trPr>
        <w:tc>
          <w:tcPr>
            <w:tcW w:type="dxa" w:w="2088"/>
            <w:tcMar>
              <w:top w:w="70" w:type="dxa"/>
              <w:start w:w="90" w:type="dxa"/>
              <w:bottom w:w="70" w:type="dxa"/>
              <w:end w:w="90" w:type="dxa"/>
            </w:tcMar>
            <w:vAlign w:val="top"/>
          </w:tcPr>
          <w:p>
            <w:r>
              <w:rPr>
                <w:sz w:val="15"/>
              </w:rPr>
              <w:t>Multi-cloud</w:t>
            </w:r>
          </w:p>
        </w:tc>
        <w:tc>
          <w:tcPr>
            <w:tcW w:type="dxa" w:w="7848"/>
            <w:tcMar>
              <w:top w:w="70" w:type="dxa"/>
              <w:start w:w="90" w:type="dxa"/>
              <w:bottom w:w="70" w:type="dxa"/>
              <w:end w:w="90" w:type="dxa"/>
            </w:tcMar>
            <w:vAlign w:val="top"/>
          </w:tcPr>
          <w:p>
            <w:r>
              <w:rPr>
                <w:sz w:val="15"/>
              </w:rPr>
              <w:t>Intentional use of services from more than one public cloud provider.</w:t>
            </w:r>
          </w:p>
        </w:tc>
      </w:tr>
      <w:tr>
        <w:trPr>
          <w:cantSplit/>
        </w:trPr>
        <w:tc>
          <w:tcPr>
            <w:tcW w:type="dxa" w:w="2088"/>
            <w:tcMar>
              <w:top w:w="70" w:type="dxa"/>
              <w:start w:w="90" w:type="dxa"/>
              <w:bottom w:w="70" w:type="dxa"/>
              <w:end w:w="90" w:type="dxa"/>
            </w:tcMar>
            <w:vAlign w:val="top"/>
          </w:tcPr>
          <w:p>
            <w:r>
              <w:rPr>
                <w:sz w:val="15"/>
              </w:rPr>
              <w:t>Platform landing zone</w:t>
            </w:r>
          </w:p>
        </w:tc>
        <w:tc>
          <w:tcPr>
            <w:tcW w:type="dxa" w:w="7848"/>
            <w:tcMar>
              <w:top w:w="70" w:type="dxa"/>
              <w:start w:w="90" w:type="dxa"/>
              <w:bottom w:w="70" w:type="dxa"/>
              <w:end w:w="90" w:type="dxa"/>
            </w:tcMar>
            <w:vAlign w:val="top"/>
          </w:tcPr>
          <w:p>
            <w:r>
              <w:rPr>
                <w:sz w:val="15"/>
              </w:rPr>
              <w:t>The centralized governance and shared-capability foundation for application landing zones.</w:t>
            </w:r>
          </w:p>
        </w:tc>
      </w:tr>
      <w:tr>
        <w:trPr>
          <w:cantSplit/>
        </w:trPr>
        <w:tc>
          <w:tcPr>
            <w:tcW w:type="dxa" w:w="2088"/>
            <w:tcMar>
              <w:top w:w="70" w:type="dxa"/>
              <w:start w:w="90" w:type="dxa"/>
              <w:bottom w:w="70" w:type="dxa"/>
              <w:end w:w="90" w:type="dxa"/>
            </w:tcMar>
            <w:vAlign w:val="top"/>
          </w:tcPr>
          <w:p>
            <w:r>
              <w:rPr>
                <w:sz w:val="15"/>
              </w:rPr>
              <w:t>Resource hierarchy</w:t>
            </w:r>
          </w:p>
        </w:tc>
        <w:tc>
          <w:tcPr>
            <w:tcW w:type="dxa" w:w="7848"/>
            <w:tcMar>
              <w:top w:w="70" w:type="dxa"/>
              <w:start w:w="90" w:type="dxa"/>
              <w:bottom w:w="70" w:type="dxa"/>
              <w:end w:w="90" w:type="dxa"/>
            </w:tcMar>
            <w:vAlign w:val="top"/>
          </w:tcPr>
          <w:p>
            <w:r>
              <w:rPr>
                <w:sz w:val="15"/>
              </w:rPr>
              <w:t>The provider structure through which resources, policy, billing and administration are organized.</w:t>
            </w:r>
          </w:p>
        </w:tc>
      </w:tr>
      <w:tr>
        <w:trPr>
          <w:cantSplit/>
        </w:trPr>
        <w:tc>
          <w:tcPr>
            <w:tcW w:type="dxa" w:w="2088"/>
            <w:tcMar>
              <w:top w:w="70" w:type="dxa"/>
              <w:start w:w="90" w:type="dxa"/>
              <w:bottom w:w="70" w:type="dxa"/>
              <w:end w:w="90" w:type="dxa"/>
            </w:tcMar>
            <w:vAlign w:val="top"/>
          </w:tcPr>
          <w:p>
            <w:r>
              <w:rPr>
                <w:sz w:val="15"/>
              </w:rPr>
              <w:t>Shared responsibility</w:t>
            </w:r>
          </w:p>
        </w:tc>
        <w:tc>
          <w:tcPr>
            <w:tcW w:type="dxa" w:w="7848"/>
            <w:tcMar>
              <w:top w:w="70" w:type="dxa"/>
              <w:start w:w="90" w:type="dxa"/>
              <w:bottom w:w="70" w:type="dxa"/>
              <w:end w:w="90" w:type="dxa"/>
            </w:tcMar>
            <w:vAlign w:val="top"/>
          </w:tcPr>
          <w:p>
            <w:r>
              <w:rPr>
                <w:sz w:val="15"/>
              </w:rPr>
              <w:t>Division of security, reliability and operational tasks between provider and customer.</w:t>
            </w:r>
          </w:p>
        </w:tc>
      </w:tr>
      <w:tr>
        <w:trPr>
          <w:cantSplit/>
        </w:trPr>
        <w:tc>
          <w:tcPr>
            <w:tcW w:type="dxa" w:w="2088"/>
            <w:tcMar>
              <w:top w:w="70" w:type="dxa"/>
              <w:start w:w="90" w:type="dxa"/>
              <w:bottom w:w="70" w:type="dxa"/>
              <w:end w:w="90" w:type="dxa"/>
            </w:tcMar>
            <w:vAlign w:val="top"/>
          </w:tcPr>
          <w:p>
            <w:r>
              <w:rPr>
                <w:sz w:val="15"/>
              </w:rPr>
              <w:t>Unit cost</w:t>
            </w:r>
          </w:p>
        </w:tc>
        <w:tc>
          <w:tcPr>
            <w:tcW w:type="dxa" w:w="7848"/>
            <w:tcMar>
              <w:top w:w="70" w:type="dxa"/>
              <w:start w:w="90" w:type="dxa"/>
              <w:bottom w:w="70" w:type="dxa"/>
              <w:end w:w="90" w:type="dxa"/>
            </w:tcMar>
            <w:vAlign w:val="top"/>
          </w:tcPr>
          <w:p>
            <w:r>
              <w:rPr>
                <w:sz w:val="15"/>
              </w:rPr>
              <w:t>Technology cost per useful business or technical output.</w:t>
            </w:r>
          </w:p>
        </w:tc>
      </w:tr>
      <w:tr>
        <w:trPr>
          <w:cantSplit/>
        </w:trPr>
        <w:tc>
          <w:tcPr>
            <w:tcW w:type="dxa" w:w="2088"/>
            <w:tcMar>
              <w:top w:w="70" w:type="dxa"/>
              <w:start w:w="90" w:type="dxa"/>
              <w:bottom w:w="70" w:type="dxa"/>
              <w:end w:w="90" w:type="dxa"/>
            </w:tcMar>
            <w:vAlign w:val="top"/>
          </w:tcPr>
          <w:p>
            <w:r>
              <w:rPr>
                <w:sz w:val="15"/>
              </w:rPr>
              <w:t>Workload identity</w:t>
            </w:r>
          </w:p>
        </w:tc>
        <w:tc>
          <w:tcPr>
            <w:tcW w:type="dxa" w:w="7848"/>
            <w:tcMar>
              <w:top w:w="70" w:type="dxa"/>
              <w:start w:w="90" w:type="dxa"/>
              <w:bottom w:w="70" w:type="dxa"/>
              <w:end w:w="90" w:type="dxa"/>
            </w:tcMar>
            <w:vAlign w:val="top"/>
          </w:tcPr>
          <w:p>
            <w:r>
              <w:rPr>
                <w:sz w:val="15"/>
              </w:rPr>
              <w:t>A short-lived identity issued to software based on trusted runtime context.</w:t>
            </w:r>
          </w:p>
        </w:tc>
      </w:tr>
      <w:tr>
        <w:trPr>
          <w:cantSplit/>
        </w:trPr>
        <w:tc>
          <w:tcPr>
            <w:tcW w:type="dxa" w:w="2088"/>
            <w:tcMar>
              <w:top w:w="70" w:type="dxa"/>
              <w:start w:w="90" w:type="dxa"/>
              <w:bottom w:w="70" w:type="dxa"/>
              <w:end w:w="90" w:type="dxa"/>
            </w:tcMar>
            <w:vAlign w:val="top"/>
          </w:tcPr>
          <w:p>
            <w:r>
              <w:rPr>
                <w:sz w:val="15"/>
              </w:rPr>
              <w:t>Workload placement</w:t>
            </w:r>
          </w:p>
        </w:tc>
        <w:tc>
          <w:tcPr>
            <w:tcW w:type="dxa" w:w="7848"/>
            <w:tcMar>
              <w:top w:w="70" w:type="dxa"/>
              <w:start w:w="90" w:type="dxa"/>
              <w:bottom w:w="70" w:type="dxa"/>
              <w:end w:w="90" w:type="dxa"/>
            </w:tcMar>
            <w:vAlign w:val="top"/>
          </w:tcPr>
          <w:p>
            <w:r>
              <w:rPr>
                <w:sz w:val="15"/>
              </w:rPr>
              <w:t>The governed choice of provider, region and services for a workload.</w:t>
            </w:r>
          </w:p>
        </w:tc>
      </w:tr>
    </w:tbl>
    <w:p>
      <w:pPr>
        <w:pStyle w:val="Heading1"/>
        <w:keepNext w:val="0"/>
      </w:pPr>
      <w:r>
        <w:t>Official Documentation Index</w:t>
      </w:r>
    </w:p>
    <w:p>
      <w:pPr>
        <w:keepNext w:val="0"/>
      </w:pPr>
      <w:r>
        <w:t>The following official sources were checked for the 2026 edition. Product behavior, service limits, architecture recommendations and certification paths can change; verify the latest documentation before production use.</w:t>
      </w:r>
    </w:p>
    <w:p>
      <w:pPr>
        <w:pStyle w:val="ListBullet"/>
      </w:pPr>
      <w:hyperlink r:id="rId59">
        <w:r>
          <w:rPr>
            <w:color w:val="176B87"/>
            <w:u w:val="single"/>
          </w:rPr>
          <w:t>AWS Well-Architected Framework</w:t>
        </w:r>
      </w:hyperlink>
    </w:p>
    <w:p>
      <w:pPr>
        <w:pStyle w:val="ListBullet"/>
      </w:pPr>
      <w:hyperlink r:id="rId60">
        <w:r>
          <w:rPr>
            <w:color w:val="176B87"/>
            <w:u w:val="single"/>
          </w:rPr>
          <w:t>AWS Shared Responsibility Model</w:t>
        </w:r>
      </w:hyperlink>
    </w:p>
    <w:p>
      <w:pPr>
        <w:pStyle w:val="ListBullet"/>
      </w:pPr>
      <w:hyperlink r:id="rId61">
        <w:r>
          <w:rPr>
            <w:color w:val="176B87"/>
            <w:u w:val="single"/>
          </w:rPr>
          <w:t>AWS Control Tower Landing Zone Planning</w:t>
        </w:r>
      </w:hyperlink>
    </w:p>
    <w:p>
      <w:pPr>
        <w:pStyle w:val="ListBullet"/>
      </w:pPr>
      <w:hyperlink r:id="rId62">
        <w:r>
          <w:rPr>
            <w:color w:val="176B87"/>
            <w:u w:val="single"/>
          </w:rPr>
          <w:t>Azure Well-Architected Framework</w:t>
        </w:r>
      </w:hyperlink>
    </w:p>
    <w:p>
      <w:pPr>
        <w:pStyle w:val="ListBullet"/>
      </w:pPr>
      <w:hyperlink r:id="rId63">
        <w:r>
          <w:rPr>
            <w:color w:val="176B87"/>
            <w:u w:val="single"/>
          </w:rPr>
          <w:t>Azure Shared Responsibility</w:t>
        </w:r>
      </w:hyperlink>
    </w:p>
    <w:p>
      <w:pPr>
        <w:pStyle w:val="ListBullet"/>
      </w:pPr>
      <w:hyperlink r:id="rId64">
        <w:r>
          <w:rPr>
            <w:color w:val="176B87"/>
            <w:u w:val="single"/>
          </w:rPr>
          <w:t>Azure Landing Zones</w:t>
        </w:r>
      </w:hyperlink>
    </w:p>
    <w:p>
      <w:pPr>
        <w:pStyle w:val="ListBullet"/>
      </w:pPr>
      <w:hyperlink r:id="rId65">
        <w:r>
          <w:rPr>
            <w:color w:val="176B87"/>
            <w:u w:val="single"/>
          </w:rPr>
          <w:t>Google Cloud Well-Architected Framework</w:t>
        </w:r>
      </w:hyperlink>
    </w:p>
    <w:p>
      <w:pPr>
        <w:pStyle w:val="ListBullet"/>
      </w:pPr>
      <w:hyperlink r:id="rId66">
        <w:r>
          <w:rPr>
            <w:color w:val="176B87"/>
            <w:u w:val="single"/>
          </w:rPr>
          <w:t>Google Cloud Landing Zone Design</w:t>
        </w:r>
      </w:hyperlink>
    </w:p>
    <w:p>
      <w:pPr>
        <w:pStyle w:val="ListBullet"/>
      </w:pPr>
      <w:hyperlink r:id="rId67">
        <w:r>
          <w:rPr>
            <w:color w:val="176B87"/>
            <w:u w:val="single"/>
          </w:rPr>
          <w:t>Google Cloud Shared Responsibility and Shared Fate</w:t>
        </w:r>
      </w:hyperlink>
    </w:p>
    <w:p>
      <w:pPr>
        <w:pStyle w:val="ListBullet"/>
      </w:pPr>
      <w:hyperlink r:id="rId68">
        <w:r>
          <w:rPr>
            <w:color w:val="176B87"/>
            <w:u w:val="single"/>
          </w:rPr>
          <w:t>Terraform Modules Overview</w:t>
        </w:r>
      </w:hyperlink>
    </w:p>
    <w:p>
      <w:pPr>
        <w:pStyle w:val="ListBullet"/>
      </w:pPr>
      <w:hyperlink r:id="rId69">
        <w:r>
          <w:rPr>
            <w:color w:val="176B87"/>
            <w:u w:val="single"/>
          </w:rPr>
          <w:t>Terraform State</w:t>
        </w:r>
      </w:hyperlink>
    </w:p>
    <w:p>
      <w:pPr>
        <w:pStyle w:val="ListBullet"/>
      </w:pPr>
      <w:hyperlink r:id="rId70">
        <w:r>
          <w:rPr>
            <w:color w:val="176B87"/>
            <w:u w:val="single"/>
          </w:rPr>
          <w:t>Terraform Tests</w:t>
        </w:r>
      </w:hyperlink>
    </w:p>
    <w:p>
      <w:pPr>
        <w:pStyle w:val="ListBullet"/>
      </w:pPr>
      <w:hyperlink r:id="rId71">
        <w:r>
          <w:rPr>
            <w:color w:val="176B87"/>
            <w:u w:val="single"/>
          </w:rPr>
          <w:t>FinOps Framework</w:t>
        </w:r>
      </w:hyperlink>
    </w:p>
    <w:tbl>
      <w:tblPr>
        <w:tblW w:type="auto" w:w="0"/>
        <w:jc w:val="center"/>
        <w:tblLook w:firstColumn="1" w:firstRow="1" w:lastColumn="0" w:lastRow="0" w:noHBand="0" w:noVBand="1" w:val="04A0"/>
      </w:tblPr>
      <w:tblGrid>
        <w:gridCol w:w="10166"/>
      </w:tblGrid>
      <w:tr>
        <w:trPr>
          <w:cantSplit/>
        </w:trPr>
        <w:tc>
          <w:tcPr>
            <w:tcW w:type="dxa" w:w="10166"/>
            <w:shd w:fill="E8F2F5"/>
            <w:tcMar>
              <w:top w:w="110" w:type="dxa"/>
              <w:start w:w="140" w:type="dxa"/>
              <w:bottom w:w="110" w:type="dxa"/>
              <w:end w:w="140" w:type="dxa"/>
            </w:tcMar>
          </w:tcPr>
          <w:p>
            <w:pPr>
              <w:spacing w:after="0"/>
            </w:pPr>
            <w:r>
              <w:rPr>
                <w:b/>
                <w:color w:val="17324D"/>
              </w:rPr>
              <w:t>Volume 12A completion: the learner now has the provider-neutral strategy, control, landing-zone and IaC foundation required for Volume 12B - AWS Enterprise Cloud Engineering.</w:t>
            </w:r>
          </w:p>
        </w:tc>
      </w:tr>
    </w:tbl>
    <w:p>
      <w:pPr>
        <w:spacing w:after="0"/>
      </w:pPr>
    </w:p>
    <w:sectPr w:rsidR="00FC693F" w:rsidRPr="0006063C" w:rsidSect="00034616">
      <w:headerReference w:type="default" r:id="rId9"/>
      <w:footerReference w:type="default" r:id="rId10"/>
      <w:footerReference w:type="first" r:id="rId46"/>
      <w:pgSz w:w="12240" w:h="15840"/>
      <w:pgMar w:top="936" w:right="1037" w:bottom="893" w:left="1037" w:header="403" w:footer="40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b/>
        <w:color w:val="176B87"/>
        <w:sz w:val="15"/>
      </w:rPr>
      <w:t xml:space="preserve">VOLUME 12A  |  PAGE </w:t>
    </w:r>
    <w: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ejaVu Sans" w:hAnsi="DejaVu Sans"/>
        <w:b/>
        <w:color w:val="176B87"/>
        <w:sz w:val="16"/>
      </w:rPr>
      <w:t>DEVOPS MASTER COURSE  |  2026 EDITION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b/>
        <w:color w:val="176B87"/>
        <w:sz w:val="15"/>
      </w:rPr>
      <w:t>DEVOPS MASTER COURSE  |  VOLUME 12A - MULTI-CLOUD FOUNDATIONS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4" w:line="254" w:lineRule="auto"/>
    </w:pPr>
    <w:rPr>
      <w:rFonts w:ascii="DejaVu Sans" w:hAnsi="DejaVu Sans" w:eastAsia="DejaVu Sans"/>
      <w:color w:val="1F293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DejaVu Sans" w:hAnsi="DejaVu Sans" w:eastAsia="DejaVu Sans"/>
      <w:b/>
      <w:bCs/>
      <w:color w:val="17324D"/>
      <w:sz w:val="3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DejaVu Sans" w:hAnsi="DejaVu Sans" w:eastAsia="DejaVu Sans"/>
      <w:b/>
      <w:bCs/>
      <w:color w:val="176B87"/>
      <w:sz w:val="27"/>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DejaVu Sans" w:hAnsi="DejaVu Sans" w:eastAsia="DejaVu Sans"/>
      <w:b/>
      <w:bCs/>
      <w:color w:val="14919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DejaVu Sans" w:hAnsi="DejaVu Sans" w:eastAsia="DejaVu Sans"/>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DejaVu Sans" w:hAnsi="DejaVu Sans" w:eastAsia="DejaVu Sans"/>
      <w:b w:val="0"/>
      <w:i/>
      <w:iCs/>
      <w:color w:val="176B87"/>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84" w:line="254" w:lineRule="auto"/>
    </w:pPr>
    <w:rPr>
      <w:rFonts w:ascii="DejaVu Sans" w:hAnsi="DejaVu Sans" w:eastAsia="DejaVu Sans"/>
      <w:color w:val="1F2933"/>
      <w:sz w:val="1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DejaVu Sans" w:hAnsi="DejaVu Sans"/>
      <w:sz w:val="17"/>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DejaVu Sans" w:hAnsi="DejaVu Sans"/>
      <w:sz w:val="17"/>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line="240" w:lineRule="auto"/>
      <w:ind w:left="202" w:right="144"/>
    </w:pPr>
    <w:rPr>
      <w:rFonts w:ascii="DejaVu Sans Mono" w:hAnsi="DejaVu Sans Mono"/>
      <w:color w:val="1F2933"/>
      <w:sz w:val="14"/>
    </w:rPr>
  </w:style>
  <w:style w:type="paragraph" w:customStyle="1" w:styleId="CodeSmall">
    <w:name w:val="Code Small"/>
    <w:rPr>
      <w:rFonts w:ascii="DejaVu Sans Mono" w:hAnsi="DejaVu Sans Mono"/>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opentelemetry.io/docs/concepts/" TargetMode="External"/><Relationship Id="rId12" Type="http://schemas.openxmlformats.org/officeDocument/2006/relationships/hyperlink" Target="https://opentelemetry.io/docs/specs/semconv/" TargetMode="External"/><Relationship Id="rId13" Type="http://schemas.openxmlformats.org/officeDocument/2006/relationships/hyperlink" Target="https://opentelemetry.io/docs/zero-code/" TargetMode="External"/><Relationship Id="rId14" Type="http://schemas.openxmlformats.org/officeDocument/2006/relationships/hyperlink" Target="https://opentelemetry.io/docs/collector/configuration/" TargetMode="External"/><Relationship Id="rId15" Type="http://schemas.openxmlformats.org/officeDocument/2006/relationships/hyperlink" Target="https://opentelemetry.io/docs/collector/deploy/" TargetMode="External"/><Relationship Id="rId16" Type="http://schemas.openxmlformats.org/officeDocument/2006/relationships/hyperlink" Target="https://opentelemetry.io/docs/collector/scaling/" TargetMode="External"/><Relationship Id="rId17" Type="http://schemas.openxmlformats.org/officeDocument/2006/relationships/hyperlink" Target="https://opentelemetry.io/docs/collector/internal-telemetry/" TargetMode="External"/><Relationship Id="rId18" Type="http://schemas.openxmlformats.org/officeDocument/2006/relationships/hyperlink" Target="https://opentelemetry.io/docs/concepts/sampling/" TargetMode="External"/><Relationship Id="rId19" Type="http://schemas.openxmlformats.org/officeDocument/2006/relationships/hyperlink" Target="https://opentelemetry.io/docs/security/" TargetMode="External"/><Relationship Id="rId20" Type="http://schemas.openxmlformats.org/officeDocument/2006/relationships/hyperlink" Target="https://grafana.com/docs/tempo/latest/" TargetMode="External"/><Relationship Id="rId21" Type="http://schemas.openxmlformats.org/officeDocument/2006/relationships/hyperlink" Target="https://grafana.com/docs/tempo/latest/introduction/architecture/" TargetMode="External"/><Relationship Id="rId22" Type="http://schemas.openxmlformats.org/officeDocument/2006/relationships/hyperlink" Target="https://grafana.com/docs/tempo/latest/set-up-for-tracing/setup-tempo/deploy/" TargetMode="External"/><Relationship Id="rId23" Type="http://schemas.openxmlformats.org/officeDocument/2006/relationships/hyperlink" Target="https://grafana.com/docs/tempo/latest/traceql/" TargetMode="External"/><Relationship Id="rId24" Type="http://schemas.openxmlformats.org/officeDocument/2006/relationships/hyperlink" Target="https://grafana.com/docs/tempo/latest/metrics-from-traces/" TargetMode="External"/><Relationship Id="rId25" Type="http://schemas.openxmlformats.org/officeDocument/2006/relationships/hyperlink" Target="https://grafana.com/docs/pyroscope/latest/" TargetMode="External"/><Relationship Id="rId26" Type="http://schemas.openxmlformats.org/officeDocument/2006/relationships/hyperlink" Target="https://grafana.com/docs/pyroscope/latest/introduction/continuous-profiling/" TargetMode="External"/><Relationship Id="rId27" Type="http://schemas.openxmlformats.org/officeDocument/2006/relationships/hyperlink" Target="https://grafana.com/docs/pyroscope/latest/configure-client/grafana-alloy/ebpf/" TargetMode="External"/><Relationship Id="rId28" Type="http://schemas.openxmlformats.org/officeDocument/2006/relationships/hyperlink" Target="https://docs.cilium.io/en/stable/observability/hubble/" TargetMode="External"/><Relationship Id="rId29" Type="http://schemas.openxmlformats.org/officeDocument/2006/relationships/hyperlink" Target="https://docs.cilium.io/en/stable/observability/hubble/setup/" TargetMode="External"/><Relationship Id="rId30" Type="http://schemas.openxmlformats.org/officeDocument/2006/relationships/hyperlink" Target="https://ebpf.io/" TargetMode="External"/><Relationship Id="rId31" Type="http://schemas.openxmlformats.org/officeDocument/2006/relationships/hyperlink" Target="https://sre.google/sre-book/introduction/" TargetMode="External"/><Relationship Id="rId32" Type="http://schemas.openxmlformats.org/officeDocument/2006/relationships/hyperlink" Target="https://sre.google/sre-book/embracing-risk/" TargetMode="External"/><Relationship Id="rId33" Type="http://schemas.openxmlformats.org/officeDocument/2006/relationships/hyperlink" Target="https://sre.google/workbook/on-call/" TargetMode="External"/><Relationship Id="rId34" Type="http://schemas.openxmlformats.org/officeDocument/2006/relationships/hyperlink" Target="https://sre.google/workbook/incident-response/" TargetMode="External"/><Relationship Id="rId35" Type="http://schemas.openxmlformats.org/officeDocument/2006/relationships/hyperlink" Target="https://sre.google/workbook/postmortem-culture/" TargetMode="External"/><Relationship Id="rId36" Type="http://schemas.openxmlformats.org/officeDocument/2006/relationships/hyperlink" Target="https://sre.google/sre-book/eliminating-toil/" TargetMode="External"/><Relationship Id="rId37" Type="http://schemas.openxmlformats.org/officeDocument/2006/relationships/hyperlink" Target="https://sre.google/workbook/canarying-releases/" TargetMode="External"/><Relationship Id="rId38" Type="http://schemas.openxmlformats.org/officeDocument/2006/relationships/hyperlink" Target="https://sre.google/sre-book/addressing-cascading-failures/" TargetMode="External"/><Relationship Id="rId39" Type="http://schemas.openxmlformats.org/officeDocument/2006/relationships/hyperlink" Target="https://kubernetes.io/docs/concepts/workloads/pods/probes/" TargetMode="External"/><Relationship Id="rId40" Type="http://schemas.openxmlformats.org/officeDocument/2006/relationships/hyperlink" Target="https://kubernetes.io/docs/concepts/workloads/autoscaling/horizontal-pod-autoscale/" TargetMode="External"/><Relationship Id="rId41" Type="http://schemas.openxmlformats.org/officeDocument/2006/relationships/hyperlink" Target="https://kubernetes.io/docs/concepts/workloads/autoscaling/vertical-pod-autoscale/" TargetMode="External"/><Relationship Id="rId42" Type="http://schemas.openxmlformats.org/officeDocument/2006/relationships/hyperlink" Target="https://kubernetes.io/docs/concepts/workloads/pods/disruptions/" TargetMode="External"/><Relationship Id="rId43" Type="http://schemas.openxmlformats.org/officeDocument/2006/relationships/hyperlink" Target="https://kubernetes.io/docs/tasks/run-application/configure-pdb/" TargetMode="External"/><Relationship Id="rId44" Type="http://schemas.openxmlformats.org/officeDocument/2006/relationships/hyperlink" Target="https://csrc.nist.gov/pubs/sp/800/160/v2/r1/final" TargetMode="External"/><Relationship Id="rId45" Type="http://schemas.openxmlformats.org/officeDocument/2006/relationships/hyperlink" Target="https://opentelemetry.io/docs/concepts/observability-primer/" TargetMode="External"/><Relationship Id="rId46" Type="http://schemas.openxmlformats.org/officeDocument/2006/relationships/footer" Target="footer2.xml"/><Relationship Id="rId47" Type="http://schemas.openxmlformats.org/officeDocument/2006/relationships/hyperlink" Target="https://sre.google/books/" TargetMode="External"/><Relationship Id="rId48" Type="http://schemas.openxmlformats.org/officeDocument/2006/relationships/hyperlink" Target="https://sre.google/sre-book/effective-troubleshooting/" TargetMode="External"/><Relationship Id="rId49" Type="http://schemas.openxmlformats.org/officeDocument/2006/relationships/hyperlink" Target="https://sre.google/resources/practices-and-processes/incident-management-guide/" TargetMode="External"/><Relationship Id="rId50" Type="http://schemas.openxmlformats.org/officeDocument/2006/relationships/hyperlink" Target="https://prometheus.io/docs/" TargetMode="External"/><Relationship Id="rId51" Type="http://schemas.openxmlformats.org/officeDocument/2006/relationships/hyperlink" Target="https://prometheus.io/docs/specs/prw/remote_write_spec/" TargetMode="External"/><Relationship Id="rId52" Type="http://schemas.openxmlformats.org/officeDocument/2006/relationships/hyperlink" Target="https://grafana.com/docs/" TargetMode="External"/><Relationship Id="rId53" Type="http://schemas.openxmlformats.org/officeDocument/2006/relationships/hyperlink" Target="https://grafana.com/docs/mimir/latest/" TargetMode="External"/><Relationship Id="rId54" Type="http://schemas.openxmlformats.org/officeDocument/2006/relationships/hyperlink" Target="https://opentelemetry.io/docs/collector/" TargetMode="External"/><Relationship Id="rId55" Type="http://schemas.openxmlformats.org/officeDocument/2006/relationships/hyperlink" Target="https://www.cncf.io/training/certification/pca/" TargetMode="External"/><Relationship Id="rId56" Type="http://schemas.openxmlformats.org/officeDocument/2006/relationships/hyperlink" Target="https://training.linuxfoundation.org/certification/opentelemetry-certified-associate-otca/" TargetMode="External"/><Relationship Id="rId57" Type="http://schemas.openxmlformats.org/officeDocument/2006/relationships/hyperlink" Target="https://www.cncf.io/training/certification/" TargetMode="External"/><Relationship Id="rId58" Type="http://schemas.openxmlformats.org/officeDocument/2006/relationships/hyperlink" Target="https://learn.grafana.com/page/badges-certifications" TargetMode="External"/><Relationship Id="rId59" Type="http://schemas.openxmlformats.org/officeDocument/2006/relationships/hyperlink" Target="https://docs.aws.amazon.com/wellarchitected/latest/framework/welcome.html" TargetMode="External"/><Relationship Id="rId60" Type="http://schemas.openxmlformats.org/officeDocument/2006/relationships/hyperlink" Target="https://docs.aws.amazon.com/whitepapers/latest/aws-risk-and-compliance/shared-responsibility-model.html" TargetMode="External"/><Relationship Id="rId61" Type="http://schemas.openxmlformats.org/officeDocument/2006/relationships/hyperlink" Target="https://docs.aws.amazon.com/controltower/latest/userguide/planning-your-deployment.html" TargetMode="External"/><Relationship Id="rId62" Type="http://schemas.openxmlformats.org/officeDocument/2006/relationships/hyperlink" Target="https://learn.microsoft.com/en-us/azure/well-architected/" TargetMode="External"/><Relationship Id="rId63" Type="http://schemas.openxmlformats.org/officeDocument/2006/relationships/hyperlink" Target="https://learn.microsoft.com/en-us/azure/security/fundamentals/shared-responsibility" TargetMode="External"/><Relationship Id="rId64" Type="http://schemas.openxmlformats.org/officeDocument/2006/relationships/hyperlink" Target="https://learn.microsoft.com/en-us/azure/cloud-adoption-framework/ready/landing-zone/" TargetMode="External"/><Relationship Id="rId65" Type="http://schemas.openxmlformats.org/officeDocument/2006/relationships/hyperlink" Target="https://docs.cloud.google.com/architecture/framework" TargetMode="External"/><Relationship Id="rId66" Type="http://schemas.openxmlformats.org/officeDocument/2006/relationships/hyperlink" Target="https://docs.cloud.google.com/architecture/landing-zones" TargetMode="External"/><Relationship Id="rId67" Type="http://schemas.openxmlformats.org/officeDocument/2006/relationships/hyperlink" Target="https://docs.cloud.google.com/architecture/framework/security/shared-responsibility-shared-fate" TargetMode="External"/><Relationship Id="rId68" Type="http://schemas.openxmlformats.org/officeDocument/2006/relationships/hyperlink" Target="https://developer.hashicorp.com/terraform/language/modules" TargetMode="External"/><Relationship Id="rId69" Type="http://schemas.openxmlformats.org/officeDocument/2006/relationships/hyperlink" Target="https://developer.hashicorp.com/terraform/language/state" TargetMode="External"/><Relationship Id="rId70" Type="http://schemas.openxmlformats.org/officeDocument/2006/relationships/hyperlink" Target="https://developer.hashicorp.com/terraform/language/tests" TargetMode="External"/><Relationship Id="rId71" Type="http://schemas.openxmlformats.org/officeDocument/2006/relationships/hyperlink" Target="https://www.finops.org/framewor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DevOps Master Course Volume 12A - Multi-Cloud Architecture and Landing-Zone Foundations</dc:title>
  <dc:subject>Cloud strategy, landing zones, shared responsibility, hierarchy, identity, networking, FinOps and Terraform</dc:subject>
  <dc:creator>OpenAI</dc:creator>
  <cp:keywords>DevOps, Multi-Cloud, AWS, Azure, Google Cloud, Landing Zone, Terraform, FinOps, IAM, Networking</cp:keywords>
  <dc:description>Professional learning edition generated for the DevOps Master Course.</dc:description>
  <cp:lastModifiedBy/>
  <cp:revision>1</cp:revision>
  <dcterms:created xsi:type="dcterms:W3CDTF">2013-12-23T23:15:00Z</dcterms:created>
  <dcterms:modified xsi:type="dcterms:W3CDTF">2013-12-23T23:15:00Z</dcterms:modified>
  <cp:category/>
</cp:coreProperties>
</file>