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12B</w:t>
      </w:r>
    </w:p>
    <w:p>
      <w:pPr>
        <w:jc w:val="center"/>
      </w:pPr>
      <w:r>
        <w:rPr>
          <w:b/>
          <w:color w:val="17324D"/>
          <w:sz w:val="40"/>
        </w:rPr>
        <w:t>AWS Enterprise Cloud Engineering</w:t>
      </w:r>
    </w:p>
    <w:p>
      <w:pPr>
        <w:pStyle w:val="Subtitle"/>
        <w:jc w:val="center"/>
      </w:pPr>
      <w:r>
        <w:t>Organizations • IAM • Networking • Compute • Data • Security • Reliability • Operations • FinOps</w:t>
      </w:r>
    </w:p>
    <w:p>
      <w:pPr>
        <w:keepNext w:val="0"/>
        <w:jc w:val="center"/>
      </w:pPr>
      <w:r>
        <w:t>Chapters 11-20  |  2026 Edition</w:t>
      </w:r>
    </w:p>
    <w:p/>
    <w:p>
      <w:pPr>
        <w:keepNext w:val="0"/>
        <w:jc w:val="center"/>
      </w:pPr>
      <w:r>
        <w:t>Beginner to Enterprise Cloud Architecture and Operations</w:t>
      </w:r>
    </w:p>
    <w:p>
      <w:r>
        <w:br w:type="page"/>
      </w:r>
    </w:p>
    <w:p>
      <w:pPr>
        <w:pStyle w:val="Heading1"/>
        <w:keepNext w:val="0"/>
      </w:pPr>
      <w:r>
        <w:t>About This Part</w:t>
      </w:r>
    </w:p>
    <w:p>
      <w:pPr>
        <w:keepNext w:val="0"/>
      </w:pPr>
      <w:r>
        <w:t>Part B develops provider-depth in Amazon Web Services. It begins with the multi-account foundation and proceeds through identity, network, compute, data, security, reliability, operations and cost before integrating them into an enterprise landing-zone capstone.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2026 platform note: The 2026 edition uses AWS Organizations and AWS Control Tower as the landing-zone foundation, IAM Identity Center for workforce federation, short-lived workload identity, organization-wide evidence and explicit regional recovery testing.</w:t>
            </w:r>
          </w:p>
        </w:tc>
      </w:tr>
    </w:tbl>
    <w:p>
      <w:pPr>
        <w:spacing w:after="0"/>
      </w:pPr>
    </w:p>
    <w:p>
      <w:pPr>
        <w:pStyle w:val="Heading2"/>
        <w:keepNext w:val="0"/>
      </w:pPr>
      <w:r>
        <w:t>Volume 12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864"/>
            <w:shd w:fill="176B87"/>
            <w:tcMar>
              <w:top w:w="65" w:type="dxa"/>
              <w:start w:w="85" w:type="dxa"/>
              <w:bottom w:w="65" w:type="dxa"/>
              <w:end w:w="85" w:type="dxa"/>
            </w:tcMar>
            <w:vAlign w:val="center"/>
          </w:tcPr>
          <w:p>
            <w:r>
              <w:rPr>
                <w:b/>
                <w:color w:val="FFFFFF"/>
                <w:sz w:val="14"/>
              </w:rPr>
              <w:t>Part</w:t>
            </w:r>
          </w:p>
        </w:tc>
        <w:tc>
          <w:tcPr>
            <w:tcW w:type="dxa" w:w="6984"/>
            <w:shd w:fill="176B87"/>
            <w:tcMar>
              <w:top w:w="65" w:type="dxa"/>
              <w:start w:w="85" w:type="dxa"/>
              <w:bottom w:w="65" w:type="dxa"/>
              <w:end w:w="85" w:type="dxa"/>
            </w:tcMar>
            <w:vAlign w:val="center"/>
          </w:tcPr>
          <w:p>
            <w:r>
              <w:rPr>
                <w:b/>
                <w:color w:val="FFFFFF"/>
                <w:sz w:val="14"/>
              </w:rPr>
              <w:t>Coverage</w:t>
            </w:r>
          </w:p>
        </w:tc>
        <w:tc>
          <w:tcPr>
            <w:tcW w:type="dxa" w:w="2088"/>
            <w:shd w:fill="176B87"/>
            <w:tcMar>
              <w:top w:w="65" w:type="dxa"/>
              <w:start w:w="85" w:type="dxa"/>
              <w:bottom w:w="65" w:type="dxa"/>
              <w:end w:w="85" w:type="dxa"/>
            </w:tcMar>
            <w:vAlign w:val="center"/>
          </w:tcPr>
          <w:p>
            <w:r>
              <w:rPr>
                <w:b/>
                <w:color w:val="FFFFFF"/>
                <w:sz w:val="14"/>
              </w:rPr>
              <w:t>Status</w:t>
            </w:r>
          </w:p>
        </w:tc>
      </w:tr>
      <w:tr>
        <w:trPr>
          <w:cantSplit/>
        </w:trPr>
        <w:tc>
          <w:tcPr>
            <w:tcW w:type="dxa" w:w="864"/>
            <w:tcMar>
              <w:top w:w="65" w:type="dxa"/>
              <w:start w:w="85" w:type="dxa"/>
              <w:bottom w:w="65" w:type="dxa"/>
              <w:end w:w="85" w:type="dxa"/>
            </w:tcMar>
            <w:vAlign w:val="top"/>
          </w:tcPr>
          <w:p>
            <w:r>
              <w:rPr>
                <w:sz w:val="14"/>
              </w:rPr>
              <w:t>12A</w:t>
            </w:r>
          </w:p>
        </w:tc>
        <w:tc>
          <w:tcPr>
            <w:tcW w:type="dxa" w:w="6984"/>
            <w:tcMar>
              <w:top w:w="65" w:type="dxa"/>
              <w:start w:w="85" w:type="dxa"/>
              <w:bottom w:w="65" w:type="dxa"/>
              <w:end w:w="85" w:type="dxa"/>
            </w:tcMar>
            <w:vAlign w:val="top"/>
          </w:tcPr>
          <w:p>
            <w:r>
              <w:rPr>
                <w:sz w:val="14"/>
              </w:rPr>
              <w:t>Multi-cloud architecture and landing-zone foundations</w:t>
            </w:r>
          </w:p>
        </w:tc>
        <w:tc>
          <w:tcPr>
            <w:tcW w:type="dxa" w:w="2088"/>
            <w:tcMar>
              <w:top w:w="65" w:type="dxa"/>
              <w:start w:w="85" w:type="dxa"/>
              <w:bottom w:w="65" w:type="dxa"/>
              <w:end w:w="85" w:type="dxa"/>
            </w:tcMar>
            <w:vAlign w:val="top"/>
          </w:tcPr>
          <w:p>
            <w:r>
              <w:rPr>
                <w:sz w:val="14"/>
              </w:rPr>
              <w:t>Completed</w:t>
            </w:r>
          </w:p>
        </w:tc>
      </w:tr>
      <w:tr>
        <w:trPr>
          <w:cantSplit/>
        </w:trPr>
        <w:tc>
          <w:tcPr>
            <w:tcW w:type="dxa" w:w="864"/>
            <w:tcMar>
              <w:top w:w="65" w:type="dxa"/>
              <w:start w:w="85" w:type="dxa"/>
              <w:bottom w:w="65" w:type="dxa"/>
              <w:end w:w="85" w:type="dxa"/>
            </w:tcMar>
            <w:vAlign w:val="top"/>
          </w:tcPr>
          <w:p>
            <w:r>
              <w:rPr>
                <w:sz w:val="14"/>
              </w:rPr>
              <w:t>12B</w:t>
            </w:r>
          </w:p>
        </w:tc>
        <w:tc>
          <w:tcPr>
            <w:tcW w:type="dxa" w:w="6984"/>
            <w:tcMar>
              <w:top w:w="65" w:type="dxa"/>
              <w:start w:w="85" w:type="dxa"/>
              <w:bottom w:w="65" w:type="dxa"/>
              <w:end w:w="85" w:type="dxa"/>
            </w:tcMar>
            <w:vAlign w:val="top"/>
          </w:tcPr>
          <w:p>
            <w:r>
              <w:rPr>
                <w:sz w:val="14"/>
              </w:rPr>
              <w:t>AWS enterprise cloud engineering</w:t>
            </w:r>
          </w:p>
        </w:tc>
        <w:tc>
          <w:tcPr>
            <w:tcW w:type="dxa" w:w="2088"/>
            <w:tcMar>
              <w:top w:w="65" w:type="dxa"/>
              <w:start w:w="85" w:type="dxa"/>
              <w:bottom w:w="65" w:type="dxa"/>
              <w:end w:w="85" w:type="dxa"/>
            </w:tcMar>
            <w:vAlign w:val="top"/>
          </w:tcPr>
          <w:p>
            <w:r>
              <w:rPr>
                <w:sz w:val="14"/>
              </w:rPr>
              <w:t>Completed in this package</w:t>
            </w:r>
          </w:p>
        </w:tc>
      </w:tr>
      <w:tr>
        <w:trPr>
          <w:cantSplit/>
        </w:trPr>
        <w:tc>
          <w:tcPr>
            <w:tcW w:type="dxa" w:w="864"/>
            <w:tcMar>
              <w:top w:w="65" w:type="dxa"/>
              <w:start w:w="85" w:type="dxa"/>
              <w:bottom w:w="65" w:type="dxa"/>
              <w:end w:w="85" w:type="dxa"/>
            </w:tcMar>
            <w:vAlign w:val="top"/>
          </w:tcPr>
          <w:p>
            <w:r>
              <w:rPr>
                <w:sz w:val="14"/>
              </w:rPr>
              <w:t>12C</w:t>
            </w:r>
          </w:p>
        </w:tc>
        <w:tc>
          <w:tcPr>
            <w:tcW w:type="dxa" w:w="6984"/>
            <w:tcMar>
              <w:top w:w="65" w:type="dxa"/>
              <w:start w:w="85" w:type="dxa"/>
              <w:bottom w:w="65" w:type="dxa"/>
              <w:end w:w="85" w:type="dxa"/>
            </w:tcMar>
            <w:vAlign w:val="top"/>
          </w:tcPr>
          <w:p>
            <w:r>
              <w:rPr>
                <w:sz w:val="14"/>
              </w:rPr>
              <w:t>Azure enterprise cloud engineering</w:t>
            </w:r>
          </w:p>
        </w:tc>
        <w:tc>
          <w:tcPr>
            <w:tcW w:type="dxa" w:w="2088"/>
            <w:tcMar>
              <w:top w:w="65" w:type="dxa"/>
              <w:start w:w="85" w:type="dxa"/>
              <w:bottom w:w="65" w:type="dxa"/>
              <w:end w:w="85" w:type="dxa"/>
            </w:tcMar>
            <w:vAlign w:val="top"/>
          </w:tcPr>
          <w:p>
            <w:r>
              <w:rPr>
                <w:sz w:val="14"/>
              </w:rPr>
              <w:t>Course sequence</w:t>
            </w:r>
          </w:p>
        </w:tc>
      </w:tr>
      <w:tr>
        <w:trPr>
          <w:cantSplit/>
        </w:trPr>
        <w:tc>
          <w:tcPr>
            <w:tcW w:type="dxa" w:w="864"/>
            <w:tcMar>
              <w:top w:w="65" w:type="dxa"/>
              <w:start w:w="85" w:type="dxa"/>
              <w:bottom w:w="65" w:type="dxa"/>
              <w:end w:w="85" w:type="dxa"/>
            </w:tcMar>
            <w:vAlign w:val="top"/>
          </w:tcPr>
          <w:p>
            <w:r>
              <w:rPr>
                <w:sz w:val="14"/>
              </w:rPr>
              <w:t>12D</w:t>
            </w:r>
          </w:p>
        </w:tc>
        <w:tc>
          <w:tcPr>
            <w:tcW w:type="dxa" w:w="6984"/>
            <w:tcMar>
              <w:top w:w="65" w:type="dxa"/>
              <w:start w:w="85" w:type="dxa"/>
              <w:bottom w:w="65" w:type="dxa"/>
              <w:end w:w="85" w:type="dxa"/>
            </w:tcMar>
            <w:vAlign w:val="top"/>
          </w:tcPr>
          <w:p>
            <w:r>
              <w:rPr>
                <w:sz w:val="14"/>
              </w:rPr>
              <w:t>Google Cloud enterprise engineering</w:t>
            </w:r>
          </w:p>
        </w:tc>
        <w:tc>
          <w:tcPr>
            <w:tcW w:type="dxa" w:w="2088"/>
            <w:tcMar>
              <w:top w:w="65" w:type="dxa"/>
              <w:start w:w="85" w:type="dxa"/>
              <w:bottom w:w="65" w:type="dxa"/>
              <w:end w:w="85" w:type="dxa"/>
            </w:tcMar>
            <w:vAlign w:val="top"/>
          </w:tcPr>
          <w:p>
            <w:r>
              <w:rPr>
                <w:sz w:val="14"/>
              </w:rPr>
              <w:t>Course sequence</w:t>
            </w:r>
          </w:p>
        </w:tc>
      </w:tr>
      <w:tr>
        <w:trPr>
          <w:cantSplit/>
        </w:trPr>
        <w:tc>
          <w:tcPr>
            <w:tcW w:type="dxa" w:w="864"/>
            <w:tcMar>
              <w:top w:w="65" w:type="dxa"/>
              <w:start w:w="85" w:type="dxa"/>
              <w:bottom w:w="65" w:type="dxa"/>
              <w:end w:w="85" w:type="dxa"/>
            </w:tcMar>
            <w:vAlign w:val="top"/>
          </w:tcPr>
          <w:p>
            <w:r>
              <w:rPr>
                <w:sz w:val="14"/>
              </w:rPr>
              <w:t>12E</w:t>
            </w:r>
          </w:p>
        </w:tc>
        <w:tc>
          <w:tcPr>
            <w:tcW w:type="dxa" w:w="6984"/>
            <w:tcMar>
              <w:top w:w="65" w:type="dxa"/>
              <w:start w:w="85" w:type="dxa"/>
              <w:bottom w:w="65" w:type="dxa"/>
              <w:end w:w="85" w:type="dxa"/>
            </w:tcMar>
            <w:vAlign w:val="top"/>
          </w:tcPr>
          <w:p>
            <w:r>
              <w:rPr>
                <w:sz w:val="14"/>
              </w:rPr>
              <w:t>Hybrid and multi-cloud operations, migration, DR, security and FinOps</w:t>
            </w:r>
          </w:p>
        </w:tc>
        <w:tc>
          <w:tcPr>
            <w:tcW w:type="dxa" w:w="2088"/>
            <w:tcMar>
              <w:top w:w="65" w:type="dxa"/>
              <w:start w:w="85" w:type="dxa"/>
              <w:bottom w:w="65" w:type="dxa"/>
              <w:end w:w="85" w:type="dxa"/>
            </w:tcMar>
            <w:vAlign w:val="top"/>
          </w:tcPr>
          <w:p>
            <w:r>
              <w:rPr>
                <w:sz w:val="14"/>
              </w:rPr>
              <w:t>Course sequence</w:t>
            </w:r>
          </w:p>
        </w:tc>
      </w:tr>
      <w:tr>
        <w:trPr>
          <w:cantSplit/>
        </w:trPr>
        <w:tc>
          <w:tcPr>
            <w:tcW w:type="dxa" w:w="864"/>
            <w:tcMar>
              <w:top w:w="65" w:type="dxa"/>
              <w:start w:w="85" w:type="dxa"/>
              <w:bottom w:w="65" w:type="dxa"/>
              <w:end w:w="85" w:type="dxa"/>
            </w:tcMar>
            <w:vAlign w:val="top"/>
          </w:tcPr>
          <w:p>
            <w:r>
              <w:rPr>
                <w:sz w:val="14"/>
              </w:rPr>
              <w:t>12F</w:t>
            </w:r>
          </w:p>
        </w:tc>
        <w:tc>
          <w:tcPr>
            <w:tcW w:type="dxa" w:w="6984"/>
            <w:tcMar>
              <w:top w:w="65" w:type="dxa"/>
              <w:start w:w="85" w:type="dxa"/>
              <w:bottom w:w="65" w:type="dxa"/>
              <w:end w:w="85" w:type="dxa"/>
            </w:tcMar>
            <w:vAlign w:val="top"/>
          </w:tcPr>
          <w:p>
            <w:r>
              <w:rPr>
                <w:sz w:val="14"/>
              </w:rPr>
              <w:t>Enterprise projects, certifications, interviews and final capstone</w:t>
            </w:r>
          </w:p>
        </w:tc>
        <w:tc>
          <w:tcPr>
            <w:tcW w:type="dxa" w:w="2088"/>
            <w:tcMar>
              <w:top w:w="65" w:type="dxa"/>
              <w:start w:w="85" w:type="dxa"/>
              <w:bottom w:w="65" w:type="dxa"/>
              <w:end w:w="85" w:type="dxa"/>
            </w:tcMar>
            <w:vAlign w:val="top"/>
          </w:tcPr>
          <w:p>
            <w:r>
              <w:rPr>
                <w:sz w:val="14"/>
              </w:rPr>
              <w:t>Course sequence</w:t>
            </w:r>
          </w:p>
        </w:tc>
      </w:tr>
    </w:tbl>
    <w:p>
      <w:pPr>
        <w:pStyle w:val="Heading2"/>
        <w:keepNext w:val="0"/>
      </w:pPr>
      <w:r>
        <w:t>Scope, Safety and Cost Controls</w:t>
      </w:r>
    </w:p>
    <w:p>
      <w:pPr>
        <w:pStyle w:val="ListBullet"/>
      </w:pPr>
      <w:r>
        <w:t>Use disposable sandboxes, free tiers, local simulations or approved training subscriptions. Configure budgets and expiry before creating resources.</w:t>
      </w:r>
    </w:p>
    <w:p>
      <w:pPr>
        <w:pStyle w:val="ListBullet"/>
      </w:pPr>
      <w:r>
        <w:t>Never use production identities, customer data, employer account structures, internal IP ranges or confidential contracts in course artifacts.</w:t>
      </w:r>
    </w:p>
    <w:p>
      <w:pPr>
        <w:pStyle w:val="ListBullet"/>
      </w:pPr>
      <w:r>
        <w:t>Cloud services, prices, limits, recommendations and certifications change. Verify official documentation before production use or exam registration.</w:t>
      </w:r>
    </w:p>
    <w:p>
      <w:pPr>
        <w:pStyle w:val="ListBullet"/>
      </w:pPr>
      <w:r>
        <w:t>Run failure, security and recovery tests only in approved nonproduction environments with explicit stop conditions.</w:t>
      </w:r>
    </w:p>
    <w:p>
      <w:pPr>
        <w:pStyle w:val="ListBullet"/>
      </w:pPr>
      <w:r>
        <w:t>Destroy resources, revoke credentials, remove local state copies and verify billing inventory after every lab.</w:t>
      </w:r>
    </w:p>
    <w:p>
      <w:pPr>
        <w:pStyle w:val="Heading2"/>
        <w:keepNext w:val="0"/>
      </w:pPr>
      <w:r>
        <w:t>Learning Outcomes</w:t>
      </w:r>
    </w:p>
    <w:p>
      <w:pPr>
        <w:pStyle w:val="ListBullet"/>
      </w:pPr>
      <w:r>
        <w:t>Explain and design the major architecture domains covered by AWS Enterprise Cloud Engineering.</w:t>
      </w:r>
    </w:p>
    <w:p>
      <w:pPr>
        <w:pStyle w:val="ListBullet"/>
      </w:pPr>
      <w:r>
        <w:t>Implement provider or cross-cloud controls through version-controlled automation.</w:t>
      </w:r>
    </w:p>
    <w:p>
      <w:pPr>
        <w:pStyle w:val="ListBullet"/>
      </w:pPr>
      <w:r>
        <w:t>Test identity, network, security, reliability, operations and cost behavior.</w:t>
      </w:r>
    </w:p>
    <w:p>
      <w:pPr>
        <w:pStyle w:val="ListBullet"/>
      </w:pPr>
      <w:r>
        <w:t>Troubleshoot failures using effective policy, route, service and telemetry evidence.</w:t>
      </w:r>
    </w:p>
    <w:p>
      <w:pPr>
        <w:pStyle w:val="ListBullet"/>
      </w:pPr>
      <w:r>
        <w:t>Produce sanitized architecture, runbook, laboratory and interview portfolio artifacts.</w:t>
      </w:r>
    </w:p>
    <w:p>
      <w:r>
        <w:br w:type="page"/>
      </w:r>
    </w:p>
    <w:p>
      <w:pPr>
        <w:pStyle w:val="Heading1"/>
        <w:keepNext w:val="0"/>
      </w:pPr>
      <w:r>
        <w:t>Table of Contents</w:t>
      </w:r>
    </w:p>
    <w:p>
      <w:pPr>
        <w:keepNext w:val="0"/>
      </w:pPr>
      <w:r>
        <w:t>Chapter 11  AWS Organizations, Control Tower and Multi-Account Foundations</w:t>
      </w:r>
    </w:p>
    <w:p>
      <w:pPr>
        <w:keepNext w:val="0"/>
      </w:pPr>
      <w:r>
        <w:t>Chapter 12  AWS Identity, Federation and Organization Guardrails</w:t>
      </w:r>
    </w:p>
    <w:p>
      <w:pPr>
        <w:keepNext w:val="0"/>
      </w:pPr>
      <w:r>
        <w:t>Chapter 13  AWS Networking, DNS and Hybrid Connectivity</w:t>
      </w:r>
    </w:p>
    <w:p>
      <w:pPr>
        <w:keepNext w:val="0"/>
      </w:pPr>
      <w:r>
        <w:t>Chapter 14  AWS Compute, Containers and Serverless Architecture</w:t>
      </w:r>
    </w:p>
    <w:p>
      <w:pPr>
        <w:keepNext w:val="0"/>
      </w:pPr>
      <w:r>
        <w:t>Chapter 15  AWS Storage, Databases and Data Protection</w:t>
      </w:r>
    </w:p>
    <w:p>
      <w:pPr>
        <w:keepNext w:val="0"/>
      </w:pPr>
      <w:r>
        <w:t>Chapter 16  AWS Security Engineering and Detection</w:t>
      </w:r>
    </w:p>
    <w:p>
      <w:pPr>
        <w:keepNext w:val="0"/>
      </w:pPr>
      <w:r>
        <w:t>Chapter 17  AWS Reliability, Multi-Region Design and Disaster Recovery</w:t>
      </w:r>
    </w:p>
    <w:p>
      <w:pPr>
        <w:keepNext w:val="0"/>
      </w:pPr>
      <w:r>
        <w:t>Chapter 18  AWS Observability, Systems Management and Incident Operations</w:t>
      </w:r>
    </w:p>
    <w:p>
      <w:pPr>
        <w:keepNext w:val="0"/>
      </w:pPr>
      <w:r>
        <w:t>Chapter 19  AWS FinOps, Governance and Cost Engineering</w:t>
      </w:r>
    </w:p>
    <w:p>
      <w:pPr>
        <w:keepNext w:val="0"/>
      </w:pPr>
      <w:r>
        <w:t>Chapter 20  AWS Enterprise Landing-Zone Capstone</w:t>
      </w:r>
    </w:p>
    <w:p>
      <w:pPr>
        <w:keepNext w:val="0"/>
      </w:pPr>
      <w:r>
        <w:t>AWS Enterprise Architecture and Operations Reference</w:t>
      </w:r>
    </w:p>
    <w:p>
      <w:pPr>
        <w:keepNext w:val="0"/>
      </w:pPr>
      <w:r>
        <w:t>Completion Checklist</w:t>
      </w:r>
    </w:p>
    <w:p>
      <w:pPr>
        <w:keepNext w:val="0"/>
      </w:pPr>
      <w:r>
        <w:t>Additional Portfolio Projects</w:t>
      </w:r>
    </w:p>
    <w:p>
      <w:pPr>
        <w:keepNext w:val="0"/>
      </w:pPr>
      <w:r>
        <w:t>30-Day Practice Plan</w:t>
      </w:r>
    </w:p>
    <w:p>
      <w:pPr>
        <w:keepNext w:val="0"/>
      </w:pPr>
      <w:r>
        <w:t>Glossary</w:t>
      </w:r>
    </w:p>
    <w:p>
      <w:pPr>
        <w:keepNext w:val="0"/>
      </w:pPr>
      <w:r>
        <w:t>Official Documentation Index</w:t>
      </w:r>
    </w:p>
    <w:p>
      <w:r>
        <w:br w:type="page"/>
      </w:r>
    </w:p>
    <w:p>
      <w:pPr>
        <w:jc w:val="center"/>
      </w:pPr>
      <w:r>
        <w:rPr>
          <w:b/>
          <w:color w:val="14919B"/>
          <w:sz w:val="17"/>
        </w:rPr>
        <w:t>VOLUME 12B  |  CHAPTER 11</w:t>
      </w:r>
    </w:p>
    <w:p>
      <w:pPr>
        <w:pStyle w:val="Heading1"/>
        <w:jc w:val="center"/>
      </w:pPr>
      <w:r>
        <w:t>Chapter 11: AWS Organizations, Control Tower and Multi-Account Foundations</w:t>
      </w:r>
    </w:p>
    <w:p>
      <w:pPr>
        <w:jc w:val="center"/>
      </w:pPr>
      <w:r>
        <w:rPr>
          <w:i/>
          <w:color w:val="4B5563"/>
          <w:sz w:val="20"/>
        </w:rPr>
        <w:t>Building a governed account estate before workloads scale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AWS accounts are strong isolation, billing and policy boundaries. A clear organization and landing-zone lifecycle prevents root-account exposure, inconsistent controls and unowned spend.</w:t>
            </w:r>
          </w:p>
        </w:tc>
      </w:tr>
    </w:tbl>
    <w:p>
      <w:pPr>
        <w:spacing w:after="0"/>
      </w:pPr>
    </w:p>
    <w:p>
      <w:pPr>
        <w:pStyle w:val="Heading2"/>
        <w:keepNext/>
      </w:pPr>
      <w:r>
        <w:t>Learning Objectives</w:t>
      </w:r>
    </w:p>
    <w:p>
      <w:pPr>
        <w:pStyle w:val="ListBullet"/>
      </w:pPr>
      <w:r>
        <w:t>Explain the architecture, responsibility boundaries and major trade-offs of aws organizations and organizational units.</w:t>
      </w:r>
    </w:p>
    <w:p>
      <w:pPr>
        <w:pStyle w:val="ListBullet"/>
      </w:pPr>
      <w:r>
        <w:t>Design aws control tower landing-zone lifecycle for enterprise scale, least privilege and bounded failure.</w:t>
      </w:r>
    </w:p>
    <w:p>
      <w:pPr>
        <w:pStyle w:val="ListBullet"/>
      </w:pPr>
      <w:r>
        <w:t>Implement account factory and vending automation through version-controlled automation and policy checks.</w:t>
      </w:r>
    </w:p>
    <w:p>
      <w:pPr>
        <w:pStyle w:val="ListBullet"/>
      </w:pPr>
      <w:r>
        <w:t>Troubleshoot delegated administration and evidence accounts using provider-native telemetry and repeatable evidence.</w:t>
      </w:r>
    </w:p>
    <w:p>
      <w:pPr>
        <w:pStyle w:val="ListBullet"/>
      </w:pPr>
      <w:r>
        <w:t>Deliver a sanitized portfolio artifact for design and validate an aws multi-account landing zone.</w:t>
      </w:r>
    </w:p>
    <w:p>
      <w:pPr>
        <w:pStyle w:val="Heading2"/>
        <w:keepNext/>
      </w:pPr>
      <w:r>
        <w:t>Core Concepts</w:t>
      </w:r>
    </w:p>
    <w:p>
      <w:pPr>
        <w:pStyle w:val="Heading3"/>
        <w:keepNext/>
      </w:pPr>
      <w:r>
        <w:t>AWS Organizations and organizational units</w:t>
      </w:r>
    </w:p>
    <w:p>
      <w:pPr>
        <w:keepNext w:val="0"/>
      </w:pPr>
      <w:r>
        <w:t>AWS Organizations and organizational units is a design boundary, not merely a console feature. In AWS Organizations, Control Tower and Multi-Account Foundations, the team must document ownership, trust assumptions, dependency direction, failure impact and the evidence used to prove the control. The recommended implementation uses AWS Organizations / OUs, AWS Control Tower, Account Factory, Log Archive and Audit accounts only where they satisfy an explicit requirement; equivalent services are not automatically interchangeable.</w:t>
      </w:r>
    </w:p>
    <w:p>
      <w:pPr>
        <w:pStyle w:val="Heading3"/>
        <w:keepNext/>
      </w:pPr>
      <w:r>
        <w:t>AWS Control Tower landing-zone lifecycle</w:t>
      </w:r>
    </w:p>
    <w:p>
      <w:pPr>
        <w:keepNext w:val="0"/>
      </w:pPr>
      <w:r>
        <w:t>A production implementation of AWS Control Tower landing-zone lifecycle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Account Factory and vending automation</w:t>
      </w:r>
    </w:p>
    <w:p>
      <w:pPr>
        <w:keepNext w:val="0"/>
      </w:pPr>
      <w:r>
        <w:t>For Account Factory and vending automation,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Delegated administration and evidence accounts</w:t>
      </w:r>
    </w:p>
    <w:p>
      <w:pPr>
        <w:keepNext w:val="0"/>
      </w:pPr>
      <w:r>
        <w:t>The strongest validation for Delegated administration and evidence accounts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Hierarchy</w:t>
            </w:r>
          </w:p>
        </w:tc>
        <w:tc>
          <w:tcPr>
            <w:tcW w:type="dxa" w:w="2952"/>
            <w:tcMar>
              <w:top w:w="65" w:type="dxa"/>
              <w:start w:w="85" w:type="dxa"/>
              <w:bottom w:w="65" w:type="dxa"/>
              <w:end w:w="85" w:type="dxa"/>
            </w:tcMar>
            <w:vAlign w:val="top"/>
          </w:tcPr>
          <w:p>
            <w:r>
              <w:rPr>
                <w:sz w:val="14"/>
              </w:rPr>
              <w:t>AWS Organizations / OUs</w:t>
            </w:r>
          </w:p>
        </w:tc>
        <w:tc>
          <w:tcPr>
            <w:tcW w:type="dxa" w:w="4824"/>
            <w:tcMar>
              <w:top w:w="65" w:type="dxa"/>
              <w:start w:w="85" w:type="dxa"/>
              <w:bottom w:w="65" w:type="dxa"/>
              <w:end w:w="85" w:type="dxa"/>
            </w:tcMar>
            <w:vAlign w:val="top"/>
          </w:tcPr>
          <w:p>
            <w:r>
              <w:rPr>
                <w:sz w:val="14"/>
              </w:rPr>
              <w:t>Apply SCPs, delegated administration and workload grouping.</w:t>
            </w:r>
          </w:p>
        </w:tc>
      </w:tr>
      <w:tr>
        <w:trPr>
          <w:cantSplit/>
        </w:trPr>
        <w:tc>
          <w:tcPr>
            <w:tcW w:type="dxa" w:w="2232"/>
            <w:tcMar>
              <w:top w:w="65" w:type="dxa"/>
              <w:start w:w="85" w:type="dxa"/>
              <w:bottom w:w="65" w:type="dxa"/>
              <w:end w:w="85" w:type="dxa"/>
            </w:tcMar>
            <w:vAlign w:val="top"/>
          </w:tcPr>
          <w:p>
            <w:r>
              <w:rPr>
                <w:sz w:val="14"/>
              </w:rPr>
              <w:t>Landing zone</w:t>
            </w:r>
          </w:p>
        </w:tc>
        <w:tc>
          <w:tcPr>
            <w:tcW w:type="dxa" w:w="2952"/>
            <w:tcMar>
              <w:top w:w="65" w:type="dxa"/>
              <w:start w:w="85" w:type="dxa"/>
              <w:bottom w:w="65" w:type="dxa"/>
              <w:end w:w="85" w:type="dxa"/>
            </w:tcMar>
            <w:vAlign w:val="top"/>
          </w:tcPr>
          <w:p>
            <w:r>
              <w:rPr>
                <w:sz w:val="14"/>
              </w:rPr>
              <w:t>AWS Control Tower</w:t>
            </w:r>
          </w:p>
        </w:tc>
        <w:tc>
          <w:tcPr>
            <w:tcW w:type="dxa" w:w="4824"/>
            <w:tcMar>
              <w:top w:w="65" w:type="dxa"/>
              <w:start w:w="85" w:type="dxa"/>
              <w:bottom w:w="65" w:type="dxa"/>
              <w:end w:w="85" w:type="dxa"/>
            </w:tcMar>
            <w:vAlign w:val="top"/>
          </w:tcPr>
          <w:p>
            <w:r>
              <w:rPr>
                <w:sz w:val="14"/>
              </w:rPr>
              <w:t>Establish governed multi-account baselines and registered OUs.</w:t>
            </w:r>
          </w:p>
        </w:tc>
      </w:tr>
      <w:tr>
        <w:trPr>
          <w:cantSplit/>
        </w:trPr>
        <w:tc>
          <w:tcPr>
            <w:tcW w:type="dxa" w:w="2232"/>
            <w:tcMar>
              <w:top w:w="65" w:type="dxa"/>
              <w:start w:w="85" w:type="dxa"/>
              <w:bottom w:w="65" w:type="dxa"/>
              <w:end w:w="85" w:type="dxa"/>
            </w:tcMar>
            <w:vAlign w:val="top"/>
          </w:tcPr>
          <w:p>
            <w:r>
              <w:rPr>
                <w:sz w:val="14"/>
              </w:rPr>
              <w:t>Account vending</w:t>
            </w:r>
          </w:p>
        </w:tc>
        <w:tc>
          <w:tcPr>
            <w:tcW w:type="dxa" w:w="2952"/>
            <w:tcMar>
              <w:top w:w="65" w:type="dxa"/>
              <w:start w:w="85" w:type="dxa"/>
              <w:bottom w:w="65" w:type="dxa"/>
              <w:end w:w="85" w:type="dxa"/>
            </w:tcMar>
            <w:vAlign w:val="top"/>
          </w:tcPr>
          <w:p>
            <w:r>
              <w:rPr>
                <w:sz w:val="14"/>
              </w:rPr>
              <w:t>Account Factory</w:t>
            </w:r>
          </w:p>
        </w:tc>
        <w:tc>
          <w:tcPr>
            <w:tcW w:type="dxa" w:w="4824"/>
            <w:tcMar>
              <w:top w:w="65" w:type="dxa"/>
              <w:start w:w="85" w:type="dxa"/>
              <w:bottom w:w="65" w:type="dxa"/>
              <w:end w:w="85" w:type="dxa"/>
            </w:tcMar>
            <w:vAlign w:val="top"/>
          </w:tcPr>
          <w:p>
            <w:r>
              <w:rPr>
                <w:sz w:val="14"/>
              </w:rPr>
              <w:t>Create standardized workload accounts with metadata and lifecycle.</w:t>
            </w:r>
          </w:p>
        </w:tc>
      </w:tr>
      <w:tr>
        <w:trPr>
          <w:cantSplit/>
        </w:trPr>
        <w:tc>
          <w:tcPr>
            <w:tcW w:type="dxa" w:w="2232"/>
            <w:tcMar>
              <w:top w:w="65" w:type="dxa"/>
              <w:start w:w="85" w:type="dxa"/>
              <w:bottom w:w="65" w:type="dxa"/>
              <w:end w:w="85" w:type="dxa"/>
            </w:tcMar>
            <w:vAlign w:val="top"/>
          </w:tcPr>
          <w:p>
            <w:r>
              <w:rPr>
                <w:sz w:val="14"/>
              </w:rPr>
              <w:t>Audit evidence</w:t>
            </w:r>
          </w:p>
        </w:tc>
        <w:tc>
          <w:tcPr>
            <w:tcW w:type="dxa" w:w="2952"/>
            <w:tcMar>
              <w:top w:w="65" w:type="dxa"/>
              <w:start w:w="85" w:type="dxa"/>
              <w:bottom w:w="65" w:type="dxa"/>
              <w:end w:w="85" w:type="dxa"/>
            </w:tcMar>
            <w:vAlign w:val="top"/>
          </w:tcPr>
          <w:p>
            <w:r>
              <w:rPr>
                <w:sz w:val="14"/>
              </w:rPr>
              <w:t>Log Archive and Audit accounts</w:t>
            </w:r>
          </w:p>
        </w:tc>
        <w:tc>
          <w:tcPr>
            <w:tcW w:type="dxa" w:w="4824"/>
            <w:tcMar>
              <w:top w:w="65" w:type="dxa"/>
              <w:start w:w="85" w:type="dxa"/>
              <w:bottom w:w="65" w:type="dxa"/>
              <w:end w:w="85" w:type="dxa"/>
            </w:tcMar>
            <w:vAlign w:val="top"/>
          </w:tcPr>
          <w:p>
            <w:r>
              <w:rPr>
                <w:sz w:val="14"/>
              </w:rPr>
              <w:t>Protect organization-wide logs and security administration.</w:t>
            </w:r>
          </w:p>
        </w:tc>
      </w:tr>
      <w:tr>
        <w:trPr>
          <w:cantSplit/>
        </w:trPr>
        <w:tc>
          <w:tcPr>
            <w:tcW w:type="dxa" w:w="2232"/>
            <w:tcMar>
              <w:top w:w="65" w:type="dxa"/>
              <w:start w:w="85" w:type="dxa"/>
              <w:bottom w:w="65" w:type="dxa"/>
              <w:end w:w="85" w:type="dxa"/>
            </w:tcMar>
            <w:vAlign w:val="top"/>
          </w:tcPr>
          <w:p>
            <w:r>
              <w:rPr>
                <w:sz w:val="14"/>
              </w:rPr>
              <w:t>Inventory</w:t>
            </w:r>
          </w:p>
        </w:tc>
        <w:tc>
          <w:tcPr>
            <w:tcW w:type="dxa" w:w="2952"/>
            <w:tcMar>
              <w:top w:w="65" w:type="dxa"/>
              <w:start w:w="85" w:type="dxa"/>
              <w:bottom w:w="65" w:type="dxa"/>
              <w:end w:w="85" w:type="dxa"/>
            </w:tcMar>
            <w:vAlign w:val="top"/>
          </w:tcPr>
          <w:p>
            <w:r>
              <w:rPr>
                <w:sz w:val="14"/>
              </w:rPr>
              <w:t>AWS Config aggregator</w:t>
            </w:r>
          </w:p>
        </w:tc>
        <w:tc>
          <w:tcPr>
            <w:tcW w:type="dxa" w:w="4824"/>
            <w:tcMar>
              <w:top w:w="65" w:type="dxa"/>
              <w:start w:w="85" w:type="dxa"/>
              <w:bottom w:w="65" w:type="dxa"/>
              <w:end w:w="85" w:type="dxa"/>
            </w:tcMar>
            <w:vAlign w:val="top"/>
          </w:tcPr>
          <w:p>
            <w:r>
              <w:rPr>
                <w:sz w:val="14"/>
              </w:rPr>
              <w:t>Evaluate configuration across accounts and Regions.</w:t>
            </w:r>
          </w:p>
        </w:tc>
      </w:tr>
      <w:tr>
        <w:trPr>
          <w:cantSplit/>
        </w:trPr>
        <w:tc>
          <w:tcPr>
            <w:tcW w:type="dxa" w:w="2232"/>
            <w:tcMar>
              <w:top w:w="65" w:type="dxa"/>
              <w:start w:w="85" w:type="dxa"/>
              <w:bottom w:w="65" w:type="dxa"/>
              <w:end w:w="85" w:type="dxa"/>
            </w:tcMar>
            <w:vAlign w:val="top"/>
          </w:tcPr>
          <w:p>
            <w:r>
              <w:rPr>
                <w:sz w:val="14"/>
              </w:rPr>
              <w:t>Identity</w:t>
            </w:r>
          </w:p>
        </w:tc>
        <w:tc>
          <w:tcPr>
            <w:tcW w:type="dxa" w:w="2952"/>
            <w:tcMar>
              <w:top w:w="65" w:type="dxa"/>
              <w:start w:w="85" w:type="dxa"/>
              <w:bottom w:w="65" w:type="dxa"/>
              <w:end w:w="85" w:type="dxa"/>
            </w:tcMar>
            <w:vAlign w:val="top"/>
          </w:tcPr>
          <w:p>
            <w:r>
              <w:rPr>
                <w:sz w:val="14"/>
              </w:rPr>
              <w:t>IAM Identity Center</w:t>
            </w:r>
          </w:p>
        </w:tc>
        <w:tc>
          <w:tcPr>
            <w:tcW w:type="dxa" w:w="4824"/>
            <w:tcMar>
              <w:top w:w="65" w:type="dxa"/>
              <w:start w:w="85" w:type="dxa"/>
              <w:bottom w:w="65" w:type="dxa"/>
              <w:end w:w="85" w:type="dxa"/>
            </w:tcMar>
            <w:vAlign w:val="top"/>
          </w:tcPr>
          <w:p>
            <w:r>
              <w:rPr>
                <w:sz w:val="14"/>
              </w:rPr>
              <w:t>Federate workforce access into accounts and permission sets.</w:t>
            </w:r>
          </w:p>
        </w:tc>
      </w:tr>
    </w:tbl>
    <w:p>
      <w:pPr>
        <w:pStyle w:val="Heading2"/>
        <w:keepNext/>
      </w:pPr>
      <w:r>
        <w:t>Architecture and Operating Decisions</w:t>
      </w:r>
    </w:p>
    <w:p>
      <w:pPr>
        <w:pStyle w:val="ListBullet"/>
      </w:pPr>
      <w:r>
        <w:t>Use AWS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account factory and vending automation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organization:</w:t>
              <w:br/>
              <w:t xml:space="preserve">  roots: [enterprise]</w:t>
              <w:br/>
              <w:t xml:space="preserve">  ous: [security, infrastructure, workloads-prod, workloads-nonprod, sandbox]</w:t>
              <w:br/>
              <w:t xml:space="preserve">  shared_accounts: [management, log-archive, audit, network]</w:t>
              <w:br/>
              <w:t>account_vending:</w:t>
              <w:br/>
              <w:t xml:space="preserve">  required: [owner, cost_center, environment, data_classification, expiry]</w:t>
              <w:br/>
              <w:t xml:space="preserve">  baseline: [cloudtrail, config, guardrails, budgets, identity-center]</w:t>
              <w:br/>
              <w:t xml:space="preserve">  closure: [quarantine, export_evidence, remove_access, close_account]</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aws organizations, control tower and multi-account foundations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11: Design and Validate an AWS Multi-Account Landing Zone</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aws organizations, control tower and multi-account foundations using fictional enterprise requirements.</w:t>
      </w:r>
    </w:p>
    <w:p>
      <w:pPr>
        <w:ind w:left="360" w:hanging="360"/>
      </w:pPr>
      <w:r>
        <w:rPr>
          <w:b/>
        </w:rPr>
        <w:t xml:space="preserve">2. </w:t>
      </w:r>
      <w:r>
        <w:t>Implement the smallest safe sandbox using AWS Organizations / OUs, AWS Control Tower, Account Factory;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AWS Organizations, Control Tower and Multi-Account Foundations?</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AWS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AWS Organizations and organizational units defines a key architecture boundary.</w:t>
      </w:r>
    </w:p>
    <w:p>
      <w:pPr>
        <w:pStyle w:val="ListBullet"/>
      </w:pPr>
      <w:r>
        <w:t>AWS Control Tower landing-zone lifecycle must be automated and least-privileged.</w:t>
      </w:r>
    </w:p>
    <w:p>
      <w:pPr>
        <w:pStyle w:val="ListBullet"/>
      </w:pPr>
      <w:r>
        <w:t>Account Factory and vending automation requires policy, telemetry and recovery evidence.</w:t>
      </w:r>
    </w:p>
    <w:p>
      <w:pPr>
        <w:pStyle w:val="ListBullet"/>
      </w:pPr>
      <w:r>
        <w:t>Delegated administration and evidence accounts should be tested before production and after material change.</w:t>
      </w:r>
    </w:p>
    <w:p>
      <w:r>
        <w:br w:type="page"/>
      </w:r>
    </w:p>
    <w:p>
      <w:pPr>
        <w:jc w:val="center"/>
      </w:pPr>
      <w:r>
        <w:rPr>
          <w:b/>
          <w:color w:val="14919B"/>
          <w:sz w:val="17"/>
        </w:rPr>
        <w:t>VOLUME 12B  |  CHAPTER 12</w:t>
      </w:r>
    </w:p>
    <w:p>
      <w:pPr>
        <w:pStyle w:val="Heading1"/>
        <w:jc w:val="center"/>
      </w:pPr>
      <w:r>
        <w:t>Chapter 12: AWS Identity, Federation and Organization Guardrails</w:t>
      </w:r>
    </w:p>
    <w:p>
      <w:pPr>
        <w:jc w:val="center"/>
      </w:pPr>
      <w:r>
        <w:rPr>
          <w:i/>
          <w:color w:val="4B5563"/>
          <w:sz w:val="20"/>
        </w:rPr>
        <w:t>Controlling humans, workloads and accounts without permanent broad credentials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Identity is the highest-leverage AWS control. Federation, permission sets, SCPs, resource policies and workload roles must work together without treating any one mechanism as a complete authorization model.</w:t>
            </w:r>
          </w:p>
        </w:tc>
      </w:tr>
    </w:tbl>
    <w:p>
      <w:pPr>
        <w:spacing w:after="0"/>
      </w:pPr>
    </w:p>
    <w:p>
      <w:pPr>
        <w:pStyle w:val="Heading2"/>
        <w:keepNext/>
      </w:pPr>
      <w:r>
        <w:t>Learning Objectives</w:t>
      </w:r>
    </w:p>
    <w:p>
      <w:pPr>
        <w:pStyle w:val="ListBullet"/>
      </w:pPr>
      <w:r>
        <w:t>Explain the architecture, responsibility boundaries and major trade-offs of workforce federation with iam identity center.</w:t>
      </w:r>
    </w:p>
    <w:p>
      <w:pPr>
        <w:pStyle w:val="ListBullet"/>
      </w:pPr>
      <w:r>
        <w:t>Design iam roles, permission boundaries and session controls for enterprise scale, least privilege and bounded failure.</w:t>
      </w:r>
    </w:p>
    <w:p>
      <w:pPr>
        <w:pStyle w:val="ListBullet"/>
      </w:pPr>
      <w:r>
        <w:t>Implement service control policies and resource control through version-controlled automation and policy checks.</w:t>
      </w:r>
    </w:p>
    <w:p>
      <w:pPr>
        <w:pStyle w:val="ListBullet"/>
      </w:pPr>
      <w:r>
        <w:t>Troubleshoot workload identity for ec2, ecs, eks and ci/cd using provider-native telemetry and repeatable evidence.</w:t>
      </w:r>
    </w:p>
    <w:p>
      <w:pPr>
        <w:pStyle w:val="ListBullet"/>
      </w:pPr>
      <w:r>
        <w:t>Deliver a sanitized portfolio artifact for implement federated aws access and guardrail tests.</w:t>
      </w:r>
    </w:p>
    <w:p>
      <w:pPr>
        <w:pStyle w:val="Heading2"/>
        <w:keepNext/>
      </w:pPr>
      <w:r>
        <w:t>Core Concepts</w:t>
      </w:r>
    </w:p>
    <w:p>
      <w:pPr>
        <w:pStyle w:val="Heading3"/>
        <w:keepNext/>
      </w:pPr>
      <w:r>
        <w:t>Workforce federation with IAM Identity Center</w:t>
      </w:r>
    </w:p>
    <w:p>
      <w:pPr>
        <w:keepNext w:val="0"/>
      </w:pPr>
      <w:r>
        <w:t>Workforce federation with IAM Identity Center is a design boundary, not merely a console feature. In AWS Identity, Federation and Organization Guardrails, the team must document ownership, trust assumptions, dependency direction, failure impact and the evidence used to prove the control. The recommended implementation uses IAM Identity Center, IAM roles / IRSA / EKS Pod Identity, Service control policies, Permission boundaries only where they satisfy an explicit requirement; equivalent services are not automatically interchangeable.</w:t>
      </w:r>
    </w:p>
    <w:p>
      <w:pPr>
        <w:pStyle w:val="Heading3"/>
        <w:keepNext/>
      </w:pPr>
      <w:r>
        <w:t>IAM roles, permission boundaries and session controls</w:t>
      </w:r>
    </w:p>
    <w:p>
      <w:pPr>
        <w:keepNext w:val="0"/>
      </w:pPr>
      <w:r>
        <w:t>A production implementation of IAM roles, permission boundaries and session controls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Service control policies and resource control</w:t>
      </w:r>
    </w:p>
    <w:p>
      <w:pPr>
        <w:keepNext w:val="0"/>
      </w:pPr>
      <w:r>
        <w:t>For Service control policies and resource control,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Workload identity for EC2, ECS, EKS and CI/CD</w:t>
      </w:r>
    </w:p>
    <w:p>
      <w:pPr>
        <w:keepNext w:val="0"/>
      </w:pPr>
      <w:r>
        <w:t>The strongest validation for Workload identity for EC2, ECS, EKS and CI/CD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Workforce access</w:t>
            </w:r>
          </w:p>
        </w:tc>
        <w:tc>
          <w:tcPr>
            <w:tcW w:type="dxa" w:w="2952"/>
            <w:tcMar>
              <w:top w:w="65" w:type="dxa"/>
              <w:start w:w="85" w:type="dxa"/>
              <w:bottom w:w="65" w:type="dxa"/>
              <w:end w:w="85" w:type="dxa"/>
            </w:tcMar>
            <w:vAlign w:val="top"/>
          </w:tcPr>
          <w:p>
            <w:r>
              <w:rPr>
                <w:sz w:val="14"/>
              </w:rPr>
              <w:t>IAM Identity Center</w:t>
            </w:r>
          </w:p>
        </w:tc>
        <w:tc>
          <w:tcPr>
            <w:tcW w:type="dxa" w:w="4824"/>
            <w:tcMar>
              <w:top w:w="65" w:type="dxa"/>
              <w:start w:w="85" w:type="dxa"/>
              <w:bottom w:w="65" w:type="dxa"/>
              <w:end w:w="85" w:type="dxa"/>
            </w:tcMar>
            <w:vAlign w:val="top"/>
          </w:tcPr>
          <w:p>
            <w:r>
              <w:rPr>
                <w:sz w:val="14"/>
              </w:rPr>
              <w:t>Map enterprise groups to account permission sets.</w:t>
            </w:r>
          </w:p>
        </w:tc>
      </w:tr>
      <w:tr>
        <w:trPr>
          <w:cantSplit/>
        </w:trPr>
        <w:tc>
          <w:tcPr>
            <w:tcW w:type="dxa" w:w="2232"/>
            <w:tcMar>
              <w:top w:w="65" w:type="dxa"/>
              <w:start w:w="85" w:type="dxa"/>
              <w:bottom w:w="65" w:type="dxa"/>
              <w:end w:w="85" w:type="dxa"/>
            </w:tcMar>
            <w:vAlign w:val="top"/>
          </w:tcPr>
          <w:p>
            <w:r>
              <w:rPr>
                <w:sz w:val="14"/>
              </w:rPr>
              <w:t>Workload identity</w:t>
            </w:r>
          </w:p>
        </w:tc>
        <w:tc>
          <w:tcPr>
            <w:tcW w:type="dxa" w:w="2952"/>
            <w:tcMar>
              <w:top w:w="65" w:type="dxa"/>
              <w:start w:w="85" w:type="dxa"/>
              <w:bottom w:w="65" w:type="dxa"/>
              <w:end w:w="85" w:type="dxa"/>
            </w:tcMar>
            <w:vAlign w:val="top"/>
          </w:tcPr>
          <w:p>
            <w:r>
              <w:rPr>
                <w:sz w:val="14"/>
              </w:rPr>
              <w:t>IAM roles / IRSA / EKS Pod Identity</w:t>
            </w:r>
          </w:p>
        </w:tc>
        <w:tc>
          <w:tcPr>
            <w:tcW w:type="dxa" w:w="4824"/>
            <w:tcMar>
              <w:top w:w="65" w:type="dxa"/>
              <w:start w:w="85" w:type="dxa"/>
              <w:bottom w:w="65" w:type="dxa"/>
              <w:end w:w="85" w:type="dxa"/>
            </w:tcMar>
            <w:vAlign w:val="top"/>
          </w:tcPr>
          <w:p>
            <w:r>
              <w:rPr>
                <w:sz w:val="14"/>
              </w:rPr>
              <w:t>Issue short-lived credentials to software.</w:t>
            </w:r>
          </w:p>
        </w:tc>
      </w:tr>
      <w:tr>
        <w:trPr>
          <w:cantSplit/>
        </w:trPr>
        <w:tc>
          <w:tcPr>
            <w:tcW w:type="dxa" w:w="2232"/>
            <w:tcMar>
              <w:top w:w="65" w:type="dxa"/>
              <w:start w:w="85" w:type="dxa"/>
              <w:bottom w:w="65" w:type="dxa"/>
              <w:end w:w="85" w:type="dxa"/>
            </w:tcMar>
            <w:vAlign w:val="top"/>
          </w:tcPr>
          <w:p>
            <w:r>
              <w:rPr>
                <w:sz w:val="14"/>
              </w:rPr>
              <w:t>Organization guardrail</w:t>
            </w:r>
          </w:p>
        </w:tc>
        <w:tc>
          <w:tcPr>
            <w:tcW w:type="dxa" w:w="2952"/>
            <w:tcMar>
              <w:top w:w="65" w:type="dxa"/>
              <w:start w:w="85" w:type="dxa"/>
              <w:bottom w:w="65" w:type="dxa"/>
              <w:end w:w="85" w:type="dxa"/>
            </w:tcMar>
            <w:vAlign w:val="top"/>
          </w:tcPr>
          <w:p>
            <w:r>
              <w:rPr>
                <w:sz w:val="14"/>
              </w:rPr>
              <w:t>Service control policies</w:t>
            </w:r>
          </w:p>
        </w:tc>
        <w:tc>
          <w:tcPr>
            <w:tcW w:type="dxa" w:w="4824"/>
            <w:tcMar>
              <w:top w:w="65" w:type="dxa"/>
              <w:start w:w="85" w:type="dxa"/>
              <w:bottom w:w="65" w:type="dxa"/>
              <w:end w:w="85" w:type="dxa"/>
            </w:tcMar>
            <w:vAlign w:val="top"/>
          </w:tcPr>
          <w:p>
            <w:r>
              <w:rPr>
                <w:sz w:val="14"/>
              </w:rPr>
              <w:t>Limit maximum permissions across accounts.</w:t>
            </w:r>
          </w:p>
        </w:tc>
      </w:tr>
      <w:tr>
        <w:trPr>
          <w:cantSplit/>
        </w:trPr>
        <w:tc>
          <w:tcPr>
            <w:tcW w:type="dxa" w:w="2232"/>
            <w:tcMar>
              <w:top w:w="65" w:type="dxa"/>
              <w:start w:w="85" w:type="dxa"/>
              <w:bottom w:w="65" w:type="dxa"/>
              <w:end w:w="85" w:type="dxa"/>
            </w:tcMar>
            <w:vAlign w:val="top"/>
          </w:tcPr>
          <w:p>
            <w:r>
              <w:rPr>
                <w:sz w:val="14"/>
              </w:rPr>
              <w:t>Delegation guardrail</w:t>
            </w:r>
          </w:p>
        </w:tc>
        <w:tc>
          <w:tcPr>
            <w:tcW w:type="dxa" w:w="2952"/>
            <w:tcMar>
              <w:top w:w="65" w:type="dxa"/>
              <w:start w:w="85" w:type="dxa"/>
              <w:bottom w:w="65" w:type="dxa"/>
              <w:end w:w="85" w:type="dxa"/>
            </w:tcMar>
            <w:vAlign w:val="top"/>
          </w:tcPr>
          <w:p>
            <w:r>
              <w:rPr>
                <w:sz w:val="14"/>
              </w:rPr>
              <w:t>Permission boundaries</w:t>
            </w:r>
          </w:p>
        </w:tc>
        <w:tc>
          <w:tcPr>
            <w:tcW w:type="dxa" w:w="4824"/>
            <w:tcMar>
              <w:top w:w="65" w:type="dxa"/>
              <w:start w:w="85" w:type="dxa"/>
              <w:bottom w:w="65" w:type="dxa"/>
              <w:end w:w="85" w:type="dxa"/>
            </w:tcMar>
            <w:vAlign w:val="top"/>
          </w:tcPr>
          <w:p>
            <w:r>
              <w:rPr>
                <w:sz w:val="14"/>
              </w:rPr>
              <w:t>Constrain roles created by delegated teams.</w:t>
            </w:r>
          </w:p>
        </w:tc>
      </w:tr>
      <w:tr>
        <w:trPr>
          <w:cantSplit/>
        </w:trPr>
        <w:tc>
          <w:tcPr>
            <w:tcW w:type="dxa" w:w="2232"/>
            <w:tcMar>
              <w:top w:w="65" w:type="dxa"/>
              <w:start w:w="85" w:type="dxa"/>
              <w:bottom w:w="65" w:type="dxa"/>
              <w:end w:w="85" w:type="dxa"/>
            </w:tcMar>
            <w:vAlign w:val="top"/>
          </w:tcPr>
          <w:p>
            <w:r>
              <w:rPr>
                <w:sz w:val="14"/>
              </w:rPr>
              <w:t>Resource trust</w:t>
            </w:r>
          </w:p>
        </w:tc>
        <w:tc>
          <w:tcPr>
            <w:tcW w:type="dxa" w:w="2952"/>
            <w:tcMar>
              <w:top w:w="65" w:type="dxa"/>
              <w:start w:w="85" w:type="dxa"/>
              <w:bottom w:w="65" w:type="dxa"/>
              <w:end w:w="85" w:type="dxa"/>
            </w:tcMar>
            <w:vAlign w:val="top"/>
          </w:tcPr>
          <w:p>
            <w:r>
              <w:rPr>
                <w:sz w:val="14"/>
              </w:rPr>
              <w:t>Resource-based policies</w:t>
            </w:r>
          </w:p>
        </w:tc>
        <w:tc>
          <w:tcPr>
            <w:tcW w:type="dxa" w:w="4824"/>
            <w:tcMar>
              <w:top w:w="65" w:type="dxa"/>
              <w:start w:w="85" w:type="dxa"/>
              <w:bottom w:w="65" w:type="dxa"/>
              <w:end w:w="85" w:type="dxa"/>
            </w:tcMar>
            <w:vAlign w:val="top"/>
          </w:tcPr>
          <w:p>
            <w:r>
              <w:rPr>
                <w:sz w:val="14"/>
              </w:rPr>
              <w:t>Authorize cross-account use of selected resources.</w:t>
            </w:r>
          </w:p>
        </w:tc>
      </w:tr>
      <w:tr>
        <w:trPr>
          <w:cantSplit/>
        </w:trPr>
        <w:tc>
          <w:tcPr>
            <w:tcW w:type="dxa" w:w="2232"/>
            <w:tcMar>
              <w:top w:w="65" w:type="dxa"/>
              <w:start w:w="85" w:type="dxa"/>
              <w:bottom w:w="65" w:type="dxa"/>
              <w:end w:w="85" w:type="dxa"/>
            </w:tcMar>
            <w:vAlign w:val="top"/>
          </w:tcPr>
          <w:p>
            <w:r>
              <w:rPr>
                <w:sz w:val="14"/>
              </w:rPr>
              <w:t>Secrets</w:t>
            </w:r>
          </w:p>
        </w:tc>
        <w:tc>
          <w:tcPr>
            <w:tcW w:type="dxa" w:w="2952"/>
            <w:tcMar>
              <w:top w:w="65" w:type="dxa"/>
              <w:start w:w="85" w:type="dxa"/>
              <w:bottom w:w="65" w:type="dxa"/>
              <w:end w:w="85" w:type="dxa"/>
            </w:tcMar>
            <w:vAlign w:val="top"/>
          </w:tcPr>
          <w:p>
            <w:r>
              <w:rPr>
                <w:sz w:val="14"/>
              </w:rPr>
              <w:t>Secrets Manager / Parameter Store</w:t>
            </w:r>
          </w:p>
        </w:tc>
        <w:tc>
          <w:tcPr>
            <w:tcW w:type="dxa" w:w="4824"/>
            <w:tcMar>
              <w:top w:w="65" w:type="dxa"/>
              <w:start w:w="85" w:type="dxa"/>
              <w:bottom w:w="65" w:type="dxa"/>
              <w:end w:w="85" w:type="dxa"/>
            </w:tcMar>
            <w:vAlign w:val="top"/>
          </w:tcPr>
          <w:p>
            <w:r>
              <w:rPr>
                <w:sz w:val="14"/>
              </w:rPr>
              <w:t>Keep secret material out of code and pipelines.</w:t>
            </w:r>
          </w:p>
        </w:tc>
      </w:tr>
    </w:tbl>
    <w:p>
      <w:pPr>
        <w:pStyle w:val="Heading2"/>
        <w:keepNext/>
      </w:pPr>
      <w:r>
        <w:t>Architecture and Operating Decisions</w:t>
      </w:r>
    </w:p>
    <w:p>
      <w:pPr>
        <w:pStyle w:val="ListBullet"/>
      </w:pPr>
      <w:r>
        <w:t>Use AWS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service control policies and resource control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authorization_layers:</w:t>
              <w:br/>
              <w:t xml:space="preserve">  identity_policy: grants_requested_actions</w:t>
              <w:br/>
              <w:t xml:space="preserve">  permissions_boundary: caps_delegated_roles</w:t>
              <w:br/>
              <w:t xml:space="preserve">  scp: caps_account_permissions</w:t>
              <w:br/>
              <w:t xml:space="preserve">  resource_policy: grants_resource_trust</w:t>
              <w:br/>
              <w:t xml:space="preserve">  session_policy: reduces_temporary_session</w:t>
              <w:br/>
              <w:t>rules:</w:t>
              <w:br/>
              <w:t xml:space="preserve">  - no_long_lived_ci_keys</w:t>
              <w:br/>
              <w:t xml:space="preserve">  - mfa_for_privileged_humans</w:t>
              <w:br/>
              <w:t xml:space="preserve">  - break_glass_isolated_and_tested</w:t>
              <w:br/>
              <w:t xml:space="preserve">  - deny_unapproved_regions_with_exceptions</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aws identity, federation and organization guardrails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12: Implement Federated AWS Access and Guardrail Tests</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aws identity, federation and organization guardrails using fictional enterprise requirements.</w:t>
      </w:r>
    </w:p>
    <w:p>
      <w:pPr>
        <w:ind w:left="360" w:hanging="360"/>
      </w:pPr>
      <w:r>
        <w:rPr>
          <w:b/>
        </w:rPr>
        <w:t xml:space="preserve">2. </w:t>
      </w:r>
      <w:r>
        <w:t>Implement the smallest safe sandbox using IAM Identity Center, IAM roles / IRSA / EKS Pod Identity, Service control policies;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AWS Identity, Federation and Organization Guardrails?</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AWS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Workforce federation with IAM Identity Center defines a key architecture boundary.</w:t>
      </w:r>
    </w:p>
    <w:p>
      <w:pPr>
        <w:pStyle w:val="ListBullet"/>
      </w:pPr>
      <w:r>
        <w:t>IAM roles, permission boundaries and session controls must be automated and least-privileged.</w:t>
      </w:r>
    </w:p>
    <w:p>
      <w:pPr>
        <w:pStyle w:val="ListBullet"/>
      </w:pPr>
      <w:r>
        <w:t>Service control policies and resource control requires policy, telemetry and recovery evidence.</w:t>
      </w:r>
    </w:p>
    <w:p>
      <w:pPr>
        <w:pStyle w:val="ListBullet"/>
      </w:pPr>
      <w:r>
        <w:t>Workload identity for EC2, ECS, EKS and CI/CD should be tested before production and after material change.</w:t>
      </w:r>
    </w:p>
    <w:p>
      <w:r>
        <w:br w:type="page"/>
      </w:r>
    </w:p>
    <w:p>
      <w:pPr>
        <w:jc w:val="center"/>
      </w:pPr>
      <w:r>
        <w:rPr>
          <w:b/>
          <w:color w:val="14919B"/>
          <w:sz w:val="17"/>
        </w:rPr>
        <w:t>VOLUME 12B  |  CHAPTER 13</w:t>
      </w:r>
    </w:p>
    <w:p>
      <w:pPr>
        <w:pStyle w:val="Heading1"/>
        <w:jc w:val="center"/>
      </w:pPr>
      <w:r>
        <w:t>Chapter 13: AWS Networking, DNS and Hybrid Connectivity</w:t>
      </w:r>
    </w:p>
    <w:p>
      <w:pPr>
        <w:jc w:val="center"/>
      </w:pPr>
      <w:r>
        <w:rPr>
          <w:i/>
          <w:color w:val="4B5563"/>
          <w:sz w:val="20"/>
        </w:rPr>
        <w:t>Designing VPCs, transit, private services and predictable routing</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AWS network designs fail when CIDR, routes, DNS, inspection and ownership are decided independently. Enterprise connectivity requires an IP plan, explicit traffic flows and tested return paths.</w:t>
            </w:r>
          </w:p>
        </w:tc>
      </w:tr>
    </w:tbl>
    <w:p>
      <w:pPr>
        <w:spacing w:after="0"/>
      </w:pPr>
    </w:p>
    <w:p>
      <w:pPr>
        <w:pStyle w:val="Heading2"/>
        <w:keepNext/>
      </w:pPr>
      <w:r>
        <w:t>Learning Objectives</w:t>
      </w:r>
    </w:p>
    <w:p>
      <w:pPr>
        <w:pStyle w:val="ListBullet"/>
      </w:pPr>
      <w:r>
        <w:t>Explain the architecture, responsibility boundaries and major trade-offs of vpc segmentation and ip address management.</w:t>
      </w:r>
    </w:p>
    <w:p>
      <w:pPr>
        <w:pStyle w:val="ListBullet"/>
      </w:pPr>
      <w:r>
        <w:t>Design transit gateway and centralized inspection for enterprise scale, least privilege and bounded failure.</w:t>
      </w:r>
    </w:p>
    <w:p>
      <w:pPr>
        <w:pStyle w:val="ListBullet"/>
      </w:pPr>
      <w:r>
        <w:t>Implement direct connect, vpn and hybrid routing through version-controlled automation and policy checks.</w:t>
      </w:r>
    </w:p>
    <w:p>
      <w:pPr>
        <w:pStyle w:val="ListBullet"/>
      </w:pPr>
      <w:r>
        <w:t>Troubleshoot route 53, privatelink and controlled ingress/egress using provider-native telemetry and repeatable evidence.</w:t>
      </w:r>
    </w:p>
    <w:p>
      <w:pPr>
        <w:pStyle w:val="ListBullet"/>
      </w:pPr>
      <w:r>
        <w:t>Deliver a sanitized portfolio artifact for build an aws hub-and-spoke network with private service access.</w:t>
      </w:r>
    </w:p>
    <w:p>
      <w:pPr>
        <w:pStyle w:val="Heading2"/>
        <w:keepNext/>
      </w:pPr>
      <w:r>
        <w:t>Core Concepts</w:t>
      </w:r>
    </w:p>
    <w:p>
      <w:pPr>
        <w:pStyle w:val="Heading3"/>
        <w:keepNext/>
      </w:pPr>
      <w:r>
        <w:t>VPC segmentation and IP address management</w:t>
      </w:r>
    </w:p>
    <w:p>
      <w:pPr>
        <w:keepNext w:val="0"/>
      </w:pPr>
      <w:r>
        <w:t>VPC segmentation and IP address management is a design boundary, not merely a console feature. In AWS Networking, DNS and Hybrid Connectivity, the team must document ownership, trust assumptions, dependency direction, failure impact and the evidence used to prove the control. The recommended implementation uses Amazon VPC, VPC IPAM, AWS Transit Gateway, AWS PrivateLink only where they satisfy an explicit requirement; equivalent services are not automatically interchangeable.</w:t>
      </w:r>
    </w:p>
    <w:p>
      <w:pPr>
        <w:pStyle w:val="Heading3"/>
        <w:keepNext/>
      </w:pPr>
      <w:r>
        <w:t>Transit Gateway and centralized inspection</w:t>
      </w:r>
    </w:p>
    <w:p>
      <w:pPr>
        <w:keepNext w:val="0"/>
      </w:pPr>
      <w:r>
        <w:t>A production implementation of Transit Gateway and centralized inspection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Direct Connect, VPN and hybrid routing</w:t>
      </w:r>
    </w:p>
    <w:p>
      <w:pPr>
        <w:keepNext w:val="0"/>
      </w:pPr>
      <w:r>
        <w:t>For Direct Connect, VPN and hybrid routing,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Route 53, PrivateLink and controlled ingress/egress</w:t>
      </w:r>
    </w:p>
    <w:p>
      <w:pPr>
        <w:keepNext w:val="0"/>
      </w:pPr>
      <w:r>
        <w:t>The strongest validation for Route 53, PrivateLink and controlled ingress/egress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Network boundary</w:t>
            </w:r>
          </w:p>
        </w:tc>
        <w:tc>
          <w:tcPr>
            <w:tcW w:type="dxa" w:w="2952"/>
            <w:tcMar>
              <w:top w:w="65" w:type="dxa"/>
              <w:start w:w="85" w:type="dxa"/>
              <w:bottom w:w="65" w:type="dxa"/>
              <w:end w:w="85" w:type="dxa"/>
            </w:tcMar>
            <w:vAlign w:val="top"/>
          </w:tcPr>
          <w:p>
            <w:r>
              <w:rPr>
                <w:sz w:val="14"/>
              </w:rPr>
              <w:t>Amazon VPC</w:t>
            </w:r>
          </w:p>
        </w:tc>
        <w:tc>
          <w:tcPr>
            <w:tcW w:type="dxa" w:w="4824"/>
            <w:tcMar>
              <w:top w:w="65" w:type="dxa"/>
              <w:start w:w="85" w:type="dxa"/>
              <w:bottom w:w="65" w:type="dxa"/>
              <w:end w:w="85" w:type="dxa"/>
            </w:tcMar>
            <w:vAlign w:val="top"/>
          </w:tcPr>
          <w:p>
            <w:r>
              <w:rPr>
                <w:sz w:val="14"/>
              </w:rPr>
              <w:t>Isolate workload subnets, route tables and security controls.</w:t>
            </w:r>
          </w:p>
        </w:tc>
      </w:tr>
      <w:tr>
        <w:trPr>
          <w:cantSplit/>
        </w:trPr>
        <w:tc>
          <w:tcPr>
            <w:tcW w:type="dxa" w:w="2232"/>
            <w:tcMar>
              <w:top w:w="65" w:type="dxa"/>
              <w:start w:w="85" w:type="dxa"/>
              <w:bottom w:w="65" w:type="dxa"/>
              <w:end w:w="85" w:type="dxa"/>
            </w:tcMar>
            <w:vAlign w:val="top"/>
          </w:tcPr>
          <w:p>
            <w:r>
              <w:rPr>
                <w:sz w:val="14"/>
              </w:rPr>
              <w:t>IP governance</w:t>
            </w:r>
          </w:p>
        </w:tc>
        <w:tc>
          <w:tcPr>
            <w:tcW w:type="dxa" w:w="2952"/>
            <w:tcMar>
              <w:top w:w="65" w:type="dxa"/>
              <w:start w:w="85" w:type="dxa"/>
              <w:bottom w:w="65" w:type="dxa"/>
              <w:end w:w="85" w:type="dxa"/>
            </w:tcMar>
            <w:vAlign w:val="top"/>
          </w:tcPr>
          <w:p>
            <w:r>
              <w:rPr>
                <w:sz w:val="14"/>
              </w:rPr>
              <w:t>VPC IPAM</w:t>
            </w:r>
          </w:p>
        </w:tc>
        <w:tc>
          <w:tcPr>
            <w:tcW w:type="dxa" w:w="4824"/>
            <w:tcMar>
              <w:top w:w="65" w:type="dxa"/>
              <w:start w:w="85" w:type="dxa"/>
              <w:bottom w:w="65" w:type="dxa"/>
              <w:end w:w="85" w:type="dxa"/>
            </w:tcMar>
            <w:vAlign w:val="top"/>
          </w:tcPr>
          <w:p>
            <w:r>
              <w:rPr>
                <w:sz w:val="14"/>
              </w:rPr>
              <w:t>Allocate and audit address space across Regions and accounts.</w:t>
            </w:r>
          </w:p>
        </w:tc>
      </w:tr>
      <w:tr>
        <w:trPr>
          <w:cantSplit/>
        </w:trPr>
        <w:tc>
          <w:tcPr>
            <w:tcW w:type="dxa" w:w="2232"/>
            <w:tcMar>
              <w:top w:w="65" w:type="dxa"/>
              <w:start w:w="85" w:type="dxa"/>
              <w:bottom w:w="65" w:type="dxa"/>
              <w:end w:w="85" w:type="dxa"/>
            </w:tcMar>
            <w:vAlign w:val="top"/>
          </w:tcPr>
          <w:p>
            <w:r>
              <w:rPr>
                <w:sz w:val="14"/>
              </w:rPr>
              <w:t>Transit</w:t>
            </w:r>
          </w:p>
        </w:tc>
        <w:tc>
          <w:tcPr>
            <w:tcW w:type="dxa" w:w="2952"/>
            <w:tcMar>
              <w:top w:w="65" w:type="dxa"/>
              <w:start w:w="85" w:type="dxa"/>
              <w:bottom w:w="65" w:type="dxa"/>
              <w:end w:w="85" w:type="dxa"/>
            </w:tcMar>
            <w:vAlign w:val="top"/>
          </w:tcPr>
          <w:p>
            <w:r>
              <w:rPr>
                <w:sz w:val="14"/>
              </w:rPr>
              <w:t>AWS Transit Gateway</w:t>
            </w:r>
          </w:p>
        </w:tc>
        <w:tc>
          <w:tcPr>
            <w:tcW w:type="dxa" w:w="4824"/>
            <w:tcMar>
              <w:top w:w="65" w:type="dxa"/>
              <w:start w:w="85" w:type="dxa"/>
              <w:bottom w:w="65" w:type="dxa"/>
              <w:end w:w="85" w:type="dxa"/>
            </w:tcMar>
            <w:vAlign w:val="top"/>
          </w:tcPr>
          <w:p>
            <w:r>
              <w:rPr>
                <w:sz w:val="14"/>
              </w:rPr>
              <w:t>Connect VPCs, VPNs and Direct Connect through governed route domains.</w:t>
            </w:r>
          </w:p>
        </w:tc>
      </w:tr>
      <w:tr>
        <w:trPr>
          <w:cantSplit/>
        </w:trPr>
        <w:tc>
          <w:tcPr>
            <w:tcW w:type="dxa" w:w="2232"/>
            <w:tcMar>
              <w:top w:w="65" w:type="dxa"/>
              <w:start w:w="85" w:type="dxa"/>
              <w:bottom w:w="65" w:type="dxa"/>
              <w:end w:w="85" w:type="dxa"/>
            </w:tcMar>
            <w:vAlign w:val="top"/>
          </w:tcPr>
          <w:p>
            <w:r>
              <w:rPr>
                <w:sz w:val="14"/>
              </w:rPr>
              <w:t>Private service access</w:t>
            </w:r>
          </w:p>
        </w:tc>
        <w:tc>
          <w:tcPr>
            <w:tcW w:type="dxa" w:w="2952"/>
            <w:tcMar>
              <w:top w:w="65" w:type="dxa"/>
              <w:start w:w="85" w:type="dxa"/>
              <w:bottom w:w="65" w:type="dxa"/>
              <w:end w:w="85" w:type="dxa"/>
            </w:tcMar>
            <w:vAlign w:val="top"/>
          </w:tcPr>
          <w:p>
            <w:r>
              <w:rPr>
                <w:sz w:val="14"/>
              </w:rPr>
              <w:t>AWS PrivateLink</w:t>
            </w:r>
          </w:p>
        </w:tc>
        <w:tc>
          <w:tcPr>
            <w:tcW w:type="dxa" w:w="4824"/>
            <w:tcMar>
              <w:top w:w="65" w:type="dxa"/>
              <w:start w:w="85" w:type="dxa"/>
              <w:bottom w:w="65" w:type="dxa"/>
              <w:end w:w="85" w:type="dxa"/>
            </w:tcMar>
            <w:vAlign w:val="top"/>
          </w:tcPr>
          <w:p>
            <w:r>
              <w:rPr>
                <w:sz w:val="14"/>
              </w:rPr>
              <w:t>Expose services without public IPs or broad routing.</w:t>
            </w:r>
          </w:p>
        </w:tc>
      </w:tr>
      <w:tr>
        <w:trPr>
          <w:cantSplit/>
        </w:trPr>
        <w:tc>
          <w:tcPr>
            <w:tcW w:type="dxa" w:w="2232"/>
            <w:tcMar>
              <w:top w:w="65" w:type="dxa"/>
              <w:start w:w="85" w:type="dxa"/>
              <w:bottom w:w="65" w:type="dxa"/>
              <w:end w:w="85" w:type="dxa"/>
            </w:tcMar>
            <w:vAlign w:val="top"/>
          </w:tcPr>
          <w:p>
            <w:r>
              <w:rPr>
                <w:sz w:val="14"/>
              </w:rPr>
              <w:t>Hybrid link</w:t>
            </w:r>
          </w:p>
        </w:tc>
        <w:tc>
          <w:tcPr>
            <w:tcW w:type="dxa" w:w="2952"/>
            <w:tcMar>
              <w:top w:w="65" w:type="dxa"/>
              <w:start w:w="85" w:type="dxa"/>
              <w:bottom w:w="65" w:type="dxa"/>
              <w:end w:w="85" w:type="dxa"/>
            </w:tcMar>
            <w:vAlign w:val="top"/>
          </w:tcPr>
          <w:p>
            <w:r>
              <w:rPr>
                <w:sz w:val="14"/>
              </w:rPr>
              <w:t>Direct Connect / Site-to-Site VPN</w:t>
            </w:r>
          </w:p>
        </w:tc>
        <w:tc>
          <w:tcPr>
            <w:tcW w:type="dxa" w:w="4824"/>
            <w:tcMar>
              <w:top w:w="65" w:type="dxa"/>
              <w:start w:w="85" w:type="dxa"/>
              <w:bottom w:w="65" w:type="dxa"/>
              <w:end w:w="85" w:type="dxa"/>
            </w:tcMar>
            <w:vAlign w:val="top"/>
          </w:tcPr>
          <w:p>
            <w:r>
              <w:rPr>
                <w:sz w:val="14"/>
              </w:rPr>
              <w:t>Provide resilient private connectivity to on-premises.</w:t>
            </w:r>
          </w:p>
        </w:tc>
      </w:tr>
      <w:tr>
        <w:trPr>
          <w:cantSplit/>
        </w:trPr>
        <w:tc>
          <w:tcPr>
            <w:tcW w:type="dxa" w:w="2232"/>
            <w:tcMar>
              <w:top w:w="65" w:type="dxa"/>
              <w:start w:w="85" w:type="dxa"/>
              <w:bottom w:w="65" w:type="dxa"/>
              <w:end w:w="85" w:type="dxa"/>
            </w:tcMar>
            <w:vAlign w:val="top"/>
          </w:tcPr>
          <w:p>
            <w:r>
              <w:rPr>
                <w:sz w:val="14"/>
              </w:rPr>
              <w:t>DNS</w:t>
            </w:r>
          </w:p>
        </w:tc>
        <w:tc>
          <w:tcPr>
            <w:tcW w:type="dxa" w:w="2952"/>
            <w:tcMar>
              <w:top w:w="65" w:type="dxa"/>
              <w:start w:w="85" w:type="dxa"/>
              <w:bottom w:w="65" w:type="dxa"/>
              <w:end w:w="85" w:type="dxa"/>
            </w:tcMar>
            <w:vAlign w:val="top"/>
          </w:tcPr>
          <w:p>
            <w:r>
              <w:rPr>
                <w:sz w:val="14"/>
              </w:rPr>
              <w:t>Route 53 / Resolver</w:t>
            </w:r>
          </w:p>
        </w:tc>
        <w:tc>
          <w:tcPr>
            <w:tcW w:type="dxa" w:w="4824"/>
            <w:tcMar>
              <w:top w:w="65" w:type="dxa"/>
              <w:start w:w="85" w:type="dxa"/>
              <w:bottom w:w="65" w:type="dxa"/>
              <w:end w:w="85" w:type="dxa"/>
            </w:tcMar>
            <w:vAlign w:val="top"/>
          </w:tcPr>
          <w:p>
            <w:r>
              <w:rPr>
                <w:sz w:val="14"/>
              </w:rPr>
              <w:t>Operate public, private and hybrid name resolution.</w:t>
            </w:r>
          </w:p>
        </w:tc>
      </w:tr>
    </w:tbl>
    <w:p>
      <w:pPr>
        <w:pStyle w:val="Heading2"/>
        <w:keepNext/>
      </w:pPr>
      <w:r>
        <w:t>Architecture and Operating Decisions</w:t>
      </w:r>
    </w:p>
    <w:p>
      <w:pPr>
        <w:pStyle w:val="ListBullet"/>
      </w:pPr>
      <w:r>
        <w:t>Use AWS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direct connect, vpn and hybrid routing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network_standard:</w:t>
              <w:br/>
              <w:t xml:space="preserve">  cidr_source: central_ipam</w:t>
              <w:br/>
              <w:t xml:space="preserve">  topology: regional_transit_gateway</w:t>
              <w:br/>
              <w:t xml:space="preserve">  inspection: dedicated_network_account</w:t>
              <w:br/>
              <w:t xml:space="preserve">  egress: centralized_with_documented_exceptions</w:t>
              <w:br/>
              <w:t xml:space="preserve">  dns: route53_resolver_inbound_outbound</w:t>
              <w:br/>
              <w:t xml:space="preserve">  hybrid: dual_direct_connect_plus_vpn_backup</w:t>
              <w:br/>
              <w:t>validation:</w:t>
              <w:br/>
              <w:t xml:space="preserve">  - reachability_analyzer</w:t>
              <w:br/>
              <w:t xml:space="preserve">  - flow_logs</w:t>
              <w:br/>
              <w:t xml:space="preserve">  - dns_query_logging</w:t>
              <w:br/>
              <w:t xml:space="preserve">  - asymmetric_route_test</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aws networking, dns and hybrid connectivity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13: Build an AWS Hub-and-Spoke Network with Private Service Access</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aws networking, dns and hybrid connectivity using fictional enterprise requirements.</w:t>
      </w:r>
    </w:p>
    <w:p>
      <w:pPr>
        <w:ind w:left="360" w:hanging="360"/>
      </w:pPr>
      <w:r>
        <w:rPr>
          <w:b/>
        </w:rPr>
        <w:t xml:space="preserve">2. </w:t>
      </w:r>
      <w:r>
        <w:t>Implement the smallest safe sandbox using Amazon VPC, VPC IPAM, AWS Transit Gateway;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AWS Networking, DNS and Hybrid Connectivity?</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AWS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VPC segmentation and IP address management defines a key architecture boundary.</w:t>
      </w:r>
    </w:p>
    <w:p>
      <w:pPr>
        <w:pStyle w:val="ListBullet"/>
      </w:pPr>
      <w:r>
        <w:t>Transit Gateway and centralized inspection must be automated and least-privileged.</w:t>
      </w:r>
    </w:p>
    <w:p>
      <w:pPr>
        <w:pStyle w:val="ListBullet"/>
      </w:pPr>
      <w:r>
        <w:t>Direct Connect, VPN and hybrid routing requires policy, telemetry and recovery evidence.</w:t>
      </w:r>
    </w:p>
    <w:p>
      <w:pPr>
        <w:pStyle w:val="ListBullet"/>
      </w:pPr>
      <w:r>
        <w:t>Route 53, PrivateLink and controlled ingress/egress should be tested before production and after material change.</w:t>
      </w:r>
    </w:p>
    <w:p>
      <w:r>
        <w:br w:type="page"/>
      </w:r>
    </w:p>
    <w:p>
      <w:pPr>
        <w:jc w:val="center"/>
      </w:pPr>
      <w:r>
        <w:rPr>
          <w:b/>
          <w:color w:val="14919B"/>
          <w:sz w:val="17"/>
        </w:rPr>
        <w:t>VOLUME 12B  |  CHAPTER 14</w:t>
      </w:r>
    </w:p>
    <w:p>
      <w:pPr>
        <w:pStyle w:val="Heading1"/>
        <w:jc w:val="center"/>
      </w:pPr>
      <w:r>
        <w:t>Chapter 14: AWS Compute, Containers and Serverless Architecture</w:t>
      </w:r>
    </w:p>
    <w:p>
      <w:pPr>
        <w:jc w:val="center"/>
      </w:pPr>
      <w:r>
        <w:rPr>
          <w:i/>
          <w:color w:val="4B5563"/>
          <w:sz w:val="20"/>
        </w:rPr>
        <w:t>Selecting EC2, ECS, EKS, Lambda and managed application platforms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Compute selection determines operational load, scaling behavior, deployment speed and failure modes. The correct service depends on workload constraints, not on a universal modernization slogan.</w:t>
            </w:r>
          </w:p>
        </w:tc>
      </w:tr>
    </w:tbl>
    <w:p>
      <w:pPr>
        <w:spacing w:after="0"/>
      </w:pPr>
    </w:p>
    <w:p>
      <w:pPr>
        <w:pStyle w:val="Heading2"/>
        <w:keepNext/>
      </w:pPr>
      <w:r>
        <w:t>Learning Objectives</w:t>
      </w:r>
    </w:p>
    <w:p>
      <w:pPr>
        <w:pStyle w:val="ListBullet"/>
      </w:pPr>
      <w:r>
        <w:t>Explain the architecture, responsibility boundaries and major trade-offs of ec2 and auto scaling operating model.</w:t>
      </w:r>
    </w:p>
    <w:p>
      <w:pPr>
        <w:pStyle w:val="ListBullet"/>
      </w:pPr>
      <w:r>
        <w:t>Design ecs and eks container platforms for enterprise scale, least privilege and bounded failure.</w:t>
      </w:r>
    </w:p>
    <w:p>
      <w:pPr>
        <w:pStyle w:val="ListBullet"/>
      </w:pPr>
      <w:r>
        <w:t>Implement lambda event-driven and serverless limits through version-controlled automation and policy checks.</w:t>
      </w:r>
    </w:p>
    <w:p>
      <w:pPr>
        <w:pStyle w:val="ListBullet"/>
      </w:pPr>
      <w:r>
        <w:t>Troubleshoot deployment, autoscaling and workload isolation using provider-native telemetry and repeatable evidence.</w:t>
      </w:r>
    </w:p>
    <w:p>
      <w:pPr>
        <w:pStyle w:val="ListBullet"/>
      </w:pPr>
      <w:r>
        <w:t>Deliver a sanitized portfolio artifact for deploy one workload across ec2, ecs or eks and compare trade-offs.</w:t>
      </w:r>
    </w:p>
    <w:p>
      <w:pPr>
        <w:pStyle w:val="Heading2"/>
        <w:keepNext/>
      </w:pPr>
      <w:r>
        <w:t>Core Concepts</w:t>
      </w:r>
    </w:p>
    <w:p>
      <w:pPr>
        <w:pStyle w:val="Heading3"/>
        <w:keepNext/>
      </w:pPr>
      <w:r>
        <w:t>EC2 and Auto Scaling operating model</w:t>
      </w:r>
    </w:p>
    <w:p>
      <w:pPr>
        <w:keepNext w:val="0"/>
      </w:pPr>
      <w:r>
        <w:t>EC2 and Auto Scaling operating model is a design boundary, not merely a console feature. In AWS Compute, Containers and Serverless Architecture, the team must document ownership, trust assumptions, dependency direction, failure impact and the evidence used to prove the control. The recommended implementation uses EC2 / Auto Scaling, Amazon ECS, Amazon EKS, AWS Lambda only where they satisfy an explicit requirement; equivalent services are not automatically interchangeable.</w:t>
      </w:r>
    </w:p>
    <w:p>
      <w:pPr>
        <w:pStyle w:val="Heading3"/>
        <w:keepNext/>
      </w:pPr>
      <w:r>
        <w:t>ECS and EKS container platforms</w:t>
      </w:r>
    </w:p>
    <w:p>
      <w:pPr>
        <w:keepNext w:val="0"/>
      </w:pPr>
      <w:r>
        <w:t>A production implementation of ECS and EKS container platforms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Lambda event-driven and serverless limits</w:t>
      </w:r>
    </w:p>
    <w:p>
      <w:pPr>
        <w:keepNext w:val="0"/>
      </w:pPr>
      <w:r>
        <w:t>For Lambda event-driven and serverless limits,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Deployment, autoscaling and workload isolation</w:t>
      </w:r>
    </w:p>
    <w:p>
      <w:pPr>
        <w:keepNext w:val="0"/>
      </w:pPr>
      <w:r>
        <w:t>The strongest validation for Deployment, autoscaling and workload isolation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Virtual machines</w:t>
            </w:r>
          </w:p>
        </w:tc>
        <w:tc>
          <w:tcPr>
            <w:tcW w:type="dxa" w:w="2952"/>
            <w:tcMar>
              <w:top w:w="65" w:type="dxa"/>
              <w:start w:w="85" w:type="dxa"/>
              <w:bottom w:w="65" w:type="dxa"/>
              <w:end w:w="85" w:type="dxa"/>
            </w:tcMar>
            <w:vAlign w:val="top"/>
          </w:tcPr>
          <w:p>
            <w:r>
              <w:rPr>
                <w:sz w:val="14"/>
              </w:rPr>
              <w:t>EC2 / Auto Scaling</w:t>
            </w:r>
          </w:p>
        </w:tc>
        <w:tc>
          <w:tcPr>
            <w:tcW w:type="dxa" w:w="4824"/>
            <w:tcMar>
              <w:top w:w="65" w:type="dxa"/>
              <w:start w:w="85" w:type="dxa"/>
              <w:bottom w:w="65" w:type="dxa"/>
              <w:end w:w="85" w:type="dxa"/>
            </w:tcMar>
            <w:vAlign w:val="top"/>
          </w:tcPr>
          <w:p>
            <w:r>
              <w:rPr>
                <w:sz w:val="14"/>
              </w:rPr>
              <w:t>Run customizable or legacy workloads with controlled images.</w:t>
            </w:r>
          </w:p>
        </w:tc>
      </w:tr>
      <w:tr>
        <w:trPr>
          <w:cantSplit/>
        </w:trPr>
        <w:tc>
          <w:tcPr>
            <w:tcW w:type="dxa" w:w="2232"/>
            <w:tcMar>
              <w:top w:w="65" w:type="dxa"/>
              <w:start w:w="85" w:type="dxa"/>
              <w:bottom w:w="65" w:type="dxa"/>
              <w:end w:w="85" w:type="dxa"/>
            </w:tcMar>
            <w:vAlign w:val="top"/>
          </w:tcPr>
          <w:p>
            <w:r>
              <w:rPr>
                <w:sz w:val="14"/>
              </w:rPr>
              <w:t>Managed containers</w:t>
            </w:r>
          </w:p>
        </w:tc>
        <w:tc>
          <w:tcPr>
            <w:tcW w:type="dxa" w:w="2952"/>
            <w:tcMar>
              <w:top w:w="65" w:type="dxa"/>
              <w:start w:w="85" w:type="dxa"/>
              <w:bottom w:w="65" w:type="dxa"/>
              <w:end w:w="85" w:type="dxa"/>
            </w:tcMar>
            <w:vAlign w:val="top"/>
          </w:tcPr>
          <w:p>
            <w:r>
              <w:rPr>
                <w:sz w:val="14"/>
              </w:rPr>
              <w:t>Amazon ECS</w:t>
            </w:r>
          </w:p>
        </w:tc>
        <w:tc>
          <w:tcPr>
            <w:tcW w:type="dxa" w:w="4824"/>
            <w:tcMar>
              <w:top w:w="65" w:type="dxa"/>
              <w:start w:w="85" w:type="dxa"/>
              <w:bottom w:w="65" w:type="dxa"/>
              <w:end w:w="85" w:type="dxa"/>
            </w:tcMar>
            <w:vAlign w:val="top"/>
          </w:tcPr>
          <w:p>
            <w:r>
              <w:rPr>
                <w:sz w:val="14"/>
              </w:rPr>
              <w:t>Operate containers with lower control-plane overhead.</w:t>
            </w:r>
          </w:p>
        </w:tc>
      </w:tr>
      <w:tr>
        <w:trPr>
          <w:cantSplit/>
        </w:trPr>
        <w:tc>
          <w:tcPr>
            <w:tcW w:type="dxa" w:w="2232"/>
            <w:tcMar>
              <w:top w:w="65" w:type="dxa"/>
              <w:start w:w="85" w:type="dxa"/>
              <w:bottom w:w="65" w:type="dxa"/>
              <w:end w:w="85" w:type="dxa"/>
            </w:tcMar>
            <w:vAlign w:val="top"/>
          </w:tcPr>
          <w:p>
            <w:r>
              <w:rPr>
                <w:sz w:val="14"/>
              </w:rPr>
              <w:t>Kubernetes</w:t>
            </w:r>
          </w:p>
        </w:tc>
        <w:tc>
          <w:tcPr>
            <w:tcW w:type="dxa" w:w="2952"/>
            <w:tcMar>
              <w:top w:w="65" w:type="dxa"/>
              <w:start w:w="85" w:type="dxa"/>
              <w:bottom w:w="65" w:type="dxa"/>
              <w:end w:w="85" w:type="dxa"/>
            </w:tcMar>
            <w:vAlign w:val="top"/>
          </w:tcPr>
          <w:p>
            <w:r>
              <w:rPr>
                <w:sz w:val="14"/>
              </w:rPr>
              <w:t>Amazon EKS</w:t>
            </w:r>
          </w:p>
        </w:tc>
        <w:tc>
          <w:tcPr>
            <w:tcW w:type="dxa" w:w="4824"/>
            <w:tcMar>
              <w:top w:w="65" w:type="dxa"/>
              <w:start w:w="85" w:type="dxa"/>
              <w:bottom w:w="65" w:type="dxa"/>
              <w:end w:w="85" w:type="dxa"/>
            </w:tcMar>
            <w:vAlign w:val="top"/>
          </w:tcPr>
          <w:p>
            <w:r>
              <w:rPr>
                <w:sz w:val="14"/>
              </w:rPr>
              <w:t>Use Kubernetes APIs, ecosystem and workload portability.</w:t>
            </w:r>
          </w:p>
        </w:tc>
      </w:tr>
      <w:tr>
        <w:trPr>
          <w:cantSplit/>
        </w:trPr>
        <w:tc>
          <w:tcPr>
            <w:tcW w:type="dxa" w:w="2232"/>
            <w:tcMar>
              <w:top w:w="65" w:type="dxa"/>
              <w:start w:w="85" w:type="dxa"/>
              <w:bottom w:w="65" w:type="dxa"/>
              <w:end w:w="85" w:type="dxa"/>
            </w:tcMar>
            <w:vAlign w:val="top"/>
          </w:tcPr>
          <w:p>
            <w:r>
              <w:rPr>
                <w:sz w:val="14"/>
              </w:rPr>
              <w:t>Functions</w:t>
            </w:r>
          </w:p>
        </w:tc>
        <w:tc>
          <w:tcPr>
            <w:tcW w:type="dxa" w:w="2952"/>
            <w:tcMar>
              <w:top w:w="65" w:type="dxa"/>
              <w:start w:w="85" w:type="dxa"/>
              <w:bottom w:w="65" w:type="dxa"/>
              <w:end w:w="85" w:type="dxa"/>
            </w:tcMar>
            <w:vAlign w:val="top"/>
          </w:tcPr>
          <w:p>
            <w:r>
              <w:rPr>
                <w:sz w:val="14"/>
              </w:rPr>
              <w:t>AWS Lambda</w:t>
            </w:r>
          </w:p>
        </w:tc>
        <w:tc>
          <w:tcPr>
            <w:tcW w:type="dxa" w:w="4824"/>
            <w:tcMar>
              <w:top w:w="65" w:type="dxa"/>
              <w:start w:w="85" w:type="dxa"/>
              <w:bottom w:w="65" w:type="dxa"/>
              <w:end w:w="85" w:type="dxa"/>
            </w:tcMar>
            <w:vAlign w:val="top"/>
          </w:tcPr>
          <w:p>
            <w:r>
              <w:rPr>
                <w:sz w:val="14"/>
              </w:rPr>
              <w:t>Run event-driven, short-duration stateless code.</w:t>
            </w:r>
          </w:p>
        </w:tc>
      </w:tr>
      <w:tr>
        <w:trPr>
          <w:cantSplit/>
        </w:trPr>
        <w:tc>
          <w:tcPr>
            <w:tcW w:type="dxa" w:w="2232"/>
            <w:tcMar>
              <w:top w:w="65" w:type="dxa"/>
              <w:start w:w="85" w:type="dxa"/>
              <w:bottom w:w="65" w:type="dxa"/>
              <w:end w:w="85" w:type="dxa"/>
            </w:tcMar>
            <w:vAlign w:val="top"/>
          </w:tcPr>
          <w:p>
            <w:r>
              <w:rPr>
                <w:sz w:val="14"/>
              </w:rPr>
              <w:t>Application platform</w:t>
            </w:r>
          </w:p>
        </w:tc>
        <w:tc>
          <w:tcPr>
            <w:tcW w:type="dxa" w:w="2952"/>
            <w:tcMar>
              <w:top w:w="65" w:type="dxa"/>
              <w:start w:w="85" w:type="dxa"/>
              <w:bottom w:w="65" w:type="dxa"/>
              <w:end w:w="85" w:type="dxa"/>
            </w:tcMar>
            <w:vAlign w:val="top"/>
          </w:tcPr>
          <w:p>
            <w:r>
              <w:rPr>
                <w:sz w:val="14"/>
              </w:rPr>
              <w:t>App Runner / Elastic Beanstalk</w:t>
            </w:r>
          </w:p>
        </w:tc>
        <w:tc>
          <w:tcPr>
            <w:tcW w:type="dxa" w:w="4824"/>
            <w:tcMar>
              <w:top w:w="65" w:type="dxa"/>
              <w:start w:w="85" w:type="dxa"/>
              <w:bottom w:w="65" w:type="dxa"/>
              <w:end w:w="85" w:type="dxa"/>
            </w:tcMar>
            <w:vAlign w:val="top"/>
          </w:tcPr>
          <w:p>
            <w:r>
              <w:rPr>
                <w:sz w:val="14"/>
              </w:rPr>
              <w:t>Deploy web services with managed platform operations.</w:t>
            </w:r>
          </w:p>
        </w:tc>
      </w:tr>
      <w:tr>
        <w:trPr>
          <w:cantSplit/>
        </w:trPr>
        <w:tc>
          <w:tcPr>
            <w:tcW w:type="dxa" w:w="2232"/>
            <w:tcMar>
              <w:top w:w="65" w:type="dxa"/>
              <w:start w:w="85" w:type="dxa"/>
              <w:bottom w:w="65" w:type="dxa"/>
              <w:end w:w="85" w:type="dxa"/>
            </w:tcMar>
            <w:vAlign w:val="top"/>
          </w:tcPr>
          <w:p>
            <w:r>
              <w:rPr>
                <w:sz w:val="14"/>
              </w:rPr>
              <w:t>Images</w:t>
            </w:r>
          </w:p>
        </w:tc>
        <w:tc>
          <w:tcPr>
            <w:tcW w:type="dxa" w:w="2952"/>
            <w:tcMar>
              <w:top w:w="65" w:type="dxa"/>
              <w:start w:w="85" w:type="dxa"/>
              <w:bottom w:w="65" w:type="dxa"/>
              <w:end w:w="85" w:type="dxa"/>
            </w:tcMar>
            <w:vAlign w:val="top"/>
          </w:tcPr>
          <w:p>
            <w:r>
              <w:rPr>
                <w:sz w:val="14"/>
              </w:rPr>
              <w:t>EC2 Image Builder / ECR</w:t>
            </w:r>
          </w:p>
        </w:tc>
        <w:tc>
          <w:tcPr>
            <w:tcW w:type="dxa" w:w="4824"/>
            <w:tcMar>
              <w:top w:w="65" w:type="dxa"/>
              <w:start w:w="85" w:type="dxa"/>
              <w:bottom w:w="65" w:type="dxa"/>
              <w:end w:w="85" w:type="dxa"/>
            </w:tcMar>
            <w:vAlign w:val="top"/>
          </w:tcPr>
          <w:p>
            <w:r>
              <w:rPr>
                <w:sz w:val="14"/>
              </w:rPr>
              <w:t>Build signed, scanned machine and container artifacts.</w:t>
            </w:r>
          </w:p>
        </w:tc>
      </w:tr>
    </w:tbl>
    <w:p>
      <w:pPr>
        <w:pStyle w:val="Heading2"/>
        <w:keepNext/>
      </w:pPr>
      <w:r>
        <w:t>Architecture and Operating Decisions</w:t>
      </w:r>
    </w:p>
    <w:p>
      <w:pPr>
        <w:pStyle w:val="ListBullet"/>
      </w:pPr>
      <w:r>
        <w:t>Use AWS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lambda event-driven and serverless limits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placement:</w:t>
              <w:br/>
              <w:t xml:space="preserve">  legacy_stateful: ec2_auto_scaling</w:t>
              <w:br/>
              <w:t xml:space="preserve">  simple_containers: ecs_fargate</w:t>
              <w:br/>
              <w:t xml:space="preserve">  kubernetes_ecosystem: eks</w:t>
              <w:br/>
              <w:t xml:space="preserve">  event_handlers: lambda</w:t>
              <w:br/>
              <w:t>controls:</w:t>
              <w:br/>
              <w:t xml:space="preserve">  - immutable_images</w:t>
              <w:br/>
              <w:t xml:space="preserve">  - multi_az_capacity</w:t>
              <w:br/>
              <w:t xml:space="preserve">  - workload_identity</w:t>
              <w:br/>
              <w:t xml:space="preserve">  - autoscaling_with_load_test</w:t>
              <w:br/>
              <w:t xml:space="preserve">  - deployment_rollback_alarm</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aws compute, containers and serverless architecture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14: Deploy One Workload Across EC2, ECS or EKS and Compare Trade-offs</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aws compute, containers and serverless architecture using fictional enterprise requirements.</w:t>
      </w:r>
    </w:p>
    <w:p>
      <w:pPr>
        <w:ind w:left="360" w:hanging="360"/>
      </w:pPr>
      <w:r>
        <w:rPr>
          <w:b/>
        </w:rPr>
        <w:t xml:space="preserve">2. </w:t>
      </w:r>
      <w:r>
        <w:t>Implement the smallest safe sandbox using EC2 / Auto Scaling, Amazon ECS, Amazon EKS;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AWS Compute, Containers and Serverless Architecture?</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AWS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EC2 and Auto Scaling operating model defines a key architecture boundary.</w:t>
      </w:r>
    </w:p>
    <w:p>
      <w:pPr>
        <w:pStyle w:val="ListBullet"/>
      </w:pPr>
      <w:r>
        <w:t>ECS and EKS container platforms must be automated and least-privileged.</w:t>
      </w:r>
    </w:p>
    <w:p>
      <w:pPr>
        <w:pStyle w:val="ListBullet"/>
      </w:pPr>
      <w:r>
        <w:t>Lambda event-driven and serverless limits requires policy, telemetry and recovery evidence.</w:t>
      </w:r>
    </w:p>
    <w:p>
      <w:pPr>
        <w:pStyle w:val="ListBullet"/>
      </w:pPr>
      <w:r>
        <w:t>Deployment, autoscaling and workload isolation should be tested before production and after material change.</w:t>
      </w:r>
    </w:p>
    <w:p>
      <w:r>
        <w:br w:type="page"/>
      </w:r>
    </w:p>
    <w:p>
      <w:pPr>
        <w:jc w:val="center"/>
      </w:pPr>
      <w:r>
        <w:rPr>
          <w:b/>
          <w:color w:val="14919B"/>
          <w:sz w:val="17"/>
        </w:rPr>
        <w:t>VOLUME 12B  |  CHAPTER 15</w:t>
      </w:r>
    </w:p>
    <w:p>
      <w:pPr>
        <w:pStyle w:val="Heading1"/>
        <w:jc w:val="center"/>
      </w:pPr>
      <w:r>
        <w:t>Chapter 15: AWS Storage, Databases and Data Protection</w:t>
      </w:r>
    </w:p>
    <w:p>
      <w:pPr>
        <w:jc w:val="center"/>
      </w:pPr>
      <w:r>
        <w:rPr>
          <w:i/>
          <w:color w:val="4B5563"/>
          <w:sz w:val="20"/>
        </w:rPr>
        <w:t>Matching durability, consistency, throughput and recovery requirements</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Data services often dominate migration risk and recovery time. Service choice must include access pattern, consistency, encryption, backup, restore, regional behavior and exit strategy.</w:t>
            </w:r>
          </w:p>
        </w:tc>
      </w:tr>
    </w:tbl>
    <w:p>
      <w:pPr>
        <w:spacing w:after="0"/>
      </w:pPr>
    </w:p>
    <w:p>
      <w:pPr>
        <w:pStyle w:val="Heading2"/>
        <w:keepNext/>
      </w:pPr>
      <w:r>
        <w:t>Learning Objectives</w:t>
      </w:r>
    </w:p>
    <w:p>
      <w:pPr>
        <w:pStyle w:val="ListBullet"/>
      </w:pPr>
      <w:r>
        <w:t>Explain the architecture, responsibility boundaries and major trade-offs of object, block and file storage selection.</w:t>
      </w:r>
    </w:p>
    <w:p>
      <w:pPr>
        <w:pStyle w:val="ListBullet"/>
      </w:pPr>
      <w:r>
        <w:t>Design relational and nosql database architecture for enterprise scale, least privilege and bounded failure.</w:t>
      </w:r>
    </w:p>
    <w:p>
      <w:pPr>
        <w:pStyle w:val="ListBullet"/>
      </w:pPr>
      <w:r>
        <w:t>Implement backup, replication and retention controls through version-controlled automation and policy checks.</w:t>
      </w:r>
    </w:p>
    <w:p>
      <w:pPr>
        <w:pStyle w:val="ListBullet"/>
      </w:pPr>
      <w:r>
        <w:t>Troubleshoot data lifecycle, classification and recovery testing using provider-native telemetry and repeatable evidence.</w:t>
      </w:r>
    </w:p>
    <w:p>
      <w:pPr>
        <w:pStyle w:val="ListBullet"/>
      </w:pPr>
      <w:r>
        <w:t>Deliver a sanitized portfolio artifact for design and test an aws data protection and restore plan.</w:t>
      </w:r>
    </w:p>
    <w:p>
      <w:pPr>
        <w:pStyle w:val="Heading2"/>
        <w:keepNext/>
      </w:pPr>
      <w:r>
        <w:t>Core Concepts</w:t>
      </w:r>
    </w:p>
    <w:p>
      <w:pPr>
        <w:pStyle w:val="Heading3"/>
        <w:keepNext/>
      </w:pPr>
      <w:r>
        <w:t>Object, block and file storage selection</w:t>
      </w:r>
    </w:p>
    <w:p>
      <w:pPr>
        <w:keepNext w:val="0"/>
      </w:pPr>
      <w:r>
        <w:t>Object, block and file storage selection is a design boundary, not merely a console feature. In AWS Storage, Databases and Data Protection, the team must document ownership, trust assumptions, dependency direction, failure impact and the evidence used to prove the control. The recommended implementation uses Amazon S3, Amazon EBS, Amazon EFS / FSx, Amazon RDS / Aurora only where they satisfy an explicit requirement; equivalent services are not automatically interchangeable.</w:t>
      </w:r>
    </w:p>
    <w:p>
      <w:pPr>
        <w:pStyle w:val="Heading3"/>
        <w:keepNext/>
      </w:pPr>
      <w:r>
        <w:t>Relational and NoSQL database architecture</w:t>
      </w:r>
    </w:p>
    <w:p>
      <w:pPr>
        <w:keepNext w:val="0"/>
      </w:pPr>
      <w:r>
        <w:t>A production implementation of Relational and NoSQL database architecture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Backup, replication and retention controls</w:t>
      </w:r>
    </w:p>
    <w:p>
      <w:pPr>
        <w:keepNext w:val="0"/>
      </w:pPr>
      <w:r>
        <w:t>For Backup, replication and retention controls,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Data lifecycle, classification and recovery testing</w:t>
      </w:r>
    </w:p>
    <w:p>
      <w:pPr>
        <w:keepNext w:val="0"/>
      </w:pPr>
      <w:r>
        <w:t>The strongest validation for Data lifecycle, classification and recovery testing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Object storage</w:t>
            </w:r>
          </w:p>
        </w:tc>
        <w:tc>
          <w:tcPr>
            <w:tcW w:type="dxa" w:w="2952"/>
            <w:tcMar>
              <w:top w:w="65" w:type="dxa"/>
              <w:start w:w="85" w:type="dxa"/>
              <w:bottom w:w="65" w:type="dxa"/>
              <w:end w:w="85" w:type="dxa"/>
            </w:tcMar>
            <w:vAlign w:val="top"/>
          </w:tcPr>
          <w:p>
            <w:r>
              <w:rPr>
                <w:sz w:val="14"/>
              </w:rPr>
              <w:t>Amazon S3</w:t>
            </w:r>
          </w:p>
        </w:tc>
        <w:tc>
          <w:tcPr>
            <w:tcW w:type="dxa" w:w="4824"/>
            <w:tcMar>
              <w:top w:w="65" w:type="dxa"/>
              <w:start w:w="85" w:type="dxa"/>
              <w:bottom w:w="65" w:type="dxa"/>
              <w:end w:w="85" w:type="dxa"/>
            </w:tcMar>
            <w:vAlign w:val="top"/>
          </w:tcPr>
          <w:p>
            <w:r>
              <w:rPr>
                <w:sz w:val="14"/>
              </w:rPr>
              <w:t>Durable object data, archives, logs and data lakes.</w:t>
            </w:r>
          </w:p>
        </w:tc>
      </w:tr>
      <w:tr>
        <w:trPr>
          <w:cantSplit/>
        </w:trPr>
        <w:tc>
          <w:tcPr>
            <w:tcW w:type="dxa" w:w="2232"/>
            <w:tcMar>
              <w:top w:w="65" w:type="dxa"/>
              <w:start w:w="85" w:type="dxa"/>
              <w:bottom w:w="65" w:type="dxa"/>
              <w:end w:w="85" w:type="dxa"/>
            </w:tcMar>
            <w:vAlign w:val="top"/>
          </w:tcPr>
          <w:p>
            <w:r>
              <w:rPr>
                <w:sz w:val="14"/>
              </w:rPr>
              <w:t>Block storage</w:t>
            </w:r>
          </w:p>
        </w:tc>
        <w:tc>
          <w:tcPr>
            <w:tcW w:type="dxa" w:w="2952"/>
            <w:tcMar>
              <w:top w:w="65" w:type="dxa"/>
              <w:start w:w="85" w:type="dxa"/>
              <w:bottom w:w="65" w:type="dxa"/>
              <w:end w:w="85" w:type="dxa"/>
            </w:tcMar>
            <w:vAlign w:val="top"/>
          </w:tcPr>
          <w:p>
            <w:r>
              <w:rPr>
                <w:sz w:val="14"/>
              </w:rPr>
              <w:t>Amazon EBS</w:t>
            </w:r>
          </w:p>
        </w:tc>
        <w:tc>
          <w:tcPr>
            <w:tcW w:type="dxa" w:w="4824"/>
            <w:tcMar>
              <w:top w:w="65" w:type="dxa"/>
              <w:start w:w="85" w:type="dxa"/>
              <w:bottom w:w="65" w:type="dxa"/>
              <w:end w:w="85" w:type="dxa"/>
            </w:tcMar>
            <w:vAlign w:val="top"/>
          </w:tcPr>
          <w:p>
            <w:r>
              <w:rPr>
                <w:sz w:val="14"/>
              </w:rPr>
              <w:t>Persistent block volumes for EC2 workloads.</w:t>
            </w:r>
          </w:p>
        </w:tc>
      </w:tr>
      <w:tr>
        <w:trPr>
          <w:cantSplit/>
        </w:trPr>
        <w:tc>
          <w:tcPr>
            <w:tcW w:type="dxa" w:w="2232"/>
            <w:tcMar>
              <w:top w:w="65" w:type="dxa"/>
              <w:start w:w="85" w:type="dxa"/>
              <w:bottom w:w="65" w:type="dxa"/>
              <w:end w:w="85" w:type="dxa"/>
            </w:tcMar>
            <w:vAlign w:val="top"/>
          </w:tcPr>
          <w:p>
            <w:r>
              <w:rPr>
                <w:sz w:val="14"/>
              </w:rPr>
              <w:t>File storage</w:t>
            </w:r>
          </w:p>
        </w:tc>
        <w:tc>
          <w:tcPr>
            <w:tcW w:type="dxa" w:w="2952"/>
            <w:tcMar>
              <w:top w:w="65" w:type="dxa"/>
              <w:start w:w="85" w:type="dxa"/>
              <w:bottom w:w="65" w:type="dxa"/>
              <w:end w:w="85" w:type="dxa"/>
            </w:tcMar>
            <w:vAlign w:val="top"/>
          </w:tcPr>
          <w:p>
            <w:r>
              <w:rPr>
                <w:sz w:val="14"/>
              </w:rPr>
              <w:t>Amazon EFS / FSx</w:t>
            </w:r>
          </w:p>
        </w:tc>
        <w:tc>
          <w:tcPr>
            <w:tcW w:type="dxa" w:w="4824"/>
            <w:tcMar>
              <w:top w:w="65" w:type="dxa"/>
              <w:start w:w="85" w:type="dxa"/>
              <w:bottom w:w="65" w:type="dxa"/>
              <w:end w:w="85" w:type="dxa"/>
            </w:tcMar>
            <w:vAlign w:val="top"/>
          </w:tcPr>
          <w:p>
            <w:r>
              <w:rPr>
                <w:sz w:val="14"/>
              </w:rPr>
              <w:t>Managed shared file systems for Linux and specialized workloads.</w:t>
            </w:r>
          </w:p>
        </w:tc>
      </w:tr>
      <w:tr>
        <w:trPr>
          <w:cantSplit/>
        </w:trPr>
        <w:tc>
          <w:tcPr>
            <w:tcW w:type="dxa" w:w="2232"/>
            <w:tcMar>
              <w:top w:w="65" w:type="dxa"/>
              <w:start w:w="85" w:type="dxa"/>
              <w:bottom w:w="65" w:type="dxa"/>
              <w:end w:w="85" w:type="dxa"/>
            </w:tcMar>
            <w:vAlign w:val="top"/>
          </w:tcPr>
          <w:p>
            <w:r>
              <w:rPr>
                <w:sz w:val="14"/>
              </w:rPr>
              <w:t>Relational</w:t>
            </w:r>
          </w:p>
        </w:tc>
        <w:tc>
          <w:tcPr>
            <w:tcW w:type="dxa" w:w="2952"/>
            <w:tcMar>
              <w:top w:w="65" w:type="dxa"/>
              <w:start w:w="85" w:type="dxa"/>
              <w:bottom w:w="65" w:type="dxa"/>
              <w:end w:w="85" w:type="dxa"/>
            </w:tcMar>
            <w:vAlign w:val="top"/>
          </w:tcPr>
          <w:p>
            <w:r>
              <w:rPr>
                <w:sz w:val="14"/>
              </w:rPr>
              <w:t>Amazon RDS / Aurora</w:t>
            </w:r>
          </w:p>
        </w:tc>
        <w:tc>
          <w:tcPr>
            <w:tcW w:type="dxa" w:w="4824"/>
            <w:tcMar>
              <w:top w:w="65" w:type="dxa"/>
              <w:start w:w="85" w:type="dxa"/>
              <w:bottom w:w="65" w:type="dxa"/>
              <w:end w:w="85" w:type="dxa"/>
            </w:tcMar>
            <w:vAlign w:val="top"/>
          </w:tcPr>
          <w:p>
            <w:r>
              <w:rPr>
                <w:sz w:val="14"/>
              </w:rPr>
              <w:t>Managed relational databases with Multi-AZ and backups.</w:t>
            </w:r>
          </w:p>
        </w:tc>
      </w:tr>
      <w:tr>
        <w:trPr>
          <w:cantSplit/>
        </w:trPr>
        <w:tc>
          <w:tcPr>
            <w:tcW w:type="dxa" w:w="2232"/>
            <w:tcMar>
              <w:top w:w="65" w:type="dxa"/>
              <w:start w:w="85" w:type="dxa"/>
              <w:bottom w:w="65" w:type="dxa"/>
              <w:end w:w="85" w:type="dxa"/>
            </w:tcMar>
            <w:vAlign w:val="top"/>
          </w:tcPr>
          <w:p>
            <w:r>
              <w:rPr>
                <w:sz w:val="14"/>
              </w:rPr>
              <w:t>NoSQL</w:t>
            </w:r>
          </w:p>
        </w:tc>
        <w:tc>
          <w:tcPr>
            <w:tcW w:type="dxa" w:w="2952"/>
            <w:tcMar>
              <w:top w:w="65" w:type="dxa"/>
              <w:start w:w="85" w:type="dxa"/>
              <w:bottom w:w="65" w:type="dxa"/>
              <w:end w:w="85" w:type="dxa"/>
            </w:tcMar>
            <w:vAlign w:val="top"/>
          </w:tcPr>
          <w:p>
            <w:r>
              <w:rPr>
                <w:sz w:val="14"/>
              </w:rPr>
              <w:t>Amazon DynamoDB</w:t>
            </w:r>
          </w:p>
        </w:tc>
        <w:tc>
          <w:tcPr>
            <w:tcW w:type="dxa" w:w="4824"/>
            <w:tcMar>
              <w:top w:w="65" w:type="dxa"/>
              <w:start w:w="85" w:type="dxa"/>
              <w:bottom w:w="65" w:type="dxa"/>
              <w:end w:w="85" w:type="dxa"/>
            </w:tcMar>
            <w:vAlign w:val="top"/>
          </w:tcPr>
          <w:p>
            <w:r>
              <w:rPr>
                <w:sz w:val="14"/>
              </w:rPr>
              <w:t>Serverless key-value and document workloads at scale.</w:t>
            </w:r>
          </w:p>
        </w:tc>
      </w:tr>
      <w:tr>
        <w:trPr>
          <w:cantSplit/>
        </w:trPr>
        <w:tc>
          <w:tcPr>
            <w:tcW w:type="dxa" w:w="2232"/>
            <w:tcMar>
              <w:top w:w="65" w:type="dxa"/>
              <w:start w:w="85" w:type="dxa"/>
              <w:bottom w:w="65" w:type="dxa"/>
              <w:end w:w="85" w:type="dxa"/>
            </w:tcMar>
            <w:vAlign w:val="top"/>
          </w:tcPr>
          <w:p>
            <w:r>
              <w:rPr>
                <w:sz w:val="14"/>
              </w:rPr>
              <w:t>Protection</w:t>
            </w:r>
          </w:p>
        </w:tc>
        <w:tc>
          <w:tcPr>
            <w:tcW w:type="dxa" w:w="2952"/>
            <w:tcMar>
              <w:top w:w="65" w:type="dxa"/>
              <w:start w:w="85" w:type="dxa"/>
              <w:bottom w:w="65" w:type="dxa"/>
              <w:end w:w="85" w:type="dxa"/>
            </w:tcMar>
            <w:vAlign w:val="top"/>
          </w:tcPr>
          <w:p>
            <w:r>
              <w:rPr>
                <w:sz w:val="14"/>
              </w:rPr>
              <w:t>AWS Backup</w:t>
            </w:r>
          </w:p>
        </w:tc>
        <w:tc>
          <w:tcPr>
            <w:tcW w:type="dxa" w:w="4824"/>
            <w:tcMar>
              <w:top w:w="65" w:type="dxa"/>
              <w:start w:w="85" w:type="dxa"/>
              <w:bottom w:w="65" w:type="dxa"/>
              <w:end w:w="85" w:type="dxa"/>
            </w:tcMar>
            <w:vAlign w:val="top"/>
          </w:tcPr>
          <w:p>
            <w:r>
              <w:rPr>
                <w:sz w:val="14"/>
              </w:rPr>
              <w:t>Central backup policy, vault controls and restore testing.</w:t>
            </w:r>
          </w:p>
        </w:tc>
      </w:tr>
    </w:tbl>
    <w:p>
      <w:pPr>
        <w:pStyle w:val="Heading2"/>
        <w:keepNext/>
      </w:pPr>
      <w:r>
        <w:t>Architecture and Operating Decisions</w:t>
      </w:r>
    </w:p>
    <w:p>
      <w:pPr>
        <w:pStyle w:val="ListBullet"/>
      </w:pPr>
      <w:r>
        <w:t>Use AWS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backup, replication and retention controls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data_class: confidential</w:t>
              <w:br/>
              <w:t>storage:</w:t>
              <w:br/>
              <w:t xml:space="preserve">  objects: s3_versioning_object_lock</w:t>
              <w:br/>
              <w:t xml:space="preserve">  block: ebs_encrypted_snapshots</w:t>
              <w:br/>
              <w:t xml:space="preserve">  files: efs_backup_policy</w:t>
              <w:br/>
              <w:t>database:</w:t>
              <w:br/>
              <w:t xml:space="preserve">  primary: aurora_multi_az</w:t>
              <w:br/>
              <w:t xml:space="preserve">  replicas: cross_region_if_rto_requires</w:t>
              <w:br/>
              <w:t>recovery:</w:t>
              <w:br/>
              <w:t xml:space="preserve">  rpo_minutes: 15</w:t>
              <w:br/>
              <w:t xml:space="preserve">  rto_minutes: 60</w:t>
              <w:br/>
              <w:t xml:space="preserve">  restore_test: quarterly</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aws storage, databases and data protection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15: Design and Test an AWS Data Protection and Restore Plan</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aws storage, databases and data protection using fictional enterprise requirements.</w:t>
      </w:r>
    </w:p>
    <w:p>
      <w:pPr>
        <w:ind w:left="360" w:hanging="360"/>
      </w:pPr>
      <w:r>
        <w:rPr>
          <w:b/>
        </w:rPr>
        <w:t xml:space="preserve">2. </w:t>
      </w:r>
      <w:r>
        <w:t>Implement the smallest safe sandbox using Amazon S3, Amazon EBS, Amazon EFS / FSx;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AWS Storage, Databases and Data Protection?</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AWS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Object, block and file storage selection defines a key architecture boundary.</w:t>
      </w:r>
    </w:p>
    <w:p>
      <w:pPr>
        <w:pStyle w:val="ListBullet"/>
      </w:pPr>
      <w:r>
        <w:t>Relational and NoSQL database architecture must be automated and least-privileged.</w:t>
      </w:r>
    </w:p>
    <w:p>
      <w:pPr>
        <w:pStyle w:val="ListBullet"/>
      </w:pPr>
      <w:r>
        <w:t>Backup, replication and retention controls requires policy, telemetry and recovery evidence.</w:t>
      </w:r>
    </w:p>
    <w:p>
      <w:pPr>
        <w:pStyle w:val="ListBullet"/>
      </w:pPr>
      <w:r>
        <w:t>Data lifecycle, classification and recovery testing should be tested before production and after material change.</w:t>
      </w:r>
    </w:p>
    <w:p>
      <w:r>
        <w:br w:type="page"/>
      </w:r>
    </w:p>
    <w:p>
      <w:pPr>
        <w:jc w:val="center"/>
      </w:pPr>
      <w:r>
        <w:rPr>
          <w:b/>
          <w:color w:val="14919B"/>
          <w:sz w:val="17"/>
        </w:rPr>
        <w:t>VOLUME 12B  |  CHAPTER 16</w:t>
      </w:r>
    </w:p>
    <w:p>
      <w:pPr>
        <w:pStyle w:val="Heading1"/>
        <w:jc w:val="center"/>
      </w:pPr>
      <w:r>
        <w:t>Chapter 16: AWS Security Engineering and Detection</w:t>
      </w:r>
    </w:p>
    <w:p>
      <w:pPr>
        <w:jc w:val="center"/>
      </w:pPr>
      <w:r>
        <w:rPr>
          <w:i/>
          <w:color w:val="4B5563"/>
          <w:sz w:val="20"/>
        </w:rPr>
        <w:t>Combining preventive controls, threat detection and centralized response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Security services create value only when findings are prioritized, owned and connected to containment. An enterprise design must integrate identity, network, data, configuration and threat telemetry.</w:t>
            </w:r>
          </w:p>
        </w:tc>
      </w:tr>
    </w:tbl>
    <w:p>
      <w:pPr>
        <w:spacing w:after="0"/>
      </w:pPr>
    </w:p>
    <w:p>
      <w:pPr>
        <w:pStyle w:val="Heading2"/>
        <w:keepNext/>
      </w:pPr>
      <w:r>
        <w:t>Learning Objectives</w:t>
      </w:r>
    </w:p>
    <w:p>
      <w:pPr>
        <w:pStyle w:val="ListBullet"/>
      </w:pPr>
      <w:r>
        <w:t>Explain the architecture, responsibility boundaries and major trade-offs of encryption, keys and secret lifecycle.</w:t>
      </w:r>
    </w:p>
    <w:p>
      <w:pPr>
        <w:pStyle w:val="ListBullet"/>
      </w:pPr>
      <w:r>
        <w:t>Design cloudtrail, config and immutable evidence for enterprise scale, least privilege and bounded failure.</w:t>
      </w:r>
    </w:p>
    <w:p>
      <w:pPr>
        <w:pStyle w:val="ListBullet"/>
      </w:pPr>
      <w:r>
        <w:t>Implement guardduty, security hub and detective controls through version-controlled automation and policy checks.</w:t>
      </w:r>
    </w:p>
    <w:p>
      <w:pPr>
        <w:pStyle w:val="ListBullet"/>
      </w:pPr>
      <w:r>
        <w:t>Troubleshoot waf, shield and network protection using provider-native telemetry and repeatable evidence.</w:t>
      </w:r>
    </w:p>
    <w:p>
      <w:pPr>
        <w:pStyle w:val="ListBullet"/>
      </w:pPr>
      <w:r>
        <w:t>Deliver a sanitized portfolio artifact for build an aws security baseline and finding response workflow.</w:t>
      </w:r>
    </w:p>
    <w:p>
      <w:pPr>
        <w:pStyle w:val="Heading2"/>
        <w:keepNext/>
      </w:pPr>
      <w:r>
        <w:t>Core Concepts</w:t>
      </w:r>
    </w:p>
    <w:p>
      <w:pPr>
        <w:pStyle w:val="Heading3"/>
        <w:keepNext/>
      </w:pPr>
      <w:r>
        <w:t>Encryption, keys and secret lifecycle</w:t>
      </w:r>
    </w:p>
    <w:p>
      <w:pPr>
        <w:keepNext w:val="0"/>
      </w:pPr>
      <w:r>
        <w:t>Encryption, keys and secret lifecycle is a design boundary, not merely a console feature. In AWS Security Engineering and Detection, the team must document ownership, trust assumptions, dependency direction, failure impact and the evidence used to prove the control. The recommended implementation uses AWS KMS, AWS Secrets Manager, AWS CloudTrail, AWS Config only where they satisfy an explicit requirement; equivalent services are not automatically interchangeable.</w:t>
      </w:r>
    </w:p>
    <w:p>
      <w:pPr>
        <w:pStyle w:val="Heading3"/>
        <w:keepNext/>
      </w:pPr>
      <w:r>
        <w:t>CloudTrail, Config and immutable evidence</w:t>
      </w:r>
    </w:p>
    <w:p>
      <w:pPr>
        <w:keepNext w:val="0"/>
      </w:pPr>
      <w:r>
        <w:t>A production implementation of CloudTrail, Config and immutable evidence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GuardDuty, Security Hub and detective controls</w:t>
      </w:r>
    </w:p>
    <w:p>
      <w:pPr>
        <w:keepNext w:val="0"/>
      </w:pPr>
      <w:r>
        <w:t>For GuardDuty, Security Hub and detective controls,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WAF, Shield and network protection</w:t>
      </w:r>
    </w:p>
    <w:p>
      <w:pPr>
        <w:keepNext w:val="0"/>
      </w:pPr>
      <w:r>
        <w:t>The strongest validation for WAF, Shield and network protection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Key management</w:t>
            </w:r>
          </w:p>
        </w:tc>
        <w:tc>
          <w:tcPr>
            <w:tcW w:type="dxa" w:w="2952"/>
            <w:tcMar>
              <w:top w:w="65" w:type="dxa"/>
              <w:start w:w="85" w:type="dxa"/>
              <w:bottom w:w="65" w:type="dxa"/>
              <w:end w:w="85" w:type="dxa"/>
            </w:tcMar>
            <w:vAlign w:val="top"/>
          </w:tcPr>
          <w:p>
            <w:r>
              <w:rPr>
                <w:sz w:val="14"/>
              </w:rPr>
              <w:t>AWS KMS</w:t>
            </w:r>
          </w:p>
        </w:tc>
        <w:tc>
          <w:tcPr>
            <w:tcW w:type="dxa" w:w="4824"/>
            <w:tcMar>
              <w:top w:w="65" w:type="dxa"/>
              <w:start w:w="85" w:type="dxa"/>
              <w:bottom w:w="65" w:type="dxa"/>
              <w:end w:w="85" w:type="dxa"/>
            </w:tcMar>
            <w:vAlign w:val="top"/>
          </w:tcPr>
          <w:p>
            <w:r>
              <w:rPr>
                <w:sz w:val="14"/>
              </w:rPr>
              <w:t>Control encryption keys, grants, rotation and audit.</w:t>
            </w:r>
          </w:p>
        </w:tc>
      </w:tr>
      <w:tr>
        <w:trPr>
          <w:cantSplit/>
        </w:trPr>
        <w:tc>
          <w:tcPr>
            <w:tcW w:type="dxa" w:w="2232"/>
            <w:tcMar>
              <w:top w:w="65" w:type="dxa"/>
              <w:start w:w="85" w:type="dxa"/>
              <w:bottom w:w="65" w:type="dxa"/>
              <w:end w:w="85" w:type="dxa"/>
            </w:tcMar>
            <w:vAlign w:val="top"/>
          </w:tcPr>
          <w:p>
            <w:r>
              <w:rPr>
                <w:sz w:val="14"/>
              </w:rPr>
              <w:t>Secrets</w:t>
            </w:r>
          </w:p>
        </w:tc>
        <w:tc>
          <w:tcPr>
            <w:tcW w:type="dxa" w:w="2952"/>
            <w:tcMar>
              <w:top w:w="65" w:type="dxa"/>
              <w:start w:w="85" w:type="dxa"/>
              <w:bottom w:w="65" w:type="dxa"/>
              <w:end w:w="85" w:type="dxa"/>
            </w:tcMar>
            <w:vAlign w:val="top"/>
          </w:tcPr>
          <w:p>
            <w:r>
              <w:rPr>
                <w:sz w:val="14"/>
              </w:rPr>
              <w:t>AWS Secrets Manager</w:t>
            </w:r>
          </w:p>
        </w:tc>
        <w:tc>
          <w:tcPr>
            <w:tcW w:type="dxa" w:w="4824"/>
            <w:tcMar>
              <w:top w:w="65" w:type="dxa"/>
              <w:start w:w="85" w:type="dxa"/>
              <w:bottom w:w="65" w:type="dxa"/>
              <w:end w:w="85" w:type="dxa"/>
            </w:tcMar>
            <w:vAlign w:val="top"/>
          </w:tcPr>
          <w:p>
            <w:r>
              <w:rPr>
                <w:sz w:val="14"/>
              </w:rPr>
              <w:t>Rotate and retrieve application secrets through IAM.</w:t>
            </w:r>
          </w:p>
        </w:tc>
      </w:tr>
      <w:tr>
        <w:trPr>
          <w:cantSplit/>
        </w:trPr>
        <w:tc>
          <w:tcPr>
            <w:tcW w:type="dxa" w:w="2232"/>
            <w:tcMar>
              <w:top w:w="65" w:type="dxa"/>
              <w:start w:w="85" w:type="dxa"/>
              <w:bottom w:w="65" w:type="dxa"/>
              <w:end w:w="85" w:type="dxa"/>
            </w:tcMar>
            <w:vAlign w:val="top"/>
          </w:tcPr>
          <w:p>
            <w:r>
              <w:rPr>
                <w:sz w:val="14"/>
              </w:rPr>
              <w:t>Audit</w:t>
            </w:r>
          </w:p>
        </w:tc>
        <w:tc>
          <w:tcPr>
            <w:tcW w:type="dxa" w:w="2952"/>
            <w:tcMar>
              <w:top w:w="65" w:type="dxa"/>
              <w:start w:w="85" w:type="dxa"/>
              <w:bottom w:w="65" w:type="dxa"/>
              <w:end w:w="85" w:type="dxa"/>
            </w:tcMar>
            <w:vAlign w:val="top"/>
          </w:tcPr>
          <w:p>
            <w:r>
              <w:rPr>
                <w:sz w:val="14"/>
              </w:rPr>
              <w:t>AWS CloudTrail</w:t>
            </w:r>
          </w:p>
        </w:tc>
        <w:tc>
          <w:tcPr>
            <w:tcW w:type="dxa" w:w="4824"/>
            <w:tcMar>
              <w:top w:w="65" w:type="dxa"/>
              <w:start w:w="85" w:type="dxa"/>
              <w:bottom w:w="65" w:type="dxa"/>
              <w:end w:w="85" w:type="dxa"/>
            </w:tcMar>
            <w:vAlign w:val="top"/>
          </w:tcPr>
          <w:p>
            <w:r>
              <w:rPr>
                <w:sz w:val="14"/>
              </w:rPr>
              <w:t>Record management and selected data events across accounts.</w:t>
            </w:r>
          </w:p>
        </w:tc>
      </w:tr>
      <w:tr>
        <w:trPr>
          <w:cantSplit/>
        </w:trPr>
        <w:tc>
          <w:tcPr>
            <w:tcW w:type="dxa" w:w="2232"/>
            <w:tcMar>
              <w:top w:w="65" w:type="dxa"/>
              <w:start w:w="85" w:type="dxa"/>
              <w:bottom w:w="65" w:type="dxa"/>
              <w:end w:w="85" w:type="dxa"/>
            </w:tcMar>
            <w:vAlign w:val="top"/>
          </w:tcPr>
          <w:p>
            <w:r>
              <w:rPr>
                <w:sz w:val="14"/>
              </w:rPr>
              <w:t>Configuration</w:t>
            </w:r>
          </w:p>
        </w:tc>
        <w:tc>
          <w:tcPr>
            <w:tcW w:type="dxa" w:w="2952"/>
            <w:tcMar>
              <w:top w:w="65" w:type="dxa"/>
              <w:start w:w="85" w:type="dxa"/>
              <w:bottom w:w="65" w:type="dxa"/>
              <w:end w:w="85" w:type="dxa"/>
            </w:tcMar>
            <w:vAlign w:val="top"/>
          </w:tcPr>
          <w:p>
            <w:r>
              <w:rPr>
                <w:sz w:val="14"/>
              </w:rPr>
              <w:t>AWS Config</w:t>
            </w:r>
          </w:p>
        </w:tc>
        <w:tc>
          <w:tcPr>
            <w:tcW w:type="dxa" w:w="4824"/>
            <w:tcMar>
              <w:top w:w="65" w:type="dxa"/>
              <w:start w:w="85" w:type="dxa"/>
              <w:bottom w:w="65" w:type="dxa"/>
              <w:end w:w="85" w:type="dxa"/>
            </w:tcMar>
            <w:vAlign w:val="top"/>
          </w:tcPr>
          <w:p>
            <w:r>
              <w:rPr>
                <w:sz w:val="14"/>
              </w:rPr>
              <w:t>Evaluate resource state and organization-wide conformance.</w:t>
            </w:r>
          </w:p>
        </w:tc>
      </w:tr>
      <w:tr>
        <w:trPr>
          <w:cantSplit/>
        </w:trPr>
        <w:tc>
          <w:tcPr>
            <w:tcW w:type="dxa" w:w="2232"/>
            <w:tcMar>
              <w:top w:w="65" w:type="dxa"/>
              <w:start w:w="85" w:type="dxa"/>
              <w:bottom w:w="65" w:type="dxa"/>
              <w:end w:w="85" w:type="dxa"/>
            </w:tcMar>
            <w:vAlign w:val="top"/>
          </w:tcPr>
          <w:p>
            <w:r>
              <w:rPr>
                <w:sz w:val="14"/>
              </w:rPr>
              <w:t>Threat detection</w:t>
            </w:r>
          </w:p>
        </w:tc>
        <w:tc>
          <w:tcPr>
            <w:tcW w:type="dxa" w:w="2952"/>
            <w:tcMar>
              <w:top w:w="65" w:type="dxa"/>
              <w:start w:w="85" w:type="dxa"/>
              <w:bottom w:w="65" w:type="dxa"/>
              <w:end w:w="85" w:type="dxa"/>
            </w:tcMar>
            <w:vAlign w:val="top"/>
          </w:tcPr>
          <w:p>
            <w:r>
              <w:rPr>
                <w:sz w:val="14"/>
              </w:rPr>
              <w:t>GuardDuty / Security Hub</w:t>
            </w:r>
          </w:p>
        </w:tc>
        <w:tc>
          <w:tcPr>
            <w:tcW w:type="dxa" w:w="4824"/>
            <w:tcMar>
              <w:top w:w="65" w:type="dxa"/>
              <w:start w:w="85" w:type="dxa"/>
              <w:bottom w:w="65" w:type="dxa"/>
              <w:end w:w="85" w:type="dxa"/>
            </w:tcMar>
            <w:vAlign w:val="top"/>
          </w:tcPr>
          <w:p>
            <w:r>
              <w:rPr>
                <w:sz w:val="14"/>
              </w:rPr>
              <w:t>Aggregate prioritized findings and automate response.</w:t>
            </w:r>
          </w:p>
        </w:tc>
      </w:tr>
      <w:tr>
        <w:trPr>
          <w:cantSplit/>
        </w:trPr>
        <w:tc>
          <w:tcPr>
            <w:tcW w:type="dxa" w:w="2232"/>
            <w:tcMar>
              <w:top w:w="65" w:type="dxa"/>
              <w:start w:w="85" w:type="dxa"/>
              <w:bottom w:w="65" w:type="dxa"/>
              <w:end w:w="85" w:type="dxa"/>
            </w:tcMar>
            <w:vAlign w:val="top"/>
          </w:tcPr>
          <w:p>
            <w:r>
              <w:rPr>
                <w:sz w:val="14"/>
              </w:rPr>
              <w:t>Edge protection</w:t>
            </w:r>
          </w:p>
        </w:tc>
        <w:tc>
          <w:tcPr>
            <w:tcW w:type="dxa" w:w="2952"/>
            <w:tcMar>
              <w:top w:w="65" w:type="dxa"/>
              <w:start w:w="85" w:type="dxa"/>
              <w:bottom w:w="65" w:type="dxa"/>
              <w:end w:w="85" w:type="dxa"/>
            </w:tcMar>
            <w:vAlign w:val="top"/>
          </w:tcPr>
          <w:p>
            <w:r>
              <w:rPr>
                <w:sz w:val="14"/>
              </w:rPr>
              <w:t>AWS WAF / Shield</w:t>
            </w:r>
          </w:p>
        </w:tc>
        <w:tc>
          <w:tcPr>
            <w:tcW w:type="dxa" w:w="4824"/>
            <w:tcMar>
              <w:top w:w="65" w:type="dxa"/>
              <w:start w:w="85" w:type="dxa"/>
              <w:bottom w:w="65" w:type="dxa"/>
              <w:end w:w="85" w:type="dxa"/>
            </w:tcMar>
            <w:vAlign w:val="top"/>
          </w:tcPr>
          <w:p>
            <w:r>
              <w:rPr>
                <w:sz w:val="14"/>
              </w:rPr>
              <w:t>Reduce web exploitation and DDoS risk.</w:t>
            </w:r>
          </w:p>
        </w:tc>
      </w:tr>
    </w:tbl>
    <w:p>
      <w:pPr>
        <w:pStyle w:val="Heading2"/>
        <w:keepNext/>
      </w:pPr>
      <w:r>
        <w:t>Architecture and Operating Decisions</w:t>
      </w:r>
    </w:p>
    <w:p>
      <w:pPr>
        <w:pStyle w:val="ListBullet"/>
      </w:pPr>
      <w:r>
        <w:t>Use AWS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guardduty, security hub and detective controls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security_baseline:</w:t>
              <w:br/>
              <w:t xml:space="preserve">  cloudtrail: organization_trail_multi_region</w:t>
              <w:br/>
              <w:t xml:space="preserve">  log_destination: immutable_log_archive</w:t>
              <w:br/>
              <w:t xml:space="preserve">  config: all_supported_resources</w:t>
              <w:br/>
              <w:t xml:space="preserve">  guardduty: delegated_admin_all_accounts</w:t>
              <w:br/>
              <w:t xml:space="preserve">  securityhub: central_configuration</w:t>
              <w:br/>
              <w:t xml:space="preserve">  kms: separation_of_key_admin_and_use</w:t>
              <w:br/>
              <w:t>response:</w:t>
              <w:br/>
              <w:t xml:space="preserve">  high_severity: isolate_role_or_resource_then_preserve_evidence</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aws security engineering and detection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16: Build an AWS Security Baseline and Finding Response Workflow</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aws security engineering and detection using fictional enterprise requirements.</w:t>
      </w:r>
    </w:p>
    <w:p>
      <w:pPr>
        <w:ind w:left="360" w:hanging="360"/>
      </w:pPr>
      <w:r>
        <w:rPr>
          <w:b/>
        </w:rPr>
        <w:t xml:space="preserve">2. </w:t>
      </w:r>
      <w:r>
        <w:t>Implement the smallest safe sandbox using AWS KMS, AWS Secrets Manager, AWS CloudTrail;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AWS Security Engineering and Detection?</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AWS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Encryption, keys and secret lifecycle defines a key architecture boundary.</w:t>
      </w:r>
    </w:p>
    <w:p>
      <w:pPr>
        <w:pStyle w:val="ListBullet"/>
      </w:pPr>
      <w:r>
        <w:t>CloudTrail, Config and immutable evidence must be automated and least-privileged.</w:t>
      </w:r>
    </w:p>
    <w:p>
      <w:pPr>
        <w:pStyle w:val="ListBullet"/>
      </w:pPr>
      <w:r>
        <w:t>GuardDuty, Security Hub and detective controls requires policy, telemetry and recovery evidence.</w:t>
      </w:r>
    </w:p>
    <w:p>
      <w:pPr>
        <w:pStyle w:val="ListBullet"/>
      </w:pPr>
      <w:r>
        <w:t>WAF, Shield and network protection should be tested before production and after material change.</w:t>
      </w:r>
    </w:p>
    <w:p>
      <w:r>
        <w:br w:type="page"/>
      </w:r>
    </w:p>
    <w:p>
      <w:pPr>
        <w:jc w:val="center"/>
      </w:pPr>
      <w:r>
        <w:rPr>
          <w:b/>
          <w:color w:val="14919B"/>
          <w:sz w:val="17"/>
        </w:rPr>
        <w:t>VOLUME 12B  |  CHAPTER 17</w:t>
      </w:r>
    </w:p>
    <w:p>
      <w:pPr>
        <w:pStyle w:val="Heading1"/>
        <w:jc w:val="center"/>
      </w:pPr>
      <w:r>
        <w:t>Chapter 17: AWS Reliability, Multi-Region Design and Disaster Recovery</w:t>
      </w:r>
    </w:p>
    <w:p>
      <w:pPr>
        <w:jc w:val="center"/>
      </w:pPr>
      <w:r>
        <w:rPr>
          <w:i/>
          <w:color w:val="4B5563"/>
          <w:sz w:val="20"/>
        </w:rPr>
        <w:t>Engineering for availability zones, regional impairment and tested recovery</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Multi-AZ is not the same as multi-Region, and replication is not the same as recoverability. Reliability architecture must match business RTO/RPO and dependency behavior.</w:t>
            </w:r>
          </w:p>
        </w:tc>
      </w:tr>
    </w:tbl>
    <w:p>
      <w:pPr>
        <w:spacing w:after="0"/>
      </w:pPr>
    </w:p>
    <w:p>
      <w:pPr>
        <w:pStyle w:val="Heading2"/>
        <w:keepNext/>
      </w:pPr>
      <w:r>
        <w:t>Learning Objectives</w:t>
      </w:r>
    </w:p>
    <w:p>
      <w:pPr>
        <w:pStyle w:val="ListBullet"/>
      </w:pPr>
      <w:r>
        <w:t>Explain the architecture, responsibility boundaries and major trade-offs of availability zone failure isolation.</w:t>
      </w:r>
    </w:p>
    <w:p>
      <w:pPr>
        <w:pStyle w:val="ListBullet"/>
      </w:pPr>
      <w:r>
        <w:t>Design multi-region application and data patterns for enterprise scale, least privilege and bounded failure.</w:t>
      </w:r>
    </w:p>
    <w:p>
      <w:pPr>
        <w:pStyle w:val="ListBullet"/>
      </w:pPr>
      <w:r>
        <w:t>Implement route 53, global accelerator and traffic control through version-controlled automation and policy checks.</w:t>
      </w:r>
    </w:p>
    <w:p>
      <w:pPr>
        <w:pStyle w:val="ListBullet"/>
      </w:pPr>
      <w:r>
        <w:t>Troubleshoot backup, elastic disaster recovery and recovery exercises using provider-native telemetry and repeatable evidence.</w:t>
      </w:r>
    </w:p>
    <w:p>
      <w:pPr>
        <w:pStyle w:val="ListBullet"/>
      </w:pPr>
      <w:r>
        <w:t>Deliver a sanitized portfolio artifact for run an aws regional recovery and failback exercise.</w:t>
      </w:r>
    </w:p>
    <w:p>
      <w:pPr>
        <w:pStyle w:val="Heading2"/>
        <w:keepNext/>
      </w:pPr>
      <w:r>
        <w:t>Core Concepts</w:t>
      </w:r>
    </w:p>
    <w:p>
      <w:pPr>
        <w:pStyle w:val="Heading3"/>
        <w:keepNext/>
      </w:pPr>
      <w:r>
        <w:t>Availability Zone failure isolation</w:t>
      </w:r>
    </w:p>
    <w:p>
      <w:pPr>
        <w:keepNext w:val="0"/>
      </w:pPr>
      <w:r>
        <w:t>Availability Zone failure isolation is a design boundary, not merely a console feature. In AWS Reliability, Multi-Region Design and Disaster Recovery, the team must document ownership, trust assumptions, dependency direction, failure impact and the evidence used to prove the control. The recommended implementation uses Multi-AZ services / Auto Scaling, Route 53 / Global Accelerator, AWS Application Recovery Controller, Aurora Global Database / S3 replication only where they satisfy an explicit requirement; equivalent services are not automatically interchangeable.</w:t>
      </w:r>
    </w:p>
    <w:p>
      <w:pPr>
        <w:pStyle w:val="Heading3"/>
        <w:keepNext/>
      </w:pPr>
      <w:r>
        <w:t>Multi-Region application and data patterns</w:t>
      </w:r>
    </w:p>
    <w:p>
      <w:pPr>
        <w:keepNext w:val="0"/>
      </w:pPr>
      <w:r>
        <w:t>A production implementation of Multi-Region application and data patterns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Route 53, Global Accelerator and traffic control</w:t>
      </w:r>
    </w:p>
    <w:p>
      <w:pPr>
        <w:keepNext w:val="0"/>
      </w:pPr>
      <w:r>
        <w:t>For Route 53, Global Accelerator and traffic control,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Backup, Elastic Disaster Recovery and recovery exercises</w:t>
      </w:r>
    </w:p>
    <w:p>
      <w:pPr>
        <w:keepNext w:val="0"/>
      </w:pPr>
      <w:r>
        <w:t>The strongest validation for Backup, Elastic Disaster Recovery and recovery exercises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Zonal resilience</w:t>
            </w:r>
          </w:p>
        </w:tc>
        <w:tc>
          <w:tcPr>
            <w:tcW w:type="dxa" w:w="2952"/>
            <w:tcMar>
              <w:top w:w="65" w:type="dxa"/>
              <w:start w:w="85" w:type="dxa"/>
              <w:bottom w:w="65" w:type="dxa"/>
              <w:end w:w="85" w:type="dxa"/>
            </w:tcMar>
            <w:vAlign w:val="top"/>
          </w:tcPr>
          <w:p>
            <w:r>
              <w:rPr>
                <w:sz w:val="14"/>
              </w:rPr>
              <w:t>Multi-AZ services / Auto Scaling</w:t>
            </w:r>
          </w:p>
        </w:tc>
        <w:tc>
          <w:tcPr>
            <w:tcW w:type="dxa" w:w="4824"/>
            <w:tcMar>
              <w:top w:w="65" w:type="dxa"/>
              <w:start w:w="85" w:type="dxa"/>
              <w:bottom w:w="65" w:type="dxa"/>
              <w:end w:w="85" w:type="dxa"/>
            </w:tcMar>
            <w:vAlign w:val="top"/>
          </w:tcPr>
          <w:p>
            <w:r>
              <w:rPr>
                <w:sz w:val="14"/>
              </w:rPr>
              <w:t>Distribute capacity and state across independent zones.</w:t>
            </w:r>
          </w:p>
        </w:tc>
      </w:tr>
      <w:tr>
        <w:trPr>
          <w:cantSplit/>
        </w:trPr>
        <w:tc>
          <w:tcPr>
            <w:tcW w:type="dxa" w:w="2232"/>
            <w:tcMar>
              <w:top w:w="65" w:type="dxa"/>
              <w:start w:w="85" w:type="dxa"/>
              <w:bottom w:w="65" w:type="dxa"/>
              <w:end w:w="85" w:type="dxa"/>
            </w:tcMar>
            <w:vAlign w:val="top"/>
          </w:tcPr>
          <w:p>
            <w:r>
              <w:rPr>
                <w:sz w:val="14"/>
              </w:rPr>
              <w:t>Traffic</w:t>
            </w:r>
          </w:p>
        </w:tc>
        <w:tc>
          <w:tcPr>
            <w:tcW w:type="dxa" w:w="2952"/>
            <w:tcMar>
              <w:top w:w="65" w:type="dxa"/>
              <w:start w:w="85" w:type="dxa"/>
              <w:bottom w:w="65" w:type="dxa"/>
              <w:end w:w="85" w:type="dxa"/>
            </w:tcMar>
            <w:vAlign w:val="top"/>
          </w:tcPr>
          <w:p>
            <w:r>
              <w:rPr>
                <w:sz w:val="14"/>
              </w:rPr>
              <w:t>Route 53 / Global Accelerator</w:t>
            </w:r>
          </w:p>
        </w:tc>
        <w:tc>
          <w:tcPr>
            <w:tcW w:type="dxa" w:w="4824"/>
            <w:tcMar>
              <w:top w:w="65" w:type="dxa"/>
              <w:start w:w="85" w:type="dxa"/>
              <w:bottom w:w="65" w:type="dxa"/>
              <w:end w:w="85" w:type="dxa"/>
            </w:tcMar>
            <w:vAlign w:val="top"/>
          </w:tcPr>
          <w:p>
            <w:r>
              <w:rPr>
                <w:sz w:val="14"/>
              </w:rPr>
              <w:t>Steer users using health, latency and recovery policy.</w:t>
            </w:r>
          </w:p>
        </w:tc>
      </w:tr>
      <w:tr>
        <w:trPr>
          <w:cantSplit/>
        </w:trPr>
        <w:tc>
          <w:tcPr>
            <w:tcW w:type="dxa" w:w="2232"/>
            <w:tcMar>
              <w:top w:w="65" w:type="dxa"/>
              <w:start w:w="85" w:type="dxa"/>
              <w:bottom w:w="65" w:type="dxa"/>
              <w:end w:w="85" w:type="dxa"/>
            </w:tcMar>
            <w:vAlign w:val="top"/>
          </w:tcPr>
          <w:p>
            <w:r>
              <w:rPr>
                <w:sz w:val="14"/>
              </w:rPr>
              <w:t>Recovery control</w:t>
            </w:r>
          </w:p>
        </w:tc>
        <w:tc>
          <w:tcPr>
            <w:tcW w:type="dxa" w:w="2952"/>
            <w:tcMar>
              <w:top w:w="65" w:type="dxa"/>
              <w:start w:w="85" w:type="dxa"/>
              <w:bottom w:w="65" w:type="dxa"/>
              <w:end w:w="85" w:type="dxa"/>
            </w:tcMar>
            <w:vAlign w:val="top"/>
          </w:tcPr>
          <w:p>
            <w:r>
              <w:rPr>
                <w:sz w:val="14"/>
              </w:rPr>
              <w:t>AWS Application Recovery Controller</w:t>
            </w:r>
          </w:p>
        </w:tc>
        <w:tc>
          <w:tcPr>
            <w:tcW w:type="dxa" w:w="4824"/>
            <w:tcMar>
              <w:top w:w="65" w:type="dxa"/>
              <w:start w:w="85" w:type="dxa"/>
              <w:bottom w:w="65" w:type="dxa"/>
              <w:end w:w="85" w:type="dxa"/>
            </w:tcMar>
            <w:vAlign w:val="top"/>
          </w:tcPr>
          <w:p>
            <w:r>
              <w:rPr>
                <w:sz w:val="14"/>
              </w:rPr>
              <w:t>Protect routing changes and verify recovery readiness.</w:t>
            </w:r>
          </w:p>
        </w:tc>
      </w:tr>
      <w:tr>
        <w:trPr>
          <w:cantSplit/>
        </w:trPr>
        <w:tc>
          <w:tcPr>
            <w:tcW w:type="dxa" w:w="2232"/>
            <w:tcMar>
              <w:top w:w="65" w:type="dxa"/>
              <w:start w:w="85" w:type="dxa"/>
              <w:bottom w:w="65" w:type="dxa"/>
              <w:end w:w="85" w:type="dxa"/>
            </w:tcMar>
            <w:vAlign w:val="top"/>
          </w:tcPr>
          <w:p>
            <w:r>
              <w:rPr>
                <w:sz w:val="14"/>
              </w:rPr>
              <w:t>Replication</w:t>
            </w:r>
          </w:p>
        </w:tc>
        <w:tc>
          <w:tcPr>
            <w:tcW w:type="dxa" w:w="2952"/>
            <w:tcMar>
              <w:top w:w="65" w:type="dxa"/>
              <w:start w:w="85" w:type="dxa"/>
              <w:bottom w:w="65" w:type="dxa"/>
              <w:end w:w="85" w:type="dxa"/>
            </w:tcMar>
            <w:vAlign w:val="top"/>
          </w:tcPr>
          <w:p>
            <w:r>
              <w:rPr>
                <w:sz w:val="14"/>
              </w:rPr>
              <w:t>Aurora Global Database / S3 replication</w:t>
            </w:r>
          </w:p>
        </w:tc>
        <w:tc>
          <w:tcPr>
            <w:tcW w:type="dxa" w:w="4824"/>
            <w:tcMar>
              <w:top w:w="65" w:type="dxa"/>
              <w:start w:w="85" w:type="dxa"/>
              <w:bottom w:w="65" w:type="dxa"/>
              <w:end w:w="85" w:type="dxa"/>
            </w:tcMar>
            <w:vAlign w:val="top"/>
          </w:tcPr>
          <w:p>
            <w:r>
              <w:rPr>
                <w:sz w:val="14"/>
              </w:rPr>
              <w:t>Replicate selected data across Regions.</w:t>
            </w:r>
          </w:p>
        </w:tc>
      </w:tr>
      <w:tr>
        <w:trPr>
          <w:cantSplit/>
        </w:trPr>
        <w:tc>
          <w:tcPr>
            <w:tcW w:type="dxa" w:w="2232"/>
            <w:tcMar>
              <w:top w:w="65" w:type="dxa"/>
              <w:start w:w="85" w:type="dxa"/>
              <w:bottom w:w="65" w:type="dxa"/>
              <w:end w:w="85" w:type="dxa"/>
            </w:tcMar>
            <w:vAlign w:val="top"/>
          </w:tcPr>
          <w:p>
            <w:r>
              <w:rPr>
                <w:sz w:val="14"/>
              </w:rPr>
              <w:t>Server recovery</w:t>
            </w:r>
          </w:p>
        </w:tc>
        <w:tc>
          <w:tcPr>
            <w:tcW w:type="dxa" w:w="2952"/>
            <w:tcMar>
              <w:top w:w="65" w:type="dxa"/>
              <w:start w:w="85" w:type="dxa"/>
              <w:bottom w:w="65" w:type="dxa"/>
              <w:end w:w="85" w:type="dxa"/>
            </w:tcMar>
            <w:vAlign w:val="top"/>
          </w:tcPr>
          <w:p>
            <w:r>
              <w:rPr>
                <w:sz w:val="14"/>
              </w:rPr>
              <w:t>AWS Elastic Disaster Recovery</w:t>
            </w:r>
          </w:p>
        </w:tc>
        <w:tc>
          <w:tcPr>
            <w:tcW w:type="dxa" w:w="4824"/>
            <w:tcMar>
              <w:top w:w="65" w:type="dxa"/>
              <w:start w:w="85" w:type="dxa"/>
              <w:bottom w:w="65" w:type="dxa"/>
              <w:end w:w="85" w:type="dxa"/>
            </w:tcMar>
            <w:vAlign w:val="top"/>
          </w:tcPr>
          <w:p>
            <w:r>
              <w:rPr>
                <w:sz w:val="14"/>
              </w:rPr>
              <w:t>Recover supported servers into AWS.</w:t>
            </w:r>
          </w:p>
        </w:tc>
      </w:tr>
      <w:tr>
        <w:trPr>
          <w:cantSplit/>
        </w:trPr>
        <w:tc>
          <w:tcPr>
            <w:tcW w:type="dxa" w:w="2232"/>
            <w:tcMar>
              <w:top w:w="65" w:type="dxa"/>
              <w:start w:w="85" w:type="dxa"/>
              <w:bottom w:w="65" w:type="dxa"/>
              <w:end w:w="85" w:type="dxa"/>
            </w:tcMar>
            <w:vAlign w:val="top"/>
          </w:tcPr>
          <w:p>
            <w:r>
              <w:rPr>
                <w:sz w:val="14"/>
              </w:rPr>
              <w:t>Backup</w:t>
            </w:r>
          </w:p>
        </w:tc>
        <w:tc>
          <w:tcPr>
            <w:tcW w:type="dxa" w:w="2952"/>
            <w:tcMar>
              <w:top w:w="65" w:type="dxa"/>
              <w:start w:w="85" w:type="dxa"/>
              <w:bottom w:w="65" w:type="dxa"/>
              <w:end w:w="85" w:type="dxa"/>
            </w:tcMar>
            <w:vAlign w:val="top"/>
          </w:tcPr>
          <w:p>
            <w:r>
              <w:rPr>
                <w:sz w:val="14"/>
              </w:rPr>
              <w:t>AWS Backup vaults</w:t>
            </w:r>
          </w:p>
        </w:tc>
        <w:tc>
          <w:tcPr>
            <w:tcW w:type="dxa" w:w="4824"/>
            <w:tcMar>
              <w:top w:w="65" w:type="dxa"/>
              <w:start w:w="85" w:type="dxa"/>
              <w:bottom w:w="65" w:type="dxa"/>
              <w:end w:w="85" w:type="dxa"/>
            </w:tcMar>
            <w:vAlign w:val="top"/>
          </w:tcPr>
          <w:p>
            <w:r>
              <w:rPr>
                <w:sz w:val="14"/>
              </w:rPr>
              <w:t>Retain isolated recovery points and test restoration.</w:t>
            </w:r>
          </w:p>
        </w:tc>
      </w:tr>
    </w:tbl>
    <w:p>
      <w:pPr>
        <w:pStyle w:val="Heading2"/>
        <w:keepNext/>
      </w:pPr>
      <w:r>
        <w:t>Architecture and Operating Decisions</w:t>
      </w:r>
    </w:p>
    <w:p>
      <w:pPr>
        <w:pStyle w:val="ListBullet"/>
      </w:pPr>
      <w:r>
        <w:t>Use AWS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route 53, global accelerator and traffic control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recovery_tiers:</w:t>
              <w:br/>
              <w:t xml:space="preserve">  tier_0:</w:t>
              <w:br/>
              <w:t xml:space="preserve">    pattern: multi_region_active_active</w:t>
              <w:br/>
              <w:t xml:space="preserve">    rto: minutes</w:t>
              <w:br/>
              <w:t xml:space="preserve">    rpo: near_zero</w:t>
              <w:br/>
              <w:t xml:space="preserve">  tier_1:</w:t>
              <w:br/>
              <w:t xml:space="preserve">    pattern: warm_standby</w:t>
              <w:br/>
              <w:t xml:space="preserve">    rto: &lt;60m</w:t>
              <w:br/>
              <w:t xml:space="preserve">    rpo: &lt;15m</w:t>
              <w:br/>
              <w:t xml:space="preserve">  tier_2:</w:t>
              <w:br/>
              <w:t xml:space="preserve">    pattern: backup_restore</w:t>
              <w:br/>
              <w:t xml:space="preserve">    rto: hours</w:t>
              <w:br/>
              <w:t>controls: [route53_health, recovery_readiness, restore_test, failback_plan]</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aws reliability, multi-region design and disaster recovery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17: Run an AWS Regional Recovery and Failback Exercise</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aws reliability, multi-region design and disaster recovery using fictional enterprise requirements.</w:t>
      </w:r>
    </w:p>
    <w:p>
      <w:pPr>
        <w:ind w:left="360" w:hanging="360"/>
      </w:pPr>
      <w:r>
        <w:rPr>
          <w:b/>
        </w:rPr>
        <w:t xml:space="preserve">2. </w:t>
      </w:r>
      <w:r>
        <w:t>Implement the smallest safe sandbox using Multi-AZ services / Auto Scaling, Route 53 / Global Accelerator, AWS Application Recovery Controller;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AWS Reliability, Multi-Region Design and Disaster Recovery?</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AWS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Availability Zone failure isolation defines a key architecture boundary.</w:t>
      </w:r>
    </w:p>
    <w:p>
      <w:pPr>
        <w:pStyle w:val="ListBullet"/>
      </w:pPr>
      <w:r>
        <w:t>Multi-Region application and data patterns must be automated and least-privileged.</w:t>
      </w:r>
    </w:p>
    <w:p>
      <w:pPr>
        <w:pStyle w:val="ListBullet"/>
      </w:pPr>
      <w:r>
        <w:t>Route 53, Global Accelerator and traffic control requires policy, telemetry and recovery evidence.</w:t>
      </w:r>
    </w:p>
    <w:p>
      <w:pPr>
        <w:pStyle w:val="ListBullet"/>
      </w:pPr>
      <w:r>
        <w:t>Backup, Elastic Disaster Recovery and recovery exercises should be tested before production and after material change.</w:t>
      </w:r>
    </w:p>
    <w:p>
      <w:r>
        <w:br w:type="page"/>
      </w:r>
    </w:p>
    <w:p>
      <w:pPr>
        <w:jc w:val="center"/>
      </w:pPr>
      <w:r>
        <w:rPr>
          <w:b/>
          <w:color w:val="14919B"/>
          <w:sz w:val="17"/>
        </w:rPr>
        <w:t>VOLUME 12B  |  CHAPTER 18</w:t>
      </w:r>
    </w:p>
    <w:p>
      <w:pPr>
        <w:pStyle w:val="Heading1"/>
        <w:jc w:val="center"/>
      </w:pPr>
      <w:r>
        <w:t>Chapter 18: AWS Observability, Systems Management and Incident Operations</w:t>
      </w:r>
    </w:p>
    <w:p>
      <w:pPr>
        <w:jc w:val="center"/>
      </w:pPr>
      <w:r>
        <w:rPr>
          <w:i/>
          <w:color w:val="4B5563"/>
          <w:sz w:val="20"/>
        </w:rPr>
        <w:t>Operating workloads through metrics, logs, traces, inventory and safe automation</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Cloud operations require more than dashboards. Teams need consistent telemetry, fleet management, change evidence, alarms tied to user impact and incident runbooks that work under pressure.</w:t>
            </w:r>
          </w:p>
        </w:tc>
      </w:tr>
    </w:tbl>
    <w:p>
      <w:pPr>
        <w:spacing w:after="0"/>
      </w:pPr>
    </w:p>
    <w:p>
      <w:pPr>
        <w:pStyle w:val="Heading2"/>
        <w:keepNext/>
      </w:pPr>
      <w:r>
        <w:t>Learning Objectives</w:t>
      </w:r>
    </w:p>
    <w:p>
      <w:pPr>
        <w:pStyle w:val="ListBullet"/>
      </w:pPr>
      <w:r>
        <w:t>Explain the architecture, responsibility boundaries and major trade-offs of cloudwatch metrics, logs and alarms.</w:t>
      </w:r>
    </w:p>
    <w:p>
      <w:pPr>
        <w:pStyle w:val="ListBullet"/>
      </w:pPr>
      <w:r>
        <w:t>Design opentelemetry, x-ray and service correlation for enterprise scale, least privilege and bounded failure.</w:t>
      </w:r>
    </w:p>
    <w:p>
      <w:pPr>
        <w:pStyle w:val="ListBullet"/>
      </w:pPr>
      <w:r>
        <w:t>Implement systems manager fleet and automation controls through version-controlled automation and policy checks.</w:t>
      </w:r>
    </w:p>
    <w:p>
      <w:pPr>
        <w:pStyle w:val="ListBullet"/>
      </w:pPr>
      <w:r>
        <w:t>Troubleshoot incident detection, response and operational evidence using provider-native telemetry and repeatable evidence.</w:t>
      </w:r>
    </w:p>
    <w:p>
      <w:pPr>
        <w:pStyle w:val="ListBullet"/>
      </w:pPr>
      <w:r>
        <w:t>Deliver a sanitized portfolio artifact for create an aws operations dashboard and incident drill.</w:t>
      </w:r>
    </w:p>
    <w:p>
      <w:pPr>
        <w:pStyle w:val="Heading2"/>
        <w:keepNext/>
      </w:pPr>
      <w:r>
        <w:t>Core Concepts</w:t>
      </w:r>
    </w:p>
    <w:p>
      <w:pPr>
        <w:pStyle w:val="Heading3"/>
        <w:keepNext/>
      </w:pPr>
      <w:r>
        <w:t>CloudWatch metrics, logs and alarms</w:t>
      </w:r>
    </w:p>
    <w:p>
      <w:pPr>
        <w:keepNext w:val="0"/>
      </w:pPr>
      <w:r>
        <w:t>CloudWatch metrics, logs and alarms is a design boundary, not merely a console feature. In AWS Observability, Systems Management and Incident Operations, the team must document ownership, trust assumptions, dependency direction, failure impact and the evidence used to prove the control. The recommended implementation uses Amazon CloudWatch, AWS X-Ray / OpenTelemetry, AWS Systems Manager, CloudTrail Lake only where they satisfy an explicit requirement; equivalent services are not automatically interchangeable.</w:t>
      </w:r>
    </w:p>
    <w:p>
      <w:pPr>
        <w:pStyle w:val="Heading3"/>
        <w:keepNext/>
      </w:pPr>
      <w:r>
        <w:t>OpenTelemetry, X-Ray and service correlation</w:t>
      </w:r>
    </w:p>
    <w:p>
      <w:pPr>
        <w:keepNext w:val="0"/>
      </w:pPr>
      <w:r>
        <w:t>A production implementation of OpenTelemetry, X-Ray and service correlation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Systems Manager fleet and automation controls</w:t>
      </w:r>
    </w:p>
    <w:p>
      <w:pPr>
        <w:keepNext w:val="0"/>
      </w:pPr>
      <w:r>
        <w:t>For Systems Manager fleet and automation controls,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Incident detection, response and operational evidence</w:t>
      </w:r>
    </w:p>
    <w:p>
      <w:pPr>
        <w:keepNext w:val="0"/>
      </w:pPr>
      <w:r>
        <w:t>The strongest validation for Incident detection, response and operational evidence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Metrics and logs</w:t>
            </w:r>
          </w:p>
        </w:tc>
        <w:tc>
          <w:tcPr>
            <w:tcW w:type="dxa" w:w="2952"/>
            <w:tcMar>
              <w:top w:w="65" w:type="dxa"/>
              <w:start w:w="85" w:type="dxa"/>
              <w:bottom w:w="65" w:type="dxa"/>
              <w:end w:w="85" w:type="dxa"/>
            </w:tcMar>
            <w:vAlign w:val="top"/>
          </w:tcPr>
          <w:p>
            <w:r>
              <w:rPr>
                <w:sz w:val="14"/>
              </w:rPr>
              <w:t>Amazon CloudWatch</w:t>
            </w:r>
          </w:p>
        </w:tc>
        <w:tc>
          <w:tcPr>
            <w:tcW w:type="dxa" w:w="4824"/>
            <w:tcMar>
              <w:top w:w="65" w:type="dxa"/>
              <w:start w:w="85" w:type="dxa"/>
              <w:bottom w:w="65" w:type="dxa"/>
              <w:end w:w="85" w:type="dxa"/>
            </w:tcMar>
            <w:vAlign w:val="top"/>
          </w:tcPr>
          <w:p>
            <w:r>
              <w:rPr>
                <w:sz w:val="14"/>
              </w:rPr>
              <w:t>Collect service and application telemetry and alarms.</w:t>
            </w:r>
          </w:p>
        </w:tc>
      </w:tr>
      <w:tr>
        <w:trPr>
          <w:cantSplit/>
        </w:trPr>
        <w:tc>
          <w:tcPr>
            <w:tcW w:type="dxa" w:w="2232"/>
            <w:tcMar>
              <w:top w:w="65" w:type="dxa"/>
              <w:start w:w="85" w:type="dxa"/>
              <w:bottom w:w="65" w:type="dxa"/>
              <w:end w:w="85" w:type="dxa"/>
            </w:tcMar>
            <w:vAlign w:val="top"/>
          </w:tcPr>
          <w:p>
            <w:r>
              <w:rPr>
                <w:sz w:val="14"/>
              </w:rPr>
              <w:t>Tracing</w:t>
            </w:r>
          </w:p>
        </w:tc>
        <w:tc>
          <w:tcPr>
            <w:tcW w:type="dxa" w:w="2952"/>
            <w:tcMar>
              <w:top w:w="65" w:type="dxa"/>
              <w:start w:w="85" w:type="dxa"/>
              <w:bottom w:w="65" w:type="dxa"/>
              <w:end w:w="85" w:type="dxa"/>
            </w:tcMar>
            <w:vAlign w:val="top"/>
          </w:tcPr>
          <w:p>
            <w:r>
              <w:rPr>
                <w:sz w:val="14"/>
              </w:rPr>
              <w:t>AWS X-Ray / OpenTelemetry</w:t>
            </w:r>
          </w:p>
        </w:tc>
        <w:tc>
          <w:tcPr>
            <w:tcW w:type="dxa" w:w="4824"/>
            <w:tcMar>
              <w:top w:w="65" w:type="dxa"/>
              <w:start w:w="85" w:type="dxa"/>
              <w:bottom w:w="65" w:type="dxa"/>
              <w:end w:w="85" w:type="dxa"/>
            </w:tcMar>
            <w:vAlign w:val="top"/>
          </w:tcPr>
          <w:p>
            <w:r>
              <w:rPr>
                <w:sz w:val="14"/>
              </w:rPr>
              <w:t>Correlate requests across distributed services.</w:t>
            </w:r>
          </w:p>
        </w:tc>
      </w:tr>
      <w:tr>
        <w:trPr>
          <w:cantSplit/>
        </w:trPr>
        <w:tc>
          <w:tcPr>
            <w:tcW w:type="dxa" w:w="2232"/>
            <w:tcMar>
              <w:top w:w="65" w:type="dxa"/>
              <w:start w:w="85" w:type="dxa"/>
              <w:bottom w:w="65" w:type="dxa"/>
              <w:end w:w="85" w:type="dxa"/>
            </w:tcMar>
            <w:vAlign w:val="top"/>
          </w:tcPr>
          <w:p>
            <w:r>
              <w:rPr>
                <w:sz w:val="14"/>
              </w:rPr>
              <w:t>Fleet operations</w:t>
            </w:r>
          </w:p>
        </w:tc>
        <w:tc>
          <w:tcPr>
            <w:tcW w:type="dxa" w:w="2952"/>
            <w:tcMar>
              <w:top w:w="65" w:type="dxa"/>
              <w:start w:w="85" w:type="dxa"/>
              <w:bottom w:w="65" w:type="dxa"/>
              <w:end w:w="85" w:type="dxa"/>
            </w:tcMar>
            <w:vAlign w:val="top"/>
          </w:tcPr>
          <w:p>
            <w:r>
              <w:rPr>
                <w:sz w:val="14"/>
              </w:rPr>
              <w:t>AWS Systems Manager</w:t>
            </w:r>
          </w:p>
        </w:tc>
        <w:tc>
          <w:tcPr>
            <w:tcW w:type="dxa" w:w="4824"/>
            <w:tcMar>
              <w:top w:w="65" w:type="dxa"/>
              <w:start w:w="85" w:type="dxa"/>
              <w:bottom w:w="65" w:type="dxa"/>
              <w:end w:w="85" w:type="dxa"/>
            </w:tcMar>
            <w:vAlign w:val="top"/>
          </w:tcPr>
          <w:p>
            <w:r>
              <w:rPr>
                <w:sz w:val="14"/>
              </w:rPr>
              <w:t>Inventory, patch, run commands and automate operations.</w:t>
            </w:r>
          </w:p>
        </w:tc>
      </w:tr>
      <w:tr>
        <w:trPr>
          <w:cantSplit/>
        </w:trPr>
        <w:tc>
          <w:tcPr>
            <w:tcW w:type="dxa" w:w="2232"/>
            <w:tcMar>
              <w:top w:w="65" w:type="dxa"/>
              <w:start w:w="85" w:type="dxa"/>
              <w:bottom w:w="65" w:type="dxa"/>
              <w:end w:w="85" w:type="dxa"/>
            </w:tcMar>
            <w:vAlign w:val="top"/>
          </w:tcPr>
          <w:p>
            <w:r>
              <w:rPr>
                <w:sz w:val="14"/>
              </w:rPr>
              <w:t>Audit</w:t>
            </w:r>
          </w:p>
        </w:tc>
        <w:tc>
          <w:tcPr>
            <w:tcW w:type="dxa" w:w="2952"/>
            <w:tcMar>
              <w:top w:w="65" w:type="dxa"/>
              <w:start w:w="85" w:type="dxa"/>
              <w:bottom w:w="65" w:type="dxa"/>
              <w:end w:w="85" w:type="dxa"/>
            </w:tcMar>
            <w:vAlign w:val="top"/>
          </w:tcPr>
          <w:p>
            <w:r>
              <w:rPr>
                <w:sz w:val="14"/>
              </w:rPr>
              <w:t>CloudTrail Lake</w:t>
            </w:r>
          </w:p>
        </w:tc>
        <w:tc>
          <w:tcPr>
            <w:tcW w:type="dxa" w:w="4824"/>
            <w:tcMar>
              <w:top w:w="65" w:type="dxa"/>
              <w:start w:w="85" w:type="dxa"/>
              <w:bottom w:w="65" w:type="dxa"/>
              <w:end w:w="85" w:type="dxa"/>
            </w:tcMar>
            <w:vAlign w:val="top"/>
          </w:tcPr>
          <w:p>
            <w:r>
              <w:rPr>
                <w:sz w:val="14"/>
              </w:rPr>
              <w:t>Investigate API activity and retain queryable evidence.</w:t>
            </w:r>
          </w:p>
        </w:tc>
      </w:tr>
      <w:tr>
        <w:trPr>
          <w:cantSplit/>
        </w:trPr>
        <w:tc>
          <w:tcPr>
            <w:tcW w:type="dxa" w:w="2232"/>
            <w:tcMar>
              <w:top w:w="65" w:type="dxa"/>
              <w:start w:w="85" w:type="dxa"/>
              <w:bottom w:w="65" w:type="dxa"/>
              <w:end w:w="85" w:type="dxa"/>
            </w:tcMar>
            <w:vAlign w:val="top"/>
          </w:tcPr>
          <w:p>
            <w:r>
              <w:rPr>
                <w:sz w:val="14"/>
              </w:rPr>
              <w:t>Incident workflow</w:t>
            </w:r>
          </w:p>
        </w:tc>
        <w:tc>
          <w:tcPr>
            <w:tcW w:type="dxa" w:w="2952"/>
            <w:tcMar>
              <w:top w:w="65" w:type="dxa"/>
              <w:start w:w="85" w:type="dxa"/>
              <w:bottom w:w="65" w:type="dxa"/>
              <w:end w:w="85" w:type="dxa"/>
            </w:tcMar>
            <w:vAlign w:val="top"/>
          </w:tcPr>
          <w:p>
            <w:r>
              <w:rPr>
                <w:sz w:val="14"/>
              </w:rPr>
              <w:t>Incident Manager / OpsCenter</w:t>
            </w:r>
          </w:p>
        </w:tc>
        <w:tc>
          <w:tcPr>
            <w:tcW w:type="dxa" w:w="4824"/>
            <w:tcMar>
              <w:top w:w="65" w:type="dxa"/>
              <w:start w:w="85" w:type="dxa"/>
              <w:bottom w:w="65" w:type="dxa"/>
              <w:end w:w="85" w:type="dxa"/>
            </w:tcMar>
            <w:vAlign w:val="top"/>
          </w:tcPr>
          <w:p>
            <w:r>
              <w:rPr>
                <w:sz w:val="14"/>
              </w:rPr>
              <w:t>Coordinate response and operational work items.</w:t>
            </w:r>
          </w:p>
        </w:tc>
      </w:tr>
      <w:tr>
        <w:trPr>
          <w:cantSplit/>
        </w:trPr>
        <w:tc>
          <w:tcPr>
            <w:tcW w:type="dxa" w:w="2232"/>
            <w:tcMar>
              <w:top w:w="65" w:type="dxa"/>
              <w:start w:w="85" w:type="dxa"/>
              <w:bottom w:w="65" w:type="dxa"/>
              <w:end w:w="85" w:type="dxa"/>
            </w:tcMar>
            <w:vAlign w:val="top"/>
          </w:tcPr>
          <w:p>
            <w:r>
              <w:rPr>
                <w:sz w:val="14"/>
              </w:rPr>
              <w:t>Health</w:t>
            </w:r>
          </w:p>
        </w:tc>
        <w:tc>
          <w:tcPr>
            <w:tcW w:type="dxa" w:w="2952"/>
            <w:tcMar>
              <w:top w:w="65" w:type="dxa"/>
              <w:start w:w="85" w:type="dxa"/>
              <w:bottom w:w="65" w:type="dxa"/>
              <w:end w:w="85" w:type="dxa"/>
            </w:tcMar>
            <w:vAlign w:val="top"/>
          </w:tcPr>
          <w:p>
            <w:r>
              <w:rPr>
                <w:sz w:val="14"/>
              </w:rPr>
              <w:t>AWS Health / service quotas</w:t>
            </w:r>
          </w:p>
        </w:tc>
        <w:tc>
          <w:tcPr>
            <w:tcW w:type="dxa" w:w="4824"/>
            <w:tcMar>
              <w:top w:w="65" w:type="dxa"/>
              <w:start w:w="85" w:type="dxa"/>
              <w:bottom w:w="65" w:type="dxa"/>
              <w:end w:w="85" w:type="dxa"/>
            </w:tcMar>
            <w:vAlign w:val="top"/>
          </w:tcPr>
          <w:p>
            <w:r>
              <w:rPr>
                <w:sz w:val="14"/>
              </w:rPr>
              <w:t>Detect provider events and capacity constraints.</w:t>
            </w:r>
          </w:p>
        </w:tc>
      </w:tr>
    </w:tbl>
    <w:p>
      <w:pPr>
        <w:pStyle w:val="Heading2"/>
        <w:keepNext/>
      </w:pPr>
      <w:r>
        <w:t>Architecture and Operating Decisions</w:t>
      </w:r>
    </w:p>
    <w:p>
      <w:pPr>
        <w:pStyle w:val="ListBullet"/>
      </w:pPr>
      <w:r>
        <w:t>Use AWS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systems manager fleet and automation controls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operational_standard:</w:t>
              <w:br/>
              <w:t xml:space="preserve">  telemetry: [metrics, structured_logs, traces, audit]</w:t>
              <w:br/>
              <w:t xml:space="preserve">  alarms: [symptom_based, actionable, owned]</w:t>
              <w:br/>
              <w:t xml:space="preserve">  fleet: systems_manager_managed</w:t>
              <w:br/>
              <w:t xml:space="preserve">  changes: maintenance_windows_and_automation</w:t>
              <w:br/>
              <w:t xml:space="preserve">  incident:</w:t>
              <w:br/>
              <w:t xml:space="preserve">    roles: [commander, operations, communications]</w:t>
              <w:br/>
              <w:t xml:space="preserve">    evidence: timeline_and_api_activity</w:t>
              <w:br/>
              <w:t xml:space="preserve">  game_day: quarterly</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aws observability, systems management and incident operations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18: Create an AWS Operations Dashboard and Incident Drill</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aws observability, systems management and incident operations using fictional enterprise requirements.</w:t>
      </w:r>
    </w:p>
    <w:p>
      <w:pPr>
        <w:ind w:left="360" w:hanging="360"/>
      </w:pPr>
      <w:r>
        <w:rPr>
          <w:b/>
        </w:rPr>
        <w:t xml:space="preserve">2. </w:t>
      </w:r>
      <w:r>
        <w:t>Implement the smallest safe sandbox using Amazon CloudWatch, AWS X-Ray / OpenTelemetry, AWS Systems Manager;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AWS Observability, Systems Management and Incident Operations?</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AWS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CloudWatch metrics, logs and alarms defines a key architecture boundary.</w:t>
      </w:r>
    </w:p>
    <w:p>
      <w:pPr>
        <w:pStyle w:val="ListBullet"/>
      </w:pPr>
      <w:r>
        <w:t>OpenTelemetry, X-Ray and service correlation must be automated and least-privileged.</w:t>
      </w:r>
    </w:p>
    <w:p>
      <w:pPr>
        <w:pStyle w:val="ListBullet"/>
      </w:pPr>
      <w:r>
        <w:t>Systems Manager fleet and automation controls requires policy, telemetry and recovery evidence.</w:t>
      </w:r>
    </w:p>
    <w:p>
      <w:pPr>
        <w:pStyle w:val="ListBullet"/>
      </w:pPr>
      <w:r>
        <w:t>Incident detection, response and operational evidence should be tested before production and after material change.</w:t>
      </w:r>
    </w:p>
    <w:p>
      <w:r>
        <w:br w:type="page"/>
      </w:r>
    </w:p>
    <w:p>
      <w:pPr>
        <w:jc w:val="center"/>
      </w:pPr>
      <w:r>
        <w:rPr>
          <w:b/>
          <w:color w:val="14919B"/>
          <w:sz w:val="17"/>
        </w:rPr>
        <w:t>VOLUME 12B  |  CHAPTER 19</w:t>
      </w:r>
    </w:p>
    <w:p>
      <w:pPr>
        <w:pStyle w:val="Heading1"/>
        <w:jc w:val="center"/>
      </w:pPr>
      <w:r>
        <w:t>Chapter 19: AWS FinOps, Governance and Cost Engineering</w:t>
      </w:r>
    </w:p>
    <w:p>
      <w:pPr>
        <w:jc w:val="center"/>
      </w:pPr>
      <w:r>
        <w:rPr>
          <w:i/>
          <w:color w:val="4B5563"/>
          <w:sz w:val="20"/>
        </w:rPr>
        <w:t>Connecting account ownership, usage drivers and commitments to business value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Cost optimization is unsafe when it ignores performance, recovery and growth. AWS cost engineering must combine allocation, unit economics, anomaly response and commitment governance.</w:t>
            </w:r>
          </w:p>
        </w:tc>
      </w:tr>
    </w:tbl>
    <w:p>
      <w:pPr>
        <w:spacing w:after="0"/>
      </w:pPr>
    </w:p>
    <w:p>
      <w:pPr>
        <w:pStyle w:val="Heading2"/>
        <w:keepNext/>
      </w:pPr>
      <w:r>
        <w:t>Learning Objectives</w:t>
      </w:r>
    </w:p>
    <w:p>
      <w:pPr>
        <w:pStyle w:val="ListBullet"/>
      </w:pPr>
      <w:r>
        <w:t>Explain the architecture, responsibility boundaries and major trade-offs of cost allocation, billing exports and ownership.</w:t>
      </w:r>
    </w:p>
    <w:p>
      <w:pPr>
        <w:pStyle w:val="ListBullet"/>
      </w:pPr>
      <w:r>
        <w:t>Design budgets, anomaly detection and guardrails for enterprise scale, least privilege and bounded failure.</w:t>
      </w:r>
    </w:p>
    <w:p>
      <w:pPr>
        <w:pStyle w:val="ListBullet"/>
      </w:pPr>
      <w:r>
        <w:t>Implement savings plans, reservations and capacity commitments through version-controlled automation and policy checks.</w:t>
      </w:r>
    </w:p>
    <w:p>
      <w:pPr>
        <w:pStyle w:val="ListBullet"/>
      </w:pPr>
      <w:r>
        <w:t>Troubleshoot rightsizing, data transfer and unit economics using provider-native telemetry and repeatable evidence.</w:t>
      </w:r>
    </w:p>
    <w:p>
      <w:pPr>
        <w:pStyle w:val="ListBullet"/>
      </w:pPr>
      <w:r>
        <w:t>Deliver a sanitized portfolio artifact for build an aws cost allocation and optimization review.</w:t>
      </w:r>
    </w:p>
    <w:p>
      <w:pPr>
        <w:pStyle w:val="Heading2"/>
        <w:keepNext/>
      </w:pPr>
      <w:r>
        <w:t>Core Concepts</w:t>
      </w:r>
    </w:p>
    <w:p>
      <w:pPr>
        <w:pStyle w:val="Heading3"/>
        <w:keepNext/>
      </w:pPr>
      <w:r>
        <w:t>Cost allocation, billing exports and ownership</w:t>
      </w:r>
    </w:p>
    <w:p>
      <w:pPr>
        <w:keepNext w:val="0"/>
      </w:pPr>
      <w:r>
        <w:t>Cost allocation, billing exports and ownership is a design boundary, not merely a console feature. In AWS FinOps, Governance and Cost Engineering, the team must document ownership, trust assumptions, dependency direction, failure impact and the evidence used to prove the control. The recommended implementation uses Cost Explorer / Data Exports, Cost allocation tags / account hierarchy, AWS Budgets / Cost Anomaly Detection, Savings Plans / Reserved Instances only where they satisfy an explicit requirement; equivalent services are not automatically interchangeable.</w:t>
      </w:r>
    </w:p>
    <w:p>
      <w:pPr>
        <w:pStyle w:val="Heading3"/>
        <w:keepNext/>
      </w:pPr>
      <w:r>
        <w:t>Budgets, anomaly detection and guardrails</w:t>
      </w:r>
    </w:p>
    <w:p>
      <w:pPr>
        <w:keepNext w:val="0"/>
      </w:pPr>
      <w:r>
        <w:t>A production implementation of Budgets, anomaly detection and guardrails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Savings Plans, reservations and capacity commitments</w:t>
      </w:r>
    </w:p>
    <w:p>
      <w:pPr>
        <w:keepNext w:val="0"/>
      </w:pPr>
      <w:r>
        <w:t>For Savings Plans, reservations and capacity commitments,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Rightsizing, data transfer and unit economics</w:t>
      </w:r>
    </w:p>
    <w:p>
      <w:pPr>
        <w:keepNext w:val="0"/>
      </w:pPr>
      <w:r>
        <w:t>The strongest validation for Rightsizing, data transfer and unit economics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Analysis</w:t>
            </w:r>
          </w:p>
        </w:tc>
        <w:tc>
          <w:tcPr>
            <w:tcW w:type="dxa" w:w="2952"/>
            <w:tcMar>
              <w:top w:w="65" w:type="dxa"/>
              <w:start w:w="85" w:type="dxa"/>
              <w:bottom w:w="65" w:type="dxa"/>
              <w:end w:w="85" w:type="dxa"/>
            </w:tcMar>
            <w:vAlign w:val="top"/>
          </w:tcPr>
          <w:p>
            <w:r>
              <w:rPr>
                <w:sz w:val="14"/>
              </w:rPr>
              <w:t>Cost Explorer / Data Exports</w:t>
            </w:r>
          </w:p>
        </w:tc>
        <w:tc>
          <w:tcPr>
            <w:tcW w:type="dxa" w:w="4824"/>
            <w:tcMar>
              <w:top w:w="65" w:type="dxa"/>
              <w:start w:w="85" w:type="dxa"/>
              <w:bottom w:w="65" w:type="dxa"/>
              <w:end w:w="85" w:type="dxa"/>
            </w:tcMar>
            <w:vAlign w:val="top"/>
          </w:tcPr>
          <w:p>
            <w:r>
              <w:rPr>
                <w:sz w:val="14"/>
              </w:rPr>
              <w:t>Analyze cost and usage by dimensions and custom reports.</w:t>
            </w:r>
          </w:p>
        </w:tc>
      </w:tr>
      <w:tr>
        <w:trPr>
          <w:cantSplit/>
        </w:trPr>
        <w:tc>
          <w:tcPr>
            <w:tcW w:type="dxa" w:w="2232"/>
            <w:tcMar>
              <w:top w:w="65" w:type="dxa"/>
              <w:start w:w="85" w:type="dxa"/>
              <w:bottom w:w="65" w:type="dxa"/>
              <w:end w:w="85" w:type="dxa"/>
            </w:tcMar>
            <w:vAlign w:val="top"/>
          </w:tcPr>
          <w:p>
            <w:r>
              <w:rPr>
                <w:sz w:val="14"/>
              </w:rPr>
              <w:t>Allocation</w:t>
            </w:r>
          </w:p>
        </w:tc>
        <w:tc>
          <w:tcPr>
            <w:tcW w:type="dxa" w:w="2952"/>
            <w:tcMar>
              <w:top w:w="65" w:type="dxa"/>
              <w:start w:w="85" w:type="dxa"/>
              <w:bottom w:w="65" w:type="dxa"/>
              <w:end w:w="85" w:type="dxa"/>
            </w:tcMar>
            <w:vAlign w:val="top"/>
          </w:tcPr>
          <w:p>
            <w:r>
              <w:rPr>
                <w:sz w:val="14"/>
              </w:rPr>
              <w:t>Cost allocation tags / account hierarchy</w:t>
            </w:r>
          </w:p>
        </w:tc>
        <w:tc>
          <w:tcPr>
            <w:tcW w:type="dxa" w:w="4824"/>
            <w:tcMar>
              <w:top w:w="65" w:type="dxa"/>
              <w:start w:w="85" w:type="dxa"/>
              <w:bottom w:w="65" w:type="dxa"/>
              <w:end w:w="85" w:type="dxa"/>
            </w:tcMar>
            <w:vAlign w:val="top"/>
          </w:tcPr>
          <w:p>
            <w:r>
              <w:rPr>
                <w:sz w:val="14"/>
              </w:rPr>
              <w:t>Map spend to product, environment and owner.</w:t>
            </w:r>
          </w:p>
        </w:tc>
      </w:tr>
      <w:tr>
        <w:trPr>
          <w:cantSplit/>
        </w:trPr>
        <w:tc>
          <w:tcPr>
            <w:tcW w:type="dxa" w:w="2232"/>
            <w:tcMar>
              <w:top w:w="65" w:type="dxa"/>
              <w:start w:w="85" w:type="dxa"/>
              <w:bottom w:w="65" w:type="dxa"/>
              <w:end w:w="85" w:type="dxa"/>
            </w:tcMar>
            <w:vAlign w:val="top"/>
          </w:tcPr>
          <w:p>
            <w:r>
              <w:rPr>
                <w:sz w:val="14"/>
              </w:rPr>
              <w:t>Control</w:t>
            </w:r>
          </w:p>
        </w:tc>
        <w:tc>
          <w:tcPr>
            <w:tcW w:type="dxa" w:w="2952"/>
            <w:tcMar>
              <w:top w:w="65" w:type="dxa"/>
              <w:start w:w="85" w:type="dxa"/>
              <w:bottom w:w="65" w:type="dxa"/>
              <w:end w:w="85" w:type="dxa"/>
            </w:tcMar>
            <w:vAlign w:val="top"/>
          </w:tcPr>
          <w:p>
            <w:r>
              <w:rPr>
                <w:sz w:val="14"/>
              </w:rPr>
              <w:t>AWS Budgets / Cost Anomaly Detection</w:t>
            </w:r>
          </w:p>
        </w:tc>
        <w:tc>
          <w:tcPr>
            <w:tcW w:type="dxa" w:w="4824"/>
            <w:tcMar>
              <w:top w:w="65" w:type="dxa"/>
              <w:start w:w="85" w:type="dxa"/>
              <w:bottom w:w="65" w:type="dxa"/>
              <w:end w:w="85" w:type="dxa"/>
            </w:tcMar>
            <w:vAlign w:val="top"/>
          </w:tcPr>
          <w:p>
            <w:r>
              <w:rPr>
                <w:sz w:val="14"/>
              </w:rPr>
              <w:t>Route threshold and unexpected-spend alerts.</w:t>
            </w:r>
          </w:p>
        </w:tc>
      </w:tr>
      <w:tr>
        <w:trPr>
          <w:cantSplit/>
        </w:trPr>
        <w:tc>
          <w:tcPr>
            <w:tcW w:type="dxa" w:w="2232"/>
            <w:tcMar>
              <w:top w:w="65" w:type="dxa"/>
              <w:start w:w="85" w:type="dxa"/>
              <w:bottom w:w="65" w:type="dxa"/>
              <w:end w:w="85" w:type="dxa"/>
            </w:tcMar>
            <w:vAlign w:val="top"/>
          </w:tcPr>
          <w:p>
            <w:r>
              <w:rPr>
                <w:sz w:val="14"/>
              </w:rPr>
              <w:t>Commitments</w:t>
            </w:r>
          </w:p>
        </w:tc>
        <w:tc>
          <w:tcPr>
            <w:tcW w:type="dxa" w:w="2952"/>
            <w:tcMar>
              <w:top w:w="65" w:type="dxa"/>
              <w:start w:w="85" w:type="dxa"/>
              <w:bottom w:w="65" w:type="dxa"/>
              <w:end w:w="85" w:type="dxa"/>
            </w:tcMar>
            <w:vAlign w:val="top"/>
          </w:tcPr>
          <w:p>
            <w:r>
              <w:rPr>
                <w:sz w:val="14"/>
              </w:rPr>
              <w:t>Savings Plans / Reserved Instances</w:t>
            </w:r>
          </w:p>
        </w:tc>
        <w:tc>
          <w:tcPr>
            <w:tcW w:type="dxa" w:w="4824"/>
            <w:tcMar>
              <w:top w:w="65" w:type="dxa"/>
              <w:start w:w="85" w:type="dxa"/>
              <w:bottom w:w="65" w:type="dxa"/>
              <w:end w:w="85" w:type="dxa"/>
            </w:tcMar>
            <w:vAlign w:val="top"/>
          </w:tcPr>
          <w:p>
            <w:r>
              <w:rPr>
                <w:sz w:val="14"/>
              </w:rPr>
              <w:t>Discount stable eligible usage with managed coverage risk.</w:t>
            </w:r>
          </w:p>
        </w:tc>
      </w:tr>
      <w:tr>
        <w:trPr>
          <w:cantSplit/>
        </w:trPr>
        <w:tc>
          <w:tcPr>
            <w:tcW w:type="dxa" w:w="2232"/>
            <w:tcMar>
              <w:top w:w="65" w:type="dxa"/>
              <w:start w:w="85" w:type="dxa"/>
              <w:bottom w:w="65" w:type="dxa"/>
              <w:end w:w="85" w:type="dxa"/>
            </w:tcMar>
            <w:vAlign w:val="top"/>
          </w:tcPr>
          <w:p>
            <w:r>
              <w:rPr>
                <w:sz w:val="14"/>
              </w:rPr>
              <w:t>Optimization</w:t>
            </w:r>
          </w:p>
        </w:tc>
        <w:tc>
          <w:tcPr>
            <w:tcW w:type="dxa" w:w="2952"/>
            <w:tcMar>
              <w:top w:w="65" w:type="dxa"/>
              <w:start w:w="85" w:type="dxa"/>
              <w:bottom w:w="65" w:type="dxa"/>
              <w:end w:w="85" w:type="dxa"/>
            </w:tcMar>
            <w:vAlign w:val="top"/>
          </w:tcPr>
          <w:p>
            <w:r>
              <w:rPr>
                <w:sz w:val="14"/>
              </w:rPr>
              <w:t>Compute Optimizer</w:t>
            </w:r>
          </w:p>
        </w:tc>
        <w:tc>
          <w:tcPr>
            <w:tcW w:type="dxa" w:w="4824"/>
            <w:tcMar>
              <w:top w:w="65" w:type="dxa"/>
              <w:start w:w="85" w:type="dxa"/>
              <w:bottom w:w="65" w:type="dxa"/>
              <w:end w:w="85" w:type="dxa"/>
            </w:tcMar>
            <w:vAlign w:val="top"/>
          </w:tcPr>
          <w:p>
            <w:r>
              <w:rPr>
                <w:sz w:val="14"/>
              </w:rPr>
              <w:t>Generate rightsizing and utilization recommendations.</w:t>
            </w:r>
          </w:p>
        </w:tc>
      </w:tr>
      <w:tr>
        <w:trPr>
          <w:cantSplit/>
        </w:trPr>
        <w:tc>
          <w:tcPr>
            <w:tcW w:type="dxa" w:w="2232"/>
            <w:tcMar>
              <w:top w:w="65" w:type="dxa"/>
              <w:start w:w="85" w:type="dxa"/>
              <w:bottom w:w="65" w:type="dxa"/>
              <w:end w:w="85" w:type="dxa"/>
            </w:tcMar>
            <w:vAlign w:val="top"/>
          </w:tcPr>
          <w:p>
            <w:r>
              <w:rPr>
                <w:sz w:val="14"/>
              </w:rPr>
              <w:t>Governance</w:t>
            </w:r>
          </w:p>
        </w:tc>
        <w:tc>
          <w:tcPr>
            <w:tcW w:type="dxa" w:w="2952"/>
            <w:tcMar>
              <w:top w:w="65" w:type="dxa"/>
              <w:start w:w="85" w:type="dxa"/>
              <w:bottom w:w="65" w:type="dxa"/>
              <w:end w:w="85" w:type="dxa"/>
            </w:tcMar>
            <w:vAlign w:val="top"/>
          </w:tcPr>
          <w:p>
            <w:r>
              <w:rPr>
                <w:sz w:val="14"/>
              </w:rPr>
              <w:t>Billing Conductor</w:t>
            </w:r>
          </w:p>
        </w:tc>
        <w:tc>
          <w:tcPr>
            <w:tcW w:type="dxa" w:w="4824"/>
            <w:tcMar>
              <w:top w:w="65" w:type="dxa"/>
              <w:start w:w="85" w:type="dxa"/>
              <w:bottom w:w="65" w:type="dxa"/>
              <w:end w:w="85" w:type="dxa"/>
            </w:tcMar>
            <w:vAlign w:val="top"/>
          </w:tcPr>
          <w:p>
            <w:r>
              <w:rPr>
                <w:sz w:val="14"/>
              </w:rPr>
              <w:t>Model chargeback or showback for billing groups.</w:t>
            </w:r>
          </w:p>
        </w:tc>
      </w:tr>
    </w:tbl>
    <w:p>
      <w:pPr>
        <w:pStyle w:val="Heading2"/>
        <w:keepNext/>
      </w:pPr>
      <w:r>
        <w:t>Architecture and Operating Decisions</w:t>
      </w:r>
    </w:p>
    <w:p>
      <w:pPr>
        <w:pStyle w:val="ListBullet"/>
      </w:pPr>
      <w:r>
        <w:t>Use AWS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savings plans, reservations and capacity commitments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finops_cycle:</w:t>
              <w:br/>
              <w:t xml:space="preserve">  inform: [allocation_coverage, daily_cost, unit_cost]</w:t>
              <w:br/>
              <w:t xml:space="preserve">  optimize: [rightsizing, scheduling, storage_tiering, data_transfer]</w:t>
              <w:br/>
              <w:t xml:space="preserve">  operate: [budget_owner, anomaly_runbook, commitment_review]</w:t>
              <w:br/>
              <w:t>commitments:</w:t>
              <w:br/>
              <w:t xml:space="preserve">  purchase_rule: conservative_baseline_only</w:t>
              <w:br/>
              <w:t xml:space="preserve">  review: monthly</w:t>
              <w:br/>
              <w:t xml:space="preserve">  protect: never_trade_slo_for_savings_without_approval</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aws finops, governance and cost engineering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19: Build an AWS Cost Allocation and Optimization Review</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aws finops, governance and cost engineering using fictional enterprise requirements.</w:t>
      </w:r>
    </w:p>
    <w:p>
      <w:pPr>
        <w:ind w:left="360" w:hanging="360"/>
      </w:pPr>
      <w:r>
        <w:rPr>
          <w:b/>
        </w:rPr>
        <w:t xml:space="preserve">2. </w:t>
      </w:r>
      <w:r>
        <w:t>Implement the smallest safe sandbox using Cost Explorer / Data Exports, Cost allocation tags / account hierarchy, AWS Budgets / Cost Anomaly Detection;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AWS FinOps, Governance and Cost Engineering?</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AWS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Cost allocation, billing exports and ownership defines a key architecture boundary.</w:t>
      </w:r>
    </w:p>
    <w:p>
      <w:pPr>
        <w:pStyle w:val="ListBullet"/>
      </w:pPr>
      <w:r>
        <w:t>Budgets, anomaly detection and guardrails must be automated and least-privileged.</w:t>
      </w:r>
    </w:p>
    <w:p>
      <w:pPr>
        <w:pStyle w:val="ListBullet"/>
      </w:pPr>
      <w:r>
        <w:t>Savings Plans, reservations and capacity commitments requires policy, telemetry and recovery evidence.</w:t>
      </w:r>
    </w:p>
    <w:p>
      <w:pPr>
        <w:pStyle w:val="ListBullet"/>
      </w:pPr>
      <w:r>
        <w:t>Rightsizing, data transfer and unit economics should be tested before production and after material change.</w:t>
      </w:r>
    </w:p>
    <w:p>
      <w:r>
        <w:br w:type="page"/>
      </w:r>
    </w:p>
    <w:p>
      <w:pPr>
        <w:jc w:val="center"/>
      </w:pPr>
      <w:r>
        <w:rPr>
          <w:b/>
          <w:color w:val="14919B"/>
          <w:sz w:val="17"/>
        </w:rPr>
        <w:t>VOLUME 12B  |  CHAPTER 20</w:t>
      </w:r>
    </w:p>
    <w:p>
      <w:pPr>
        <w:pStyle w:val="Heading1"/>
        <w:jc w:val="center"/>
      </w:pPr>
      <w:r>
        <w:t>Chapter 20: AWS Enterprise Landing-Zone Capstone</w:t>
      </w:r>
    </w:p>
    <w:p>
      <w:pPr>
        <w:jc w:val="center"/>
      </w:pPr>
      <w:r>
        <w:rPr>
          <w:i/>
          <w:color w:val="4B5563"/>
          <w:sz w:val="20"/>
        </w:rPr>
        <w:t>Integrating organization, identity, network, workloads, security, operations and cost</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Why this chapter matters: The AWS foundation is complete only when a workload account can be vended, connected, governed, observed, recovered and closed through a repeatable product workflow.</w:t>
            </w:r>
          </w:p>
        </w:tc>
      </w:tr>
    </w:tbl>
    <w:p>
      <w:pPr>
        <w:spacing w:after="0"/>
      </w:pPr>
    </w:p>
    <w:p>
      <w:pPr>
        <w:pStyle w:val="Heading2"/>
        <w:keepNext/>
      </w:pPr>
      <w:r>
        <w:t>Learning Objectives</w:t>
      </w:r>
    </w:p>
    <w:p>
      <w:pPr>
        <w:pStyle w:val="ListBullet"/>
      </w:pPr>
      <w:r>
        <w:t>Explain the architecture, responsibility boundaries and major trade-offs of account vending and baseline automation.</w:t>
      </w:r>
    </w:p>
    <w:p>
      <w:pPr>
        <w:pStyle w:val="ListBullet"/>
      </w:pPr>
      <w:r>
        <w:t>Design shared network, identity and security services for enterprise scale, least privilege and bounded failure.</w:t>
      </w:r>
    </w:p>
    <w:p>
      <w:pPr>
        <w:pStyle w:val="ListBullet"/>
      </w:pPr>
      <w:r>
        <w:t>Implement workload deployment and recovery validation through version-controlled automation and policy checks.</w:t>
      </w:r>
    </w:p>
    <w:p>
      <w:pPr>
        <w:pStyle w:val="ListBullet"/>
      </w:pPr>
      <w:r>
        <w:t>Troubleshoot operations, cost and lifecycle evidence using provider-native telemetry and repeatable evidence.</w:t>
      </w:r>
    </w:p>
    <w:p>
      <w:pPr>
        <w:pStyle w:val="ListBullet"/>
      </w:pPr>
      <w:r>
        <w:t>Deliver a sanitized portfolio artifact for deliver the aws enterprise foundation capstone.</w:t>
      </w:r>
    </w:p>
    <w:p>
      <w:pPr>
        <w:pStyle w:val="Heading2"/>
        <w:keepNext/>
      </w:pPr>
      <w:r>
        <w:t>Core Concepts</w:t>
      </w:r>
    </w:p>
    <w:p>
      <w:pPr>
        <w:pStyle w:val="Heading3"/>
        <w:keepNext/>
      </w:pPr>
      <w:r>
        <w:t>Account vending and baseline automation</w:t>
      </w:r>
    </w:p>
    <w:p>
      <w:pPr>
        <w:keepNext w:val="0"/>
      </w:pPr>
      <w:r>
        <w:t>Account vending and baseline automation is a design boundary, not merely a console feature. In AWS Enterprise Landing-Zone Capstone, the team must document ownership, trust assumptions, dependency direction, failure impact and the evidence used to prove the control. The recommended implementation uses Control Tower / Organizations, IAM Identity Center, Transit Gateway / Route 53 Resolver, CloudTrail / Config / GuardDuty / Security Hub only where they satisfy an explicit requirement; equivalent services are not automatically interchangeable.</w:t>
      </w:r>
    </w:p>
    <w:p>
      <w:pPr>
        <w:pStyle w:val="Heading3"/>
        <w:keepNext/>
      </w:pPr>
      <w:r>
        <w:t>Shared network, identity and security services</w:t>
      </w:r>
    </w:p>
    <w:p>
      <w:pPr>
        <w:keepNext w:val="0"/>
      </w:pPr>
      <w:r>
        <w:t>A production implementation of Shared network, identity and security services separates the management plane from workload execution and constrains blast radius. Architecture reviews should evaluate quotas, regional behavior, identity propagation, private connectivity, encryption, logging and recovery. The operational contract must state who changes the control, who monitors it and how an emergency exception expires.</w:t>
      </w:r>
    </w:p>
    <w:p>
      <w:pPr>
        <w:pStyle w:val="Heading3"/>
        <w:keepNext/>
      </w:pPr>
      <w:r>
        <w:t>Workload deployment and recovery validation</w:t>
      </w:r>
    </w:p>
    <w:p>
      <w:pPr>
        <w:keepNext w:val="0"/>
      </w:pPr>
      <w:r>
        <w:t>For Workload deployment and recovery validation, repeatability matters more than a one-time successful deployment. Infrastructure as code, policy tests, deployment verification, drift detection and rollback evidence should be retained together. A design is incomplete when it works only for the original engineer or depends on undocumented console steps.</w:t>
      </w:r>
    </w:p>
    <w:p>
      <w:pPr>
        <w:pStyle w:val="Heading3"/>
        <w:keepNext/>
      </w:pPr>
      <w:r>
        <w:t>Operations, cost and lifecycle evidence</w:t>
      </w:r>
    </w:p>
    <w:p>
      <w:pPr>
        <w:keepNext w:val="0"/>
      </w:pPr>
      <w:r>
        <w:t>The strongest validation for Operations, cost and lifecycle evidence combines an allowed test, a denied test and a failure test. Teams should prove normal workload behavior, demonstrate that prohibited behavior is blocked and exercise recovery under a bounded fault. Metrics, logs, audit events and cost records become part of the acceptance package.</w:t>
      </w:r>
    </w:p>
    <w:p>
      <w:pPr>
        <w:pStyle w:val="Heading2"/>
        <w:keepNext/>
      </w:pPr>
      <w:r>
        <w:t>Service and Capability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6B87"/>
            <w:tcMar>
              <w:top w:w="65" w:type="dxa"/>
              <w:start w:w="85" w:type="dxa"/>
              <w:bottom w:w="65" w:type="dxa"/>
              <w:end w:w="85" w:type="dxa"/>
            </w:tcMar>
            <w:vAlign w:val="center"/>
          </w:tcPr>
          <w:p>
            <w:r>
              <w:rPr>
                <w:b/>
                <w:color w:val="FFFFFF"/>
                <w:sz w:val="14"/>
              </w:rPr>
              <w:t>Capability</w:t>
            </w:r>
          </w:p>
        </w:tc>
        <w:tc>
          <w:tcPr>
            <w:tcW w:type="dxa" w:w="2952"/>
            <w:shd w:fill="176B87"/>
            <w:tcMar>
              <w:top w:w="65" w:type="dxa"/>
              <w:start w:w="85" w:type="dxa"/>
              <w:bottom w:w="65" w:type="dxa"/>
              <w:end w:w="85" w:type="dxa"/>
            </w:tcMar>
            <w:vAlign w:val="center"/>
          </w:tcPr>
          <w:p>
            <w:r>
              <w:rPr>
                <w:b/>
                <w:color w:val="FFFFFF"/>
                <w:sz w:val="14"/>
              </w:rPr>
              <w:t>Service or pattern</w:t>
            </w:r>
          </w:p>
        </w:tc>
        <w:tc>
          <w:tcPr>
            <w:tcW w:type="dxa" w:w="4824"/>
            <w:shd w:fill="176B87"/>
            <w:tcMar>
              <w:top w:w="65" w:type="dxa"/>
              <w:start w:w="85" w:type="dxa"/>
              <w:bottom w:w="65" w:type="dxa"/>
              <w:end w:w="85" w:type="dxa"/>
            </w:tcMar>
            <w:vAlign w:val="center"/>
          </w:tcPr>
          <w:p>
            <w:r>
              <w:rPr>
                <w:b/>
                <w:color w:val="FFFFFF"/>
                <w:sz w:val="14"/>
              </w:rPr>
              <w:t>Enterprise use</w:t>
            </w:r>
          </w:p>
        </w:tc>
      </w:tr>
      <w:tr>
        <w:trPr>
          <w:cantSplit/>
        </w:trPr>
        <w:tc>
          <w:tcPr>
            <w:tcW w:type="dxa" w:w="2232"/>
            <w:tcMar>
              <w:top w:w="65" w:type="dxa"/>
              <w:start w:w="85" w:type="dxa"/>
              <w:bottom w:w="65" w:type="dxa"/>
              <w:end w:w="85" w:type="dxa"/>
            </w:tcMar>
            <w:vAlign w:val="top"/>
          </w:tcPr>
          <w:p>
            <w:r>
              <w:rPr>
                <w:sz w:val="14"/>
              </w:rPr>
              <w:t>Foundation</w:t>
            </w:r>
          </w:p>
        </w:tc>
        <w:tc>
          <w:tcPr>
            <w:tcW w:type="dxa" w:w="2952"/>
            <w:tcMar>
              <w:top w:w="65" w:type="dxa"/>
              <w:start w:w="85" w:type="dxa"/>
              <w:bottom w:w="65" w:type="dxa"/>
              <w:end w:w="85" w:type="dxa"/>
            </w:tcMar>
            <w:vAlign w:val="top"/>
          </w:tcPr>
          <w:p>
            <w:r>
              <w:rPr>
                <w:sz w:val="14"/>
              </w:rPr>
              <w:t>Control Tower / Organizations</w:t>
            </w:r>
          </w:p>
        </w:tc>
        <w:tc>
          <w:tcPr>
            <w:tcW w:type="dxa" w:w="4824"/>
            <w:tcMar>
              <w:top w:w="65" w:type="dxa"/>
              <w:start w:w="85" w:type="dxa"/>
              <w:bottom w:w="65" w:type="dxa"/>
              <w:end w:w="85" w:type="dxa"/>
            </w:tcMar>
            <w:vAlign w:val="top"/>
          </w:tcPr>
          <w:p>
            <w:r>
              <w:rPr>
                <w:sz w:val="14"/>
              </w:rPr>
              <w:t>Create the governed multi-account estate.</w:t>
            </w:r>
          </w:p>
        </w:tc>
      </w:tr>
      <w:tr>
        <w:trPr>
          <w:cantSplit/>
        </w:trPr>
        <w:tc>
          <w:tcPr>
            <w:tcW w:type="dxa" w:w="2232"/>
            <w:tcMar>
              <w:top w:w="65" w:type="dxa"/>
              <w:start w:w="85" w:type="dxa"/>
              <w:bottom w:w="65" w:type="dxa"/>
              <w:end w:w="85" w:type="dxa"/>
            </w:tcMar>
            <w:vAlign w:val="top"/>
          </w:tcPr>
          <w:p>
            <w:r>
              <w:rPr>
                <w:sz w:val="14"/>
              </w:rPr>
              <w:t>Identity</w:t>
            </w:r>
          </w:p>
        </w:tc>
        <w:tc>
          <w:tcPr>
            <w:tcW w:type="dxa" w:w="2952"/>
            <w:tcMar>
              <w:top w:w="65" w:type="dxa"/>
              <w:start w:w="85" w:type="dxa"/>
              <w:bottom w:w="65" w:type="dxa"/>
              <w:end w:w="85" w:type="dxa"/>
            </w:tcMar>
            <w:vAlign w:val="top"/>
          </w:tcPr>
          <w:p>
            <w:r>
              <w:rPr>
                <w:sz w:val="14"/>
              </w:rPr>
              <w:t>IAM Identity Center</w:t>
            </w:r>
          </w:p>
        </w:tc>
        <w:tc>
          <w:tcPr>
            <w:tcW w:type="dxa" w:w="4824"/>
            <w:tcMar>
              <w:top w:w="65" w:type="dxa"/>
              <w:start w:w="85" w:type="dxa"/>
              <w:bottom w:w="65" w:type="dxa"/>
              <w:end w:w="85" w:type="dxa"/>
            </w:tcMar>
            <w:vAlign w:val="top"/>
          </w:tcPr>
          <w:p>
            <w:r>
              <w:rPr>
                <w:sz w:val="14"/>
              </w:rPr>
              <w:t>Provide federated workforce access.</w:t>
            </w:r>
          </w:p>
        </w:tc>
      </w:tr>
      <w:tr>
        <w:trPr>
          <w:cantSplit/>
        </w:trPr>
        <w:tc>
          <w:tcPr>
            <w:tcW w:type="dxa" w:w="2232"/>
            <w:tcMar>
              <w:top w:w="65" w:type="dxa"/>
              <w:start w:w="85" w:type="dxa"/>
              <w:bottom w:w="65" w:type="dxa"/>
              <w:end w:w="85" w:type="dxa"/>
            </w:tcMar>
            <w:vAlign w:val="top"/>
          </w:tcPr>
          <w:p>
            <w:r>
              <w:rPr>
                <w:sz w:val="14"/>
              </w:rPr>
              <w:t>Network</w:t>
            </w:r>
          </w:p>
        </w:tc>
        <w:tc>
          <w:tcPr>
            <w:tcW w:type="dxa" w:w="2952"/>
            <w:tcMar>
              <w:top w:w="65" w:type="dxa"/>
              <w:start w:w="85" w:type="dxa"/>
              <w:bottom w:w="65" w:type="dxa"/>
              <w:end w:w="85" w:type="dxa"/>
            </w:tcMar>
            <w:vAlign w:val="top"/>
          </w:tcPr>
          <w:p>
            <w:r>
              <w:rPr>
                <w:sz w:val="14"/>
              </w:rPr>
              <w:t>Transit Gateway / Route 53 Resolver</w:t>
            </w:r>
          </w:p>
        </w:tc>
        <w:tc>
          <w:tcPr>
            <w:tcW w:type="dxa" w:w="4824"/>
            <w:tcMar>
              <w:top w:w="65" w:type="dxa"/>
              <w:start w:w="85" w:type="dxa"/>
              <w:bottom w:w="65" w:type="dxa"/>
              <w:end w:w="85" w:type="dxa"/>
            </w:tcMar>
            <w:vAlign w:val="top"/>
          </w:tcPr>
          <w:p>
            <w:r>
              <w:rPr>
                <w:sz w:val="14"/>
              </w:rPr>
              <w:t>Connect accounts and hybrid services.</w:t>
            </w:r>
          </w:p>
        </w:tc>
      </w:tr>
      <w:tr>
        <w:trPr>
          <w:cantSplit/>
        </w:trPr>
        <w:tc>
          <w:tcPr>
            <w:tcW w:type="dxa" w:w="2232"/>
            <w:tcMar>
              <w:top w:w="65" w:type="dxa"/>
              <w:start w:w="85" w:type="dxa"/>
              <w:bottom w:w="65" w:type="dxa"/>
              <w:end w:w="85" w:type="dxa"/>
            </w:tcMar>
            <w:vAlign w:val="top"/>
          </w:tcPr>
          <w:p>
            <w:r>
              <w:rPr>
                <w:sz w:val="14"/>
              </w:rPr>
              <w:t>Security</w:t>
            </w:r>
          </w:p>
        </w:tc>
        <w:tc>
          <w:tcPr>
            <w:tcW w:type="dxa" w:w="2952"/>
            <w:tcMar>
              <w:top w:w="65" w:type="dxa"/>
              <w:start w:w="85" w:type="dxa"/>
              <w:bottom w:w="65" w:type="dxa"/>
              <w:end w:w="85" w:type="dxa"/>
            </w:tcMar>
            <w:vAlign w:val="top"/>
          </w:tcPr>
          <w:p>
            <w:r>
              <w:rPr>
                <w:sz w:val="14"/>
              </w:rPr>
              <w:t>CloudTrail / Config / GuardDuty / Security Hub</w:t>
            </w:r>
          </w:p>
        </w:tc>
        <w:tc>
          <w:tcPr>
            <w:tcW w:type="dxa" w:w="4824"/>
            <w:tcMar>
              <w:top w:w="65" w:type="dxa"/>
              <w:start w:w="85" w:type="dxa"/>
              <w:bottom w:w="65" w:type="dxa"/>
              <w:end w:w="85" w:type="dxa"/>
            </w:tcMar>
            <w:vAlign w:val="top"/>
          </w:tcPr>
          <w:p>
            <w:r>
              <w:rPr>
                <w:sz w:val="14"/>
              </w:rPr>
              <w:t>Centralize evidence and findings.</w:t>
            </w:r>
          </w:p>
        </w:tc>
      </w:tr>
      <w:tr>
        <w:trPr>
          <w:cantSplit/>
        </w:trPr>
        <w:tc>
          <w:tcPr>
            <w:tcW w:type="dxa" w:w="2232"/>
            <w:tcMar>
              <w:top w:w="65" w:type="dxa"/>
              <w:start w:w="85" w:type="dxa"/>
              <w:bottom w:w="65" w:type="dxa"/>
              <w:end w:w="85" w:type="dxa"/>
            </w:tcMar>
            <w:vAlign w:val="top"/>
          </w:tcPr>
          <w:p>
            <w:r>
              <w:rPr>
                <w:sz w:val="14"/>
              </w:rPr>
              <w:t>Delivery</w:t>
            </w:r>
          </w:p>
        </w:tc>
        <w:tc>
          <w:tcPr>
            <w:tcW w:type="dxa" w:w="2952"/>
            <w:tcMar>
              <w:top w:w="65" w:type="dxa"/>
              <w:start w:w="85" w:type="dxa"/>
              <w:bottom w:w="65" w:type="dxa"/>
              <w:end w:w="85" w:type="dxa"/>
            </w:tcMar>
            <w:vAlign w:val="top"/>
          </w:tcPr>
          <w:p>
            <w:r>
              <w:rPr>
                <w:sz w:val="14"/>
              </w:rPr>
              <w:t>Terraform and CI OIDC</w:t>
            </w:r>
          </w:p>
        </w:tc>
        <w:tc>
          <w:tcPr>
            <w:tcW w:type="dxa" w:w="4824"/>
            <w:tcMar>
              <w:top w:w="65" w:type="dxa"/>
              <w:start w:w="85" w:type="dxa"/>
              <w:bottom w:w="65" w:type="dxa"/>
              <w:end w:w="85" w:type="dxa"/>
            </w:tcMar>
            <w:vAlign w:val="top"/>
          </w:tcPr>
          <w:p>
            <w:r>
              <w:rPr>
                <w:sz w:val="14"/>
              </w:rPr>
              <w:t>Provision through reviewed automation.</w:t>
            </w:r>
          </w:p>
        </w:tc>
      </w:tr>
      <w:tr>
        <w:trPr>
          <w:cantSplit/>
        </w:trPr>
        <w:tc>
          <w:tcPr>
            <w:tcW w:type="dxa" w:w="2232"/>
            <w:tcMar>
              <w:top w:w="65" w:type="dxa"/>
              <w:start w:w="85" w:type="dxa"/>
              <w:bottom w:w="65" w:type="dxa"/>
              <w:end w:w="85" w:type="dxa"/>
            </w:tcMar>
            <w:vAlign w:val="top"/>
          </w:tcPr>
          <w:p>
            <w:r>
              <w:rPr>
                <w:sz w:val="14"/>
              </w:rPr>
              <w:t>Cost</w:t>
            </w:r>
          </w:p>
        </w:tc>
        <w:tc>
          <w:tcPr>
            <w:tcW w:type="dxa" w:w="2952"/>
            <w:tcMar>
              <w:top w:w="65" w:type="dxa"/>
              <w:start w:w="85" w:type="dxa"/>
              <w:bottom w:w="65" w:type="dxa"/>
              <w:end w:w="85" w:type="dxa"/>
            </w:tcMar>
            <w:vAlign w:val="top"/>
          </w:tcPr>
          <w:p>
            <w:r>
              <w:rPr>
                <w:sz w:val="14"/>
              </w:rPr>
              <w:t>Budgets / Data Exports</w:t>
            </w:r>
          </w:p>
        </w:tc>
        <w:tc>
          <w:tcPr>
            <w:tcW w:type="dxa" w:w="4824"/>
            <w:tcMar>
              <w:top w:w="65" w:type="dxa"/>
              <w:start w:w="85" w:type="dxa"/>
              <w:bottom w:w="65" w:type="dxa"/>
              <w:end w:w="85" w:type="dxa"/>
            </w:tcMar>
            <w:vAlign w:val="top"/>
          </w:tcPr>
          <w:p>
            <w:r>
              <w:rPr>
                <w:sz w:val="14"/>
              </w:rPr>
              <w:t>Allocate and govern spend by owner.</w:t>
            </w:r>
          </w:p>
        </w:tc>
      </w:tr>
    </w:tbl>
    <w:p>
      <w:pPr>
        <w:pStyle w:val="Heading2"/>
        <w:keepNext/>
      </w:pPr>
      <w:r>
        <w:t>Architecture and Operating Decisions</w:t>
      </w:r>
    </w:p>
    <w:p>
      <w:pPr>
        <w:pStyle w:val="ListBullet"/>
      </w:pPr>
      <w:r>
        <w:t>Use AWS managed services only after recording availability, security, portability and cost consequences.</w:t>
      </w:r>
    </w:p>
    <w:p>
      <w:pPr>
        <w:pStyle w:val="ListBullet"/>
      </w:pPr>
      <w:r>
        <w:t>Separate production, nonproduction, security and shared services with strong administrative and billing boundaries.</w:t>
      </w:r>
    </w:p>
    <w:p>
      <w:pPr>
        <w:pStyle w:val="ListBullet"/>
      </w:pPr>
      <w:r>
        <w:t>Prefer short-lived workload identity, private service access and centralized audit evidence over persistent credentials and public administration.</w:t>
      </w:r>
    </w:p>
    <w:p>
      <w:pPr>
        <w:pStyle w:val="ListBullet"/>
      </w:pPr>
      <w:r>
        <w:t>Automate workload deployment and recovery validation with reviewed plans, policy tests, staged rollout and post-deployment verification.</w:t>
      </w:r>
    </w:p>
    <w:p>
      <w:pPr>
        <w:pStyle w:val="ListBullet"/>
      </w:pPr>
      <w:r>
        <w:t>Define recovery objectives, quotas, ownership and decommissioning before the service becomes business critical.</w:t>
      </w:r>
    </w:p>
    <w:p>
      <w:pPr>
        <w:pStyle w:val="Heading2"/>
        <w:keepNext/>
      </w:pPr>
      <w:r>
        <w:t>Reference Configuration or Decision Pattern</w:t>
      </w:r>
    </w:p>
    <w:tbl>
      <w:tblPr>
        <w:tblW w:type="auto" w:w="0"/>
        <w:jc w:val="center"/>
        <w:tblLook w:firstColumn="1" w:firstRow="1" w:lastColumn="0" w:lastRow="0" w:noHBand="0" w:noVBand="1" w:val="04A0"/>
      </w:tblPr>
      <w:tblGrid>
        <w:gridCol w:w="10166"/>
      </w:tblGrid>
      <w:tr>
        <w:trPr>
          <w:cantSplit/>
        </w:trPr>
        <w:tc>
          <w:tcPr>
            <w:tcW w:type="dxa" w:w="10166"/>
            <w:shd w:fill="F3F5F7"/>
            <w:tcMar>
              <w:top w:w="85" w:type="dxa"/>
              <w:start w:w="115" w:type="dxa"/>
              <w:bottom w:w="85" w:type="dxa"/>
              <w:end w:w="115" w:type="dxa"/>
            </w:tcMar>
          </w:tcPr>
          <w:p>
            <w:pPr>
              <w:spacing w:after="0" w:line="240" w:lineRule="auto"/>
            </w:pPr>
            <w:r>
              <w:rPr>
                <w:rFonts w:ascii="DejaVu Sans Mono" w:hAnsi="DejaVu Sans Mono" w:eastAsia="DejaVu Sans Mono"/>
                <w:color w:val="1F2933"/>
                <w:sz w:val="14"/>
              </w:rPr>
              <w:t>acceptance:</w:t>
              <w:br/>
              <w:t xml:space="preserve">  account_vending_minutes: 30</w:t>
              <w:br/>
              <w:t xml:space="preserve">  long_lived_ci_keys: 0</w:t>
              <w:br/>
              <w:t xml:space="preserve">  public_storage_denied: true</w:t>
              <w:br/>
              <w:t xml:space="preserve">  audit_event_visible_minutes: 5</w:t>
              <w:br/>
              <w:t xml:space="preserve">  regional_recovery_tested: true</w:t>
              <w:br/>
              <w:t xml:space="preserve">  cost_owner_coverage_percent: 100</w:t>
              <w:br/>
              <w:t xml:space="preserve">  teardown_residual_billable_resources: 0</w:t>
            </w:r>
          </w:p>
        </w:tc>
      </w:tr>
    </w:tbl>
    <w:p>
      <w:r>
        <w:rPr>
          <w:b/>
        </w:rPr>
        <w:t xml:space="preserve">Interpretation: </w:t>
      </w:r>
      <w:r>
        <w:t>Treat the pattern as a starting point. Replace placeholders with measured requirements, provider limits and approved organizational standards.</w:t>
      </w:r>
    </w:p>
    <w:p>
      <w:pPr>
        <w:pStyle w:val="Heading2"/>
        <w:keepNext/>
      </w:pPr>
      <w:r>
        <w:t>Production Readiness Checklist</w:t>
      </w:r>
    </w:p>
    <w:p>
      <w:pPr>
        <w:ind w:left="259" w:hanging="259"/>
      </w:pPr>
      <w:r>
        <w:t>☐ Architecture diagrams and responsibility boundaries for aws enterprise landing-zone capstone are current and version controlled.</w:t>
      </w:r>
    </w:p>
    <w:p>
      <w:pPr>
        <w:ind w:left="259" w:hanging="259"/>
      </w:pPr>
      <w:r>
        <w:t>☐ Identity uses groups, roles, workload federation and privileged elevation with no unnecessary standing administrator access.</w:t>
      </w:r>
    </w:p>
    <w:p>
      <w:pPr>
        <w:ind w:left="259" w:hanging="259"/>
      </w:pPr>
      <w:r>
        <w:t>☐ Network paths, DNS behavior, encryption, audit logging and service limits are tested before production use.</w:t>
      </w:r>
    </w:p>
    <w:p>
      <w:pPr>
        <w:ind w:left="259" w:hanging="259"/>
      </w:pPr>
      <w:r>
        <w:t>☐ Changes are delivered through IaC with validation, policy, approval, rollback and drift detection.</w:t>
      </w:r>
    </w:p>
    <w:p>
      <w:pPr>
        <w:ind w:left="259" w:hanging="259"/>
      </w:pPr>
      <w:r>
        <w:t>☐ Recovery, cost allocation, ownership metadata and teardown have measurable evidence.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65" w:type="dxa"/>
              <w:start w:w="85" w:type="dxa"/>
              <w:bottom w:w="65" w:type="dxa"/>
              <w:end w:w="85" w:type="dxa"/>
            </w:tcMar>
            <w:vAlign w:val="center"/>
          </w:tcPr>
          <w:p>
            <w:r>
              <w:rPr>
                <w:b/>
                <w:color w:val="FFFFFF"/>
                <w:sz w:val="14"/>
              </w:rPr>
              <w:t>Symptom</w:t>
            </w:r>
          </w:p>
        </w:tc>
        <w:tc>
          <w:tcPr>
            <w:tcW w:type="dxa" w:w="2376"/>
            <w:shd w:fill="176B87"/>
            <w:tcMar>
              <w:top w:w="65" w:type="dxa"/>
              <w:start w:w="85" w:type="dxa"/>
              <w:bottom w:w="65" w:type="dxa"/>
              <w:end w:w="85" w:type="dxa"/>
            </w:tcMar>
            <w:vAlign w:val="center"/>
          </w:tcPr>
          <w:p>
            <w:r>
              <w:rPr>
                <w:b/>
                <w:color w:val="FFFFFF"/>
                <w:sz w:val="14"/>
              </w:rPr>
              <w:t>Likely cause</w:t>
            </w:r>
          </w:p>
        </w:tc>
        <w:tc>
          <w:tcPr>
            <w:tcW w:type="dxa" w:w="3096"/>
            <w:shd w:fill="176B87"/>
            <w:tcMar>
              <w:top w:w="65" w:type="dxa"/>
              <w:start w:w="85" w:type="dxa"/>
              <w:bottom w:w="65" w:type="dxa"/>
              <w:end w:w="85" w:type="dxa"/>
            </w:tcMar>
            <w:vAlign w:val="center"/>
          </w:tcPr>
          <w:p>
            <w:r>
              <w:rPr>
                <w:b/>
                <w:color w:val="FFFFFF"/>
                <w:sz w:val="14"/>
              </w:rPr>
              <w:t>Corrective action</w:t>
            </w:r>
          </w:p>
        </w:tc>
        <w:tc>
          <w:tcPr>
            <w:tcW w:type="dxa" w:w="2232"/>
            <w:shd w:fill="176B87"/>
            <w:tcMar>
              <w:top w:w="65" w:type="dxa"/>
              <w:start w:w="85" w:type="dxa"/>
              <w:bottom w:w="65" w:type="dxa"/>
              <w:end w:w="85" w:type="dxa"/>
            </w:tcMar>
            <w:vAlign w:val="center"/>
          </w:tcPr>
          <w:p>
            <w:r>
              <w:rPr>
                <w:b/>
                <w:color w:val="FFFFFF"/>
                <w:sz w:val="14"/>
              </w:rPr>
              <w:t>Validation evidence</w:t>
            </w:r>
          </w:p>
        </w:tc>
      </w:tr>
      <w:tr>
        <w:trPr>
          <w:cantSplit/>
        </w:trPr>
        <w:tc>
          <w:tcPr>
            <w:tcW w:type="dxa" w:w="1944"/>
            <w:tcMar>
              <w:top w:w="65" w:type="dxa"/>
              <w:start w:w="85" w:type="dxa"/>
              <w:bottom w:w="65" w:type="dxa"/>
              <w:end w:w="85" w:type="dxa"/>
            </w:tcMar>
            <w:vAlign w:val="top"/>
          </w:tcPr>
          <w:p>
            <w:r>
              <w:rPr>
                <w:sz w:val="14"/>
              </w:rPr>
              <w:t>Deployment succeeds but service is unreachable</w:t>
            </w:r>
          </w:p>
        </w:tc>
        <w:tc>
          <w:tcPr>
            <w:tcW w:type="dxa" w:w="2376"/>
            <w:tcMar>
              <w:top w:w="65" w:type="dxa"/>
              <w:start w:w="85" w:type="dxa"/>
              <w:bottom w:w="65" w:type="dxa"/>
              <w:end w:w="85" w:type="dxa"/>
            </w:tcMar>
            <w:vAlign w:val="top"/>
          </w:tcPr>
          <w:p>
            <w:r>
              <w:rPr>
                <w:sz w:val="14"/>
              </w:rPr>
              <w:t>Route, firewall, DNS or private-endpoint path is incomplete</w:t>
            </w:r>
          </w:p>
        </w:tc>
        <w:tc>
          <w:tcPr>
            <w:tcW w:type="dxa" w:w="3096"/>
            <w:tcMar>
              <w:top w:w="65" w:type="dxa"/>
              <w:start w:w="85" w:type="dxa"/>
              <w:bottom w:w="65" w:type="dxa"/>
              <w:end w:w="85" w:type="dxa"/>
            </w:tcMar>
            <w:vAlign w:val="top"/>
          </w:tcPr>
          <w:p>
            <w:r>
              <w:rPr>
                <w:sz w:val="14"/>
              </w:rPr>
              <w:t>Trace the path hop by hop; compare route, policy, DNS and endpoint state; then run an explicit reachability test.</w:t>
            </w:r>
          </w:p>
        </w:tc>
        <w:tc>
          <w:tcPr>
            <w:tcW w:type="dxa" w:w="2232"/>
            <w:tcMar>
              <w:top w:w="65" w:type="dxa"/>
              <w:start w:w="85" w:type="dxa"/>
              <w:bottom w:w="65" w:type="dxa"/>
              <w:end w:w="85" w:type="dxa"/>
            </w:tcMar>
            <w:vAlign w:val="top"/>
          </w:tcPr>
          <w:p>
            <w:r>
              <w:rPr>
                <w:sz w:val="14"/>
              </w:rPr>
              <w:t>Successful synthetic request and flow/audit evidence</w:t>
            </w:r>
          </w:p>
        </w:tc>
      </w:tr>
      <w:tr>
        <w:trPr>
          <w:cantSplit/>
        </w:trPr>
        <w:tc>
          <w:tcPr>
            <w:tcW w:type="dxa" w:w="1944"/>
            <w:tcMar>
              <w:top w:w="65" w:type="dxa"/>
              <w:start w:w="85" w:type="dxa"/>
              <w:bottom w:w="65" w:type="dxa"/>
              <w:end w:w="85" w:type="dxa"/>
            </w:tcMar>
            <w:vAlign w:val="top"/>
          </w:tcPr>
          <w:p>
            <w:r>
              <w:rPr>
                <w:sz w:val="14"/>
              </w:rPr>
              <w:t>Authorization is broader than intended</w:t>
            </w:r>
          </w:p>
        </w:tc>
        <w:tc>
          <w:tcPr>
            <w:tcW w:type="dxa" w:w="2376"/>
            <w:tcMar>
              <w:top w:w="65" w:type="dxa"/>
              <w:start w:w="85" w:type="dxa"/>
              <w:bottom w:w="65" w:type="dxa"/>
              <w:end w:w="85" w:type="dxa"/>
            </w:tcMar>
            <w:vAlign w:val="top"/>
          </w:tcPr>
          <w:p>
            <w:r>
              <w:rPr>
                <w:sz w:val="14"/>
              </w:rPr>
              <w:t>Inherited role, wildcard permission or unmanaged credential</w:t>
            </w:r>
          </w:p>
        </w:tc>
        <w:tc>
          <w:tcPr>
            <w:tcW w:type="dxa" w:w="3096"/>
            <w:tcMar>
              <w:top w:w="65" w:type="dxa"/>
              <w:start w:w="85" w:type="dxa"/>
              <w:bottom w:w="65" w:type="dxa"/>
              <w:end w:w="85" w:type="dxa"/>
            </w:tcMar>
            <w:vAlign w:val="top"/>
          </w:tcPr>
          <w:p>
            <w:r>
              <w:rPr>
                <w:sz w:val="14"/>
              </w:rPr>
              <w:t>Inspect effective permissions, credential age and access logs; replace broad grants with scoped roles and short-lived identity.</w:t>
            </w:r>
          </w:p>
        </w:tc>
        <w:tc>
          <w:tcPr>
            <w:tcW w:type="dxa" w:w="2232"/>
            <w:tcMar>
              <w:top w:w="65" w:type="dxa"/>
              <w:start w:w="85" w:type="dxa"/>
              <w:bottom w:w="65" w:type="dxa"/>
              <w:end w:w="85" w:type="dxa"/>
            </w:tcMar>
            <w:vAlign w:val="top"/>
          </w:tcPr>
          <w:p>
            <w:r>
              <w:rPr>
                <w:sz w:val="14"/>
              </w:rPr>
              <w:t>Effective-access review and denied-action test</w:t>
            </w:r>
          </w:p>
        </w:tc>
      </w:tr>
      <w:tr>
        <w:trPr>
          <w:cantSplit/>
        </w:trPr>
        <w:tc>
          <w:tcPr>
            <w:tcW w:type="dxa" w:w="1944"/>
            <w:tcMar>
              <w:top w:w="65" w:type="dxa"/>
              <w:start w:w="85" w:type="dxa"/>
              <w:bottom w:w="65" w:type="dxa"/>
              <w:end w:w="85" w:type="dxa"/>
            </w:tcMar>
            <w:vAlign w:val="top"/>
          </w:tcPr>
          <w:p>
            <w:r>
              <w:rPr>
                <w:sz w:val="14"/>
              </w:rPr>
              <w:t>Regional failure breaks the workload</w:t>
            </w:r>
          </w:p>
        </w:tc>
        <w:tc>
          <w:tcPr>
            <w:tcW w:type="dxa" w:w="2376"/>
            <w:tcMar>
              <w:top w:w="65" w:type="dxa"/>
              <w:start w:w="85" w:type="dxa"/>
              <w:bottom w:w="65" w:type="dxa"/>
              <w:end w:w="85" w:type="dxa"/>
            </w:tcMar>
            <w:vAlign w:val="top"/>
          </w:tcPr>
          <w:p>
            <w:r>
              <w:rPr>
                <w:sz w:val="14"/>
              </w:rPr>
              <w:t>State, dependency or failover mechanism remained single-region</w:t>
            </w:r>
          </w:p>
        </w:tc>
        <w:tc>
          <w:tcPr>
            <w:tcW w:type="dxa" w:w="3096"/>
            <w:tcMar>
              <w:top w:w="65" w:type="dxa"/>
              <w:start w:w="85" w:type="dxa"/>
              <w:bottom w:w="65" w:type="dxa"/>
              <w:end w:w="85" w:type="dxa"/>
            </w:tcMar>
            <w:vAlign w:val="top"/>
          </w:tcPr>
          <w:p>
            <w:r>
              <w:rPr>
                <w:sz w:val="14"/>
              </w:rPr>
              <w:t>Map stateful dependencies, restore order and traffic controls; exercise failover and failback against measured RTO/RPO.</w:t>
            </w:r>
          </w:p>
        </w:tc>
        <w:tc>
          <w:tcPr>
            <w:tcW w:type="dxa" w:w="2232"/>
            <w:tcMar>
              <w:top w:w="65" w:type="dxa"/>
              <w:start w:w="85" w:type="dxa"/>
              <w:bottom w:w="65" w:type="dxa"/>
              <w:end w:w="85" w:type="dxa"/>
            </w:tcMar>
            <w:vAlign w:val="top"/>
          </w:tcPr>
          <w:p>
            <w:r>
              <w:rPr>
                <w:sz w:val="14"/>
              </w:rPr>
              <w:t>Timed recovery log with data-integrity checks</w:t>
            </w:r>
          </w:p>
        </w:tc>
      </w:tr>
      <w:tr>
        <w:trPr>
          <w:cantSplit/>
        </w:trPr>
        <w:tc>
          <w:tcPr>
            <w:tcW w:type="dxa" w:w="1944"/>
            <w:tcMar>
              <w:top w:w="65" w:type="dxa"/>
              <w:start w:w="85" w:type="dxa"/>
              <w:bottom w:w="65" w:type="dxa"/>
              <w:end w:w="85" w:type="dxa"/>
            </w:tcMar>
            <w:vAlign w:val="top"/>
          </w:tcPr>
          <w:p>
            <w:r>
              <w:rPr>
                <w:sz w:val="14"/>
              </w:rPr>
              <w:t>Cost rises without traffic growth</w:t>
            </w:r>
          </w:p>
        </w:tc>
        <w:tc>
          <w:tcPr>
            <w:tcW w:type="dxa" w:w="2376"/>
            <w:tcMar>
              <w:top w:w="65" w:type="dxa"/>
              <w:start w:w="85" w:type="dxa"/>
              <w:bottom w:w="65" w:type="dxa"/>
              <w:end w:w="85" w:type="dxa"/>
            </w:tcMar>
            <w:vAlign w:val="top"/>
          </w:tcPr>
          <w:p>
            <w:r>
              <w:rPr>
                <w:sz w:val="14"/>
              </w:rPr>
              <w:t>Idle capacity, data transfer, logging volume or commitment mismatch</w:t>
            </w:r>
          </w:p>
        </w:tc>
        <w:tc>
          <w:tcPr>
            <w:tcW w:type="dxa" w:w="3096"/>
            <w:tcMar>
              <w:top w:w="65" w:type="dxa"/>
              <w:start w:w="85" w:type="dxa"/>
              <w:bottom w:w="65" w:type="dxa"/>
              <w:end w:w="85" w:type="dxa"/>
            </w:tcMar>
            <w:vAlign w:val="top"/>
          </w:tcPr>
          <w:p>
            <w:r>
              <w:rPr>
                <w:sz w:val="14"/>
              </w:rPr>
              <w:t>Break down spend by owner, service, region and usage driver; validate rightsizing or commitment changes against SLOs.</w:t>
            </w:r>
          </w:p>
        </w:tc>
        <w:tc>
          <w:tcPr>
            <w:tcW w:type="dxa" w:w="2232"/>
            <w:tcMar>
              <w:top w:w="65" w:type="dxa"/>
              <w:start w:w="85" w:type="dxa"/>
              <w:bottom w:w="65" w:type="dxa"/>
              <w:end w:w="85" w:type="dxa"/>
            </w:tcMar>
            <w:vAlign w:val="top"/>
          </w:tcPr>
          <w:p>
            <w:r>
              <w:rPr>
                <w:sz w:val="14"/>
              </w:rPr>
              <w:t>Cost delta plus performance and reliability validation</w:t>
            </w:r>
          </w:p>
        </w:tc>
      </w:tr>
    </w:tbl>
    <w:p>
      <w:pPr>
        <w:pStyle w:val="Heading2"/>
        <w:keepNext/>
      </w:pPr>
      <w:r>
        <w:t>Hands-on Lab 20: Deliver the AWS Enterprise Foundation Capstone</w:t>
      </w:r>
    </w:p>
    <w:p>
      <w:pPr>
        <w:pStyle w:val="Heading3"/>
        <w:keepNext/>
      </w:pPr>
      <w:r>
        <w:t>Prerequisites</w:t>
      </w:r>
    </w:p>
    <w:p>
      <w:pPr>
        <w:pStyle w:val="ListBullet"/>
      </w:pPr>
      <w:r>
        <w:t>Disposable provider sandbox or a local simulation.</w:t>
      </w:r>
    </w:p>
    <w:p>
      <w:pPr>
        <w:pStyle w:val="ListBullet"/>
      </w:pPr>
      <w:r>
        <w:t>Terraform or provider CLI, Git and a diagramming tool.</w:t>
      </w:r>
    </w:p>
    <w:p>
      <w:pPr>
        <w:pStyle w:val="ListBullet"/>
      </w:pPr>
      <w:r>
        <w:t>Synthetic identities and data; no production credentials or confidential information.</w:t>
      </w:r>
    </w:p>
    <w:p>
      <w:pPr>
        <w:pStyle w:val="Heading3"/>
        <w:keepNext/>
      </w:pPr>
      <w:r>
        <w:t>Implementation</w:t>
      </w:r>
    </w:p>
    <w:p>
      <w:pPr>
        <w:ind w:left="360" w:hanging="360"/>
      </w:pPr>
      <w:r>
        <w:rPr>
          <w:b/>
        </w:rPr>
        <w:t xml:space="preserve">1. </w:t>
      </w:r>
      <w:r>
        <w:t>Create the architecture and responsibility model for aws enterprise landing-zone capstone using fictional enterprise requirements.</w:t>
      </w:r>
    </w:p>
    <w:p>
      <w:pPr>
        <w:ind w:left="360" w:hanging="360"/>
      </w:pPr>
      <w:r>
        <w:rPr>
          <w:b/>
        </w:rPr>
        <w:t xml:space="preserve">2. </w:t>
      </w:r>
      <w:r>
        <w:t>Implement the smallest safe sandbox using Control Tower / Organizations, IAM Identity Center, Transit Gateway / Route 53 Resolver; use free or low-cost options where available.</w:t>
      </w:r>
    </w:p>
    <w:p>
      <w:pPr>
        <w:ind w:left="360" w:hanging="360"/>
      </w:pPr>
      <w:r>
        <w:rPr>
          <w:b/>
        </w:rPr>
        <w:t xml:space="preserve">3. </w:t>
      </w:r>
      <w:r>
        <w:t>Apply identity, network, encryption, logging, metadata and budget controls through IaC or an equivalent version-controlled simulation.</w:t>
      </w:r>
    </w:p>
    <w:p>
      <w:pPr>
        <w:ind w:left="360" w:hanging="360"/>
      </w:pPr>
      <w:r>
        <w:rPr>
          <w:b/>
        </w:rPr>
        <w:t xml:space="preserve">4. </w:t>
      </w:r>
      <w:r>
        <w:t>Run one approved behavior test and one denied behavior test; save the commands, timestamps and resulting telemetry.</w:t>
      </w:r>
    </w:p>
    <w:p>
      <w:pPr>
        <w:ind w:left="360" w:hanging="360"/>
      </w:pPr>
      <w:r>
        <w:rPr>
          <w:b/>
        </w:rPr>
        <w:t xml:space="preserve">5. </w:t>
      </w:r>
      <w:r>
        <w:t>Inject a bounded configuration or dependency failure, follow the runbook, recover and record measured recovery time.</w:t>
      </w:r>
    </w:p>
    <w:p>
      <w:pPr>
        <w:ind w:left="360" w:hanging="360"/>
      </w:pPr>
      <w:r>
        <w:rPr>
          <w:b/>
        </w:rPr>
        <w:t xml:space="preserve">6. </w:t>
      </w:r>
      <w:r>
        <w:t>Destroy or quarantine the lab, revoke temporary access and verify that no unexpected billable resources remain.</w:t>
      </w:r>
    </w:p>
    <w:p>
      <w:pPr>
        <w:pStyle w:val="Heading3"/>
        <w:keepNext/>
      </w:pPr>
      <w:r>
        <w:t>Validation Evidence</w:t>
      </w:r>
    </w:p>
    <w:p>
      <w:pPr>
        <w:pStyle w:val="ListBullet"/>
      </w:pPr>
      <w:r>
        <w:t>Version-controlled architecture, IaC and decision record.</w:t>
      </w:r>
    </w:p>
    <w:p>
      <w:pPr>
        <w:pStyle w:val="ListBullet"/>
      </w:pPr>
      <w:r>
        <w:t>Allowed, denied and failure-test outputs with timestamps.</w:t>
      </w:r>
    </w:p>
    <w:p>
      <w:pPr>
        <w:pStyle w:val="ListBullet"/>
      </w:pPr>
      <w:r>
        <w:t>Cost, recovery, ownership and teardown verification.</w:t>
      </w:r>
    </w:p>
    <w:p>
      <w:pPr>
        <w:pStyle w:val="Heading3"/>
        <w:keepNext/>
      </w:pPr>
      <w:r>
        <w:t>Cleanup</w:t>
      </w:r>
    </w:p>
    <w:p>
      <w:pPr>
        <w:pStyle w:val="ListBullet"/>
      </w:pPr>
      <w:r>
        <w:t>Destroy test resources in dependency order and verify the provider inventory and billing view.</w:t>
      </w:r>
    </w:p>
    <w:p>
      <w:pPr>
        <w:pStyle w:val="ListBullet"/>
      </w:pPr>
      <w:r>
        <w:t>Revoke temporary identities, remove local state copies and sanitize all portfolio evidence.</w:t>
      </w:r>
    </w:p>
    <w:p>
      <w:pPr>
        <w:pStyle w:val="Heading2"/>
        <w:keepNext/>
      </w:pPr>
      <w:r>
        <w:t>Interview Questions and Model Answers</w:t>
      </w:r>
    </w:p>
    <w:p>
      <w:r>
        <w:rPr>
          <w:b/>
        </w:rPr>
        <w:t>1. What is the most important design principle in AWS Enterprise Landing-Zone Capstone?</w:t>
      </w:r>
    </w:p>
    <w:p>
      <w:pPr>
        <w:ind w:left="259"/>
      </w:pPr>
      <w:r>
        <w:t>Make responsibility and failure boundaries explicit, then automate controls and prove them with normal, denied and recovery tests rather than trusting a successful deployment alone.</w:t>
      </w:r>
    </w:p>
    <w:p>
      <w:r>
        <w:rPr>
          <w:b/>
        </w:rPr>
        <w:t>2. How would you choose between the main AWS services in this domain?</w:t>
      </w:r>
    </w:p>
    <w:p>
      <w:pPr>
        <w:ind w:left="259"/>
      </w:pPr>
      <w:r>
        <w:t>Start with workload requirements for latency, state, scale, compliance, team capability, recovery and cost. Select the managed service whose operating model fits those requirements and document the consequences in an ADR.</w:t>
      </w:r>
    </w:p>
    <w:p>
      <w:r>
        <w:rPr>
          <w:b/>
        </w:rPr>
        <w:t>3. What evidence would you require before production approval?</w:t>
      </w:r>
    </w:p>
    <w:p>
      <w:pPr>
        <w:ind w:left="259"/>
      </w:pPr>
      <w:r>
        <w:t>Architecture and threat models, reviewed IaC plan, effective-access results, network and encryption tests, known audit events, SLO and recovery validation, ownership metadata, budget routing and rollback evidence.</w:t>
      </w:r>
    </w:p>
    <w:p>
      <w:r>
        <w:rPr>
          <w:b/>
        </w:rPr>
        <w:t>4. How do you reduce provider lock-in without creating a lowest-common-denominator platform?</w:t>
      </w:r>
    </w:p>
    <w:p>
      <w:pPr>
        <w:ind w:left="259"/>
      </w:pPr>
      <w:r>
        <w:t>Preserve portable source, data, interfaces and deployment artifacts where a credible exit scenario requires them, while still using provider-specific capabilities when their measurable value exceeds migration and dependency risk.</w:t>
      </w:r>
    </w:p>
    <w:p>
      <w:pPr>
        <w:pStyle w:val="Heading2"/>
        <w:keepNext/>
      </w:pPr>
      <w:r>
        <w:t>Chapter Summary</w:t>
      </w:r>
    </w:p>
    <w:p>
      <w:pPr>
        <w:pStyle w:val="ListBullet"/>
      </w:pPr>
      <w:r>
        <w:t>Account vending and baseline automation defines a key architecture boundary.</w:t>
      </w:r>
    </w:p>
    <w:p>
      <w:pPr>
        <w:pStyle w:val="ListBullet"/>
      </w:pPr>
      <w:r>
        <w:t>Shared network, identity and security services must be automated and least-privileged.</w:t>
      </w:r>
    </w:p>
    <w:p>
      <w:pPr>
        <w:pStyle w:val="ListBullet"/>
      </w:pPr>
      <w:r>
        <w:t>Workload deployment and recovery validation requires policy, telemetry and recovery evidence.</w:t>
      </w:r>
    </w:p>
    <w:p>
      <w:pPr>
        <w:pStyle w:val="ListBullet"/>
      </w:pPr>
      <w:r>
        <w:t>Operations, cost and lifecycle evidence should be tested before production and after material change.</w:t>
      </w:r>
    </w:p>
    <w:p>
      <w:r>
        <w:br w:type="page"/>
      </w:r>
    </w:p>
    <w:p>
      <w:pPr>
        <w:pStyle w:val="Heading1"/>
        <w:keepNext w:val="0"/>
      </w:pPr>
      <w:r>
        <w:t>AWS Enterprise Architecture and Operations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6B87"/>
              </w:rPr>
              <w:t>Use this reference to review architecture outcomes, implementation controls and the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512"/>
            <w:shd w:fill="176B87"/>
            <w:tcMar>
              <w:top w:w="65" w:type="dxa"/>
              <w:start w:w="85" w:type="dxa"/>
              <w:bottom w:w="65" w:type="dxa"/>
              <w:end w:w="85" w:type="dxa"/>
            </w:tcMar>
            <w:vAlign w:val="center"/>
          </w:tcPr>
          <w:p>
            <w:r>
              <w:rPr>
                <w:b/>
                <w:color w:val="FFFFFF"/>
                <w:sz w:val="14"/>
              </w:rPr>
              <w:t>Domain</w:t>
            </w:r>
          </w:p>
        </w:tc>
        <w:tc>
          <w:tcPr>
            <w:tcW w:type="dxa" w:w="4104"/>
            <w:shd w:fill="176B87"/>
            <w:tcMar>
              <w:top w:w="65" w:type="dxa"/>
              <w:start w:w="85" w:type="dxa"/>
              <w:bottom w:w="65" w:type="dxa"/>
              <w:end w:w="85" w:type="dxa"/>
            </w:tcMar>
            <w:vAlign w:val="center"/>
          </w:tcPr>
          <w:p>
            <w:r>
              <w:rPr>
                <w:b/>
                <w:color w:val="FFFFFF"/>
                <w:sz w:val="14"/>
              </w:rPr>
              <w:t>Required outcome</w:t>
            </w:r>
          </w:p>
        </w:tc>
        <w:tc>
          <w:tcPr>
            <w:tcW w:type="dxa" w:w="4464"/>
            <w:shd w:fill="176B87"/>
            <w:tcMar>
              <w:top w:w="65" w:type="dxa"/>
              <w:start w:w="85" w:type="dxa"/>
              <w:bottom w:w="65" w:type="dxa"/>
              <w:end w:w="85" w:type="dxa"/>
            </w:tcMar>
            <w:vAlign w:val="center"/>
          </w:tcPr>
          <w:p>
            <w:r>
              <w:rPr>
                <w:b/>
                <w:color w:val="FFFFFF"/>
                <w:sz w:val="14"/>
              </w:rPr>
              <w:t>Validation evidence</w:t>
            </w:r>
          </w:p>
        </w:tc>
      </w:tr>
      <w:tr>
        <w:trPr>
          <w:cantSplit/>
        </w:trPr>
        <w:tc>
          <w:tcPr>
            <w:tcW w:type="dxa" w:w="1512"/>
            <w:tcMar>
              <w:top w:w="65" w:type="dxa"/>
              <w:start w:w="85" w:type="dxa"/>
              <w:bottom w:w="65" w:type="dxa"/>
              <w:end w:w="85" w:type="dxa"/>
            </w:tcMar>
            <w:vAlign w:val="top"/>
          </w:tcPr>
          <w:p>
            <w:r>
              <w:rPr>
                <w:sz w:val="14"/>
              </w:rPr>
              <w:t>Hierarchy and ownership</w:t>
            </w:r>
          </w:p>
        </w:tc>
        <w:tc>
          <w:tcPr>
            <w:tcW w:type="dxa" w:w="4104"/>
            <w:tcMar>
              <w:top w:w="65" w:type="dxa"/>
              <w:start w:w="85" w:type="dxa"/>
              <w:bottom w:w="65" w:type="dxa"/>
              <w:end w:w="85" w:type="dxa"/>
            </w:tcMar>
            <w:vAlign w:val="top"/>
          </w:tcPr>
          <w:p>
            <w:r>
              <w:rPr>
                <w:sz w:val="14"/>
              </w:rPr>
              <w:t>Durable resource boundaries with accountable owners</w:t>
            </w:r>
          </w:p>
        </w:tc>
        <w:tc>
          <w:tcPr>
            <w:tcW w:type="dxa" w:w="4464"/>
            <w:tcMar>
              <w:top w:w="65" w:type="dxa"/>
              <w:start w:w="85" w:type="dxa"/>
              <w:bottom w:w="65" w:type="dxa"/>
              <w:end w:w="85" w:type="dxa"/>
            </w:tcMar>
            <w:vAlign w:val="top"/>
          </w:tcPr>
          <w:p>
            <w:r>
              <w:rPr>
                <w:sz w:val="14"/>
              </w:rPr>
              <w:t>Inventory, effective policy and lifecycle tests</w:t>
            </w:r>
          </w:p>
        </w:tc>
      </w:tr>
      <w:tr>
        <w:trPr>
          <w:cantSplit/>
        </w:trPr>
        <w:tc>
          <w:tcPr>
            <w:tcW w:type="dxa" w:w="1512"/>
            <w:tcMar>
              <w:top w:w="65" w:type="dxa"/>
              <w:start w:w="85" w:type="dxa"/>
              <w:bottom w:w="65" w:type="dxa"/>
              <w:end w:w="85" w:type="dxa"/>
            </w:tcMar>
            <w:vAlign w:val="top"/>
          </w:tcPr>
          <w:p>
            <w:r>
              <w:rPr>
                <w:sz w:val="14"/>
              </w:rPr>
              <w:t>Identity</w:t>
            </w:r>
          </w:p>
        </w:tc>
        <w:tc>
          <w:tcPr>
            <w:tcW w:type="dxa" w:w="4104"/>
            <w:tcMar>
              <w:top w:w="65" w:type="dxa"/>
              <w:start w:w="85" w:type="dxa"/>
              <w:bottom w:w="65" w:type="dxa"/>
              <w:end w:w="85" w:type="dxa"/>
            </w:tcMar>
            <w:vAlign w:val="top"/>
          </w:tcPr>
          <w:p>
            <w:r>
              <w:rPr>
                <w:sz w:val="14"/>
              </w:rPr>
              <w:t>Federated humans and keyless workloads</w:t>
            </w:r>
          </w:p>
        </w:tc>
        <w:tc>
          <w:tcPr>
            <w:tcW w:type="dxa" w:w="4464"/>
            <w:tcMar>
              <w:top w:w="65" w:type="dxa"/>
              <w:start w:w="85" w:type="dxa"/>
              <w:bottom w:w="65" w:type="dxa"/>
              <w:end w:w="85" w:type="dxa"/>
            </w:tcMar>
            <w:vAlign w:val="top"/>
          </w:tcPr>
          <w:p>
            <w:r>
              <w:rPr>
                <w:sz w:val="14"/>
              </w:rPr>
              <w:t>Token, role, access-review and denied-action evidence</w:t>
            </w:r>
          </w:p>
        </w:tc>
      </w:tr>
      <w:tr>
        <w:trPr>
          <w:cantSplit/>
        </w:trPr>
        <w:tc>
          <w:tcPr>
            <w:tcW w:type="dxa" w:w="1512"/>
            <w:tcMar>
              <w:top w:w="65" w:type="dxa"/>
              <w:start w:w="85" w:type="dxa"/>
              <w:bottom w:w="65" w:type="dxa"/>
              <w:end w:w="85" w:type="dxa"/>
            </w:tcMar>
            <w:vAlign w:val="top"/>
          </w:tcPr>
          <w:p>
            <w:r>
              <w:rPr>
                <w:sz w:val="14"/>
              </w:rPr>
              <w:t>Network</w:t>
            </w:r>
          </w:p>
        </w:tc>
        <w:tc>
          <w:tcPr>
            <w:tcW w:type="dxa" w:w="4104"/>
            <w:tcMar>
              <w:top w:w="65" w:type="dxa"/>
              <w:start w:w="85" w:type="dxa"/>
              <w:bottom w:w="65" w:type="dxa"/>
              <w:end w:w="85" w:type="dxa"/>
            </w:tcMar>
            <w:vAlign w:val="top"/>
          </w:tcPr>
          <w:p>
            <w:r>
              <w:rPr>
                <w:sz w:val="14"/>
              </w:rPr>
              <w:t>Approved routes, DNS, private access and egress</w:t>
            </w:r>
          </w:p>
        </w:tc>
        <w:tc>
          <w:tcPr>
            <w:tcW w:type="dxa" w:w="4464"/>
            <w:tcMar>
              <w:top w:w="65" w:type="dxa"/>
              <w:start w:w="85" w:type="dxa"/>
              <w:bottom w:w="65" w:type="dxa"/>
              <w:end w:w="85" w:type="dxa"/>
            </w:tcMar>
            <w:vAlign w:val="top"/>
          </w:tcPr>
          <w:p>
            <w:r>
              <w:rPr>
                <w:sz w:val="14"/>
              </w:rPr>
              <w:t>Reachability, flow, DNS, latency and failover tests</w:t>
            </w:r>
          </w:p>
        </w:tc>
      </w:tr>
      <w:tr>
        <w:trPr>
          <w:cantSplit/>
        </w:trPr>
        <w:tc>
          <w:tcPr>
            <w:tcW w:type="dxa" w:w="1512"/>
            <w:tcMar>
              <w:top w:w="65" w:type="dxa"/>
              <w:start w:w="85" w:type="dxa"/>
              <w:bottom w:w="65" w:type="dxa"/>
              <w:end w:w="85" w:type="dxa"/>
            </w:tcMar>
            <w:vAlign w:val="top"/>
          </w:tcPr>
          <w:p>
            <w:r>
              <w:rPr>
                <w:sz w:val="14"/>
              </w:rPr>
              <w:t>Data</w:t>
            </w:r>
          </w:p>
        </w:tc>
        <w:tc>
          <w:tcPr>
            <w:tcW w:type="dxa" w:w="4104"/>
            <w:tcMar>
              <w:top w:w="65" w:type="dxa"/>
              <w:start w:w="85" w:type="dxa"/>
              <w:bottom w:w="65" w:type="dxa"/>
              <w:end w:w="85" w:type="dxa"/>
            </w:tcMar>
            <w:vAlign w:val="top"/>
          </w:tcPr>
          <w:p>
            <w:r>
              <w:rPr>
                <w:sz w:val="14"/>
              </w:rPr>
              <w:t>Classified, encrypted and recoverable state</w:t>
            </w:r>
          </w:p>
        </w:tc>
        <w:tc>
          <w:tcPr>
            <w:tcW w:type="dxa" w:w="4464"/>
            <w:tcMar>
              <w:top w:w="65" w:type="dxa"/>
              <w:start w:w="85" w:type="dxa"/>
              <w:bottom w:w="65" w:type="dxa"/>
              <w:end w:w="85" w:type="dxa"/>
            </w:tcMar>
            <w:vAlign w:val="top"/>
          </w:tcPr>
          <w:p>
            <w:r>
              <w:rPr>
                <w:sz w:val="14"/>
              </w:rPr>
              <w:t>Backup, restore, reconciliation and exit evidence</w:t>
            </w:r>
          </w:p>
        </w:tc>
      </w:tr>
      <w:tr>
        <w:trPr>
          <w:cantSplit/>
        </w:trPr>
        <w:tc>
          <w:tcPr>
            <w:tcW w:type="dxa" w:w="1512"/>
            <w:tcMar>
              <w:top w:w="65" w:type="dxa"/>
              <w:start w:w="85" w:type="dxa"/>
              <w:bottom w:w="65" w:type="dxa"/>
              <w:end w:w="85" w:type="dxa"/>
            </w:tcMar>
            <w:vAlign w:val="top"/>
          </w:tcPr>
          <w:p>
            <w:r>
              <w:rPr>
                <w:sz w:val="14"/>
              </w:rPr>
              <w:t>Security</w:t>
            </w:r>
          </w:p>
        </w:tc>
        <w:tc>
          <w:tcPr>
            <w:tcW w:type="dxa" w:w="4104"/>
            <w:tcMar>
              <w:top w:w="65" w:type="dxa"/>
              <w:start w:w="85" w:type="dxa"/>
              <w:bottom w:w="65" w:type="dxa"/>
              <w:end w:w="85" w:type="dxa"/>
            </w:tcMar>
            <w:vAlign w:val="top"/>
          </w:tcPr>
          <w:p>
            <w:r>
              <w:rPr>
                <w:sz w:val="14"/>
              </w:rPr>
              <w:t>Preventive, detective and recovery controls</w:t>
            </w:r>
          </w:p>
        </w:tc>
        <w:tc>
          <w:tcPr>
            <w:tcW w:type="dxa" w:w="4464"/>
            <w:tcMar>
              <w:top w:w="65" w:type="dxa"/>
              <w:start w:w="85" w:type="dxa"/>
              <w:bottom w:w="65" w:type="dxa"/>
              <w:end w:w="85" w:type="dxa"/>
            </w:tcMar>
            <w:vAlign w:val="top"/>
          </w:tcPr>
          <w:p>
            <w:r>
              <w:rPr>
                <w:sz w:val="14"/>
              </w:rPr>
              <w:t>Policy results, findings, containment and audit timeline</w:t>
            </w:r>
          </w:p>
        </w:tc>
      </w:tr>
      <w:tr>
        <w:trPr>
          <w:cantSplit/>
        </w:trPr>
        <w:tc>
          <w:tcPr>
            <w:tcW w:type="dxa" w:w="1512"/>
            <w:tcMar>
              <w:top w:w="65" w:type="dxa"/>
              <w:start w:w="85" w:type="dxa"/>
              <w:bottom w:w="65" w:type="dxa"/>
              <w:end w:w="85" w:type="dxa"/>
            </w:tcMar>
            <w:vAlign w:val="top"/>
          </w:tcPr>
          <w:p>
            <w:r>
              <w:rPr>
                <w:sz w:val="14"/>
              </w:rPr>
              <w:t>Operations</w:t>
            </w:r>
          </w:p>
        </w:tc>
        <w:tc>
          <w:tcPr>
            <w:tcW w:type="dxa" w:w="4104"/>
            <w:tcMar>
              <w:top w:w="65" w:type="dxa"/>
              <w:start w:w="85" w:type="dxa"/>
              <w:bottom w:w="65" w:type="dxa"/>
              <w:end w:w="85" w:type="dxa"/>
            </w:tcMar>
            <w:vAlign w:val="top"/>
          </w:tcPr>
          <w:p>
            <w:r>
              <w:rPr>
                <w:sz w:val="14"/>
              </w:rPr>
              <w:t>SLOs, telemetry, runbooks and incident process</w:t>
            </w:r>
          </w:p>
        </w:tc>
        <w:tc>
          <w:tcPr>
            <w:tcW w:type="dxa" w:w="4464"/>
            <w:tcMar>
              <w:top w:w="65" w:type="dxa"/>
              <w:start w:w="85" w:type="dxa"/>
              <w:bottom w:w="65" w:type="dxa"/>
              <w:end w:w="85" w:type="dxa"/>
            </w:tcMar>
            <w:vAlign w:val="top"/>
          </w:tcPr>
          <w:p>
            <w:r>
              <w:rPr>
                <w:sz w:val="14"/>
              </w:rPr>
              <w:t>Dashboards, alerts, drill timeline and postmortem</w:t>
            </w:r>
          </w:p>
        </w:tc>
      </w:tr>
      <w:tr>
        <w:trPr>
          <w:cantSplit/>
        </w:trPr>
        <w:tc>
          <w:tcPr>
            <w:tcW w:type="dxa" w:w="1512"/>
            <w:tcMar>
              <w:top w:w="65" w:type="dxa"/>
              <w:start w:w="85" w:type="dxa"/>
              <w:bottom w:w="65" w:type="dxa"/>
              <w:end w:w="85" w:type="dxa"/>
            </w:tcMar>
            <w:vAlign w:val="top"/>
          </w:tcPr>
          <w:p>
            <w:r>
              <w:rPr>
                <w:sz w:val="14"/>
              </w:rPr>
              <w:t>FinOps</w:t>
            </w:r>
          </w:p>
        </w:tc>
        <w:tc>
          <w:tcPr>
            <w:tcW w:type="dxa" w:w="4104"/>
            <w:tcMar>
              <w:top w:w="65" w:type="dxa"/>
              <w:start w:w="85" w:type="dxa"/>
              <w:bottom w:w="65" w:type="dxa"/>
              <w:end w:w="85" w:type="dxa"/>
            </w:tcMar>
            <w:vAlign w:val="top"/>
          </w:tcPr>
          <w:p>
            <w:r>
              <w:rPr>
                <w:sz w:val="14"/>
              </w:rPr>
              <w:t>Allocation, budgets, unit economics and commitment governance</w:t>
            </w:r>
          </w:p>
        </w:tc>
        <w:tc>
          <w:tcPr>
            <w:tcW w:type="dxa" w:w="4464"/>
            <w:tcMar>
              <w:top w:w="65" w:type="dxa"/>
              <w:start w:w="85" w:type="dxa"/>
              <w:bottom w:w="65" w:type="dxa"/>
              <w:end w:w="85" w:type="dxa"/>
            </w:tcMar>
            <w:vAlign w:val="top"/>
          </w:tcPr>
          <w:p>
            <w:r>
              <w:rPr>
                <w:sz w:val="14"/>
              </w:rPr>
              <w:t>Billing export, owner coverage and optimization record</w:t>
            </w:r>
          </w:p>
        </w:tc>
      </w:tr>
      <w:tr>
        <w:trPr>
          <w:cantSplit/>
        </w:trPr>
        <w:tc>
          <w:tcPr>
            <w:tcW w:type="dxa" w:w="1512"/>
            <w:tcMar>
              <w:top w:w="65" w:type="dxa"/>
              <w:start w:w="85" w:type="dxa"/>
              <w:bottom w:w="65" w:type="dxa"/>
              <w:end w:w="85" w:type="dxa"/>
            </w:tcMar>
            <w:vAlign w:val="top"/>
          </w:tcPr>
          <w:p>
            <w:r>
              <w:rPr>
                <w:sz w:val="14"/>
              </w:rPr>
              <w:t>Delivery</w:t>
            </w:r>
          </w:p>
        </w:tc>
        <w:tc>
          <w:tcPr>
            <w:tcW w:type="dxa" w:w="4104"/>
            <w:tcMar>
              <w:top w:w="65" w:type="dxa"/>
              <w:start w:w="85" w:type="dxa"/>
              <w:bottom w:w="65" w:type="dxa"/>
              <w:end w:w="85" w:type="dxa"/>
            </w:tcMar>
            <w:vAlign w:val="top"/>
          </w:tcPr>
          <w:p>
            <w:r>
              <w:rPr>
                <w:sz w:val="14"/>
              </w:rPr>
              <w:t>Reviewed IaC and immutable artifact promotion</w:t>
            </w:r>
          </w:p>
        </w:tc>
        <w:tc>
          <w:tcPr>
            <w:tcW w:type="dxa" w:w="4464"/>
            <w:tcMar>
              <w:top w:w="65" w:type="dxa"/>
              <w:start w:w="85" w:type="dxa"/>
              <w:bottom w:w="65" w:type="dxa"/>
              <w:end w:w="85" w:type="dxa"/>
            </w:tcMar>
            <w:vAlign w:val="top"/>
          </w:tcPr>
          <w:p>
            <w:r>
              <w:rPr>
                <w:sz w:val="14"/>
              </w:rPr>
              <w:t>Plan, policy, signature, deployment and rollback chain</w:t>
            </w:r>
          </w:p>
        </w:tc>
      </w:tr>
      <w:tr>
        <w:trPr>
          <w:cantSplit/>
        </w:trPr>
        <w:tc>
          <w:tcPr>
            <w:tcW w:type="dxa" w:w="1512"/>
            <w:tcMar>
              <w:top w:w="65" w:type="dxa"/>
              <w:start w:w="85" w:type="dxa"/>
              <w:bottom w:w="65" w:type="dxa"/>
              <w:end w:w="85" w:type="dxa"/>
            </w:tcMar>
            <w:vAlign w:val="top"/>
          </w:tcPr>
          <w:p>
            <w:r>
              <w:rPr>
                <w:sz w:val="14"/>
              </w:rPr>
              <w:t>Reliability</w:t>
            </w:r>
          </w:p>
        </w:tc>
        <w:tc>
          <w:tcPr>
            <w:tcW w:type="dxa" w:w="4104"/>
            <w:tcMar>
              <w:top w:w="65" w:type="dxa"/>
              <w:start w:w="85" w:type="dxa"/>
              <w:bottom w:w="65" w:type="dxa"/>
              <w:end w:w="85" w:type="dxa"/>
            </w:tcMar>
            <w:vAlign w:val="top"/>
          </w:tcPr>
          <w:p>
            <w:r>
              <w:rPr>
                <w:sz w:val="14"/>
              </w:rPr>
              <w:t>Measured capacity, RTO/RPO and failback</w:t>
            </w:r>
          </w:p>
        </w:tc>
        <w:tc>
          <w:tcPr>
            <w:tcW w:type="dxa" w:w="4464"/>
            <w:tcMar>
              <w:top w:w="65" w:type="dxa"/>
              <w:start w:w="85" w:type="dxa"/>
              <w:bottom w:w="65" w:type="dxa"/>
              <w:end w:w="85" w:type="dxa"/>
            </w:tcMar>
            <w:vAlign w:val="top"/>
          </w:tcPr>
          <w:p>
            <w:r>
              <w:rPr>
                <w:sz w:val="14"/>
              </w:rPr>
              <w:t>Load, failure, recovery and integrity tests</w:t>
            </w:r>
          </w:p>
        </w:tc>
      </w:tr>
      <w:tr>
        <w:trPr>
          <w:cantSplit/>
        </w:trPr>
        <w:tc>
          <w:tcPr>
            <w:tcW w:type="dxa" w:w="1512"/>
            <w:tcMar>
              <w:top w:w="65" w:type="dxa"/>
              <w:start w:w="85" w:type="dxa"/>
              <w:bottom w:w="65" w:type="dxa"/>
              <w:end w:w="85" w:type="dxa"/>
            </w:tcMar>
            <w:vAlign w:val="top"/>
          </w:tcPr>
          <w:p>
            <w:r>
              <w:rPr>
                <w:sz w:val="14"/>
              </w:rPr>
              <w:t>Lifecycle</w:t>
            </w:r>
          </w:p>
        </w:tc>
        <w:tc>
          <w:tcPr>
            <w:tcW w:type="dxa" w:w="4104"/>
            <w:tcMar>
              <w:top w:w="65" w:type="dxa"/>
              <w:start w:w="85" w:type="dxa"/>
              <w:bottom w:w="65" w:type="dxa"/>
              <w:end w:w="85" w:type="dxa"/>
            </w:tcMar>
            <w:vAlign w:val="top"/>
          </w:tcPr>
          <w:p>
            <w:r>
              <w:rPr>
                <w:sz w:val="14"/>
              </w:rPr>
              <w:t>Vending, upgrade, exception and closure</w:t>
            </w:r>
          </w:p>
        </w:tc>
        <w:tc>
          <w:tcPr>
            <w:tcW w:type="dxa" w:w="4464"/>
            <w:tcMar>
              <w:top w:w="65" w:type="dxa"/>
              <w:start w:w="85" w:type="dxa"/>
              <w:bottom w:w="65" w:type="dxa"/>
              <w:end w:w="85" w:type="dxa"/>
            </w:tcMar>
            <w:vAlign w:val="top"/>
          </w:tcPr>
          <w:p>
            <w:r>
              <w:rPr>
                <w:sz w:val="14"/>
              </w:rPr>
              <w:t>Fresh deployment, drift and zero-residual teardown</w:t>
            </w:r>
          </w:p>
        </w:tc>
      </w:tr>
    </w:tbl>
    <w:p>
      <w:pPr>
        <w:pStyle w:val="Heading1"/>
        <w:keepNext w:val="0"/>
      </w:pPr>
      <w:r>
        <w:t>Completion Checklist</w:t>
      </w:r>
    </w:p>
    <w:p>
      <w:pPr>
        <w:ind w:left="259" w:hanging="259"/>
      </w:pPr>
      <w:r>
        <w:t>☐ I can explain the architecture and trade-offs in every chapter of 12B.</w:t>
      </w:r>
    </w:p>
    <w:p>
      <w:pPr>
        <w:ind w:left="259" w:hanging="259"/>
      </w:pPr>
      <w:r>
        <w:t>☐ I can implement at least one sandbox pattern through IaC and short-lived identity.</w:t>
      </w:r>
    </w:p>
    <w:p>
      <w:pPr>
        <w:ind w:left="259" w:hanging="259"/>
      </w:pPr>
      <w:r>
        <w:t>☐ I can demonstrate approved, denied and failure behavior with provider-native evidence.</w:t>
      </w:r>
    </w:p>
    <w:p>
      <w:pPr>
        <w:ind w:left="259" w:hanging="259"/>
      </w:pPr>
      <w:r>
        <w:t>☐ I can design private connectivity, data protection, recovery and cost governance.</w:t>
      </w:r>
    </w:p>
    <w:p>
      <w:pPr>
        <w:ind w:left="259" w:hanging="259"/>
      </w:pPr>
      <w:r>
        <w:t>☐ I can produce architecture diagrams, ADRs, runbooks and troubleshooting timelines.</w:t>
      </w:r>
    </w:p>
    <w:p>
      <w:pPr>
        <w:ind w:left="259" w:hanging="259"/>
      </w:pPr>
      <w:r>
        <w:t>☐ I can destroy the lab safely and prove that no unexpected billable resource remains.</w:t>
      </w:r>
    </w:p>
    <w:p>
      <w:pPr>
        <w:pStyle w:val="Heading1"/>
        <w:keepNext w:val="0"/>
      </w:pPr>
      <w:r>
        <w:t>Additional Portfolio Projects</w:t>
      </w:r>
    </w:p>
    <w:p>
      <w:r>
        <w:rPr>
          <w:b/>
        </w:rPr>
        <w:t xml:space="preserve">1. </w:t>
      </w:r>
      <w:r>
        <w:t>Resource vending workflow with ownership, policy, budget and closure automation.</w:t>
      </w:r>
    </w:p>
    <w:p>
      <w:r>
        <w:rPr>
          <w:b/>
        </w:rPr>
        <w:t xml:space="preserve">2. </w:t>
      </w:r>
      <w:r>
        <w:t>Keyless CI/CD identity module and effective-access test harness.</w:t>
      </w:r>
    </w:p>
    <w:p>
      <w:r>
        <w:rPr>
          <w:b/>
        </w:rPr>
        <w:t xml:space="preserve">3. </w:t>
      </w:r>
      <w:r>
        <w:t>Private network and DNS validation pack with route and failure scenarios.</w:t>
      </w:r>
    </w:p>
    <w:p>
      <w:r>
        <w:rPr>
          <w:b/>
        </w:rPr>
        <w:t xml:space="preserve">4. </w:t>
      </w:r>
      <w:r>
        <w:t>Managed data backup, restore and reconciliation project.</w:t>
      </w:r>
    </w:p>
    <w:p>
      <w:r>
        <w:rPr>
          <w:b/>
        </w:rPr>
        <w:t xml:space="preserve">5. </w:t>
      </w:r>
      <w:r>
        <w:t>Security finding triage and automated containment simulation.</w:t>
      </w:r>
    </w:p>
    <w:p>
      <w:r>
        <w:rPr>
          <w:b/>
        </w:rPr>
        <w:t xml:space="preserve">6. </w:t>
      </w:r>
      <w:r>
        <w:t>SLO dashboard and incident-command game day.</w:t>
      </w:r>
    </w:p>
    <w:p>
      <w:r>
        <w:rPr>
          <w:b/>
        </w:rPr>
        <w:t xml:space="preserve">7. </w:t>
      </w:r>
      <w:r>
        <w:t>Billing export, allocation coverage and unit-cost dashboard.</w:t>
      </w:r>
    </w:p>
    <w:p>
      <w:r>
        <w:rPr>
          <w:b/>
        </w:rPr>
        <w:t xml:space="preserve">8. </w:t>
      </w:r>
      <w:r>
        <w:t>IaC provider-upgrade and drift-remediation pipeline.</w:t>
      </w:r>
    </w:p>
    <w:p>
      <w:r>
        <w:rPr>
          <w:b/>
        </w:rPr>
        <w:t xml:space="preserve">9. </w:t>
      </w:r>
      <w:r>
        <w:t>Regional or cross-provider disaster-recovery exercise.</w:t>
      </w:r>
    </w:p>
    <w:p>
      <w:r>
        <w:rPr>
          <w:b/>
        </w:rPr>
        <w:t xml:space="preserve">10. </w:t>
      </w:r>
      <w:r>
        <w:t>Executive architecture brief with decisions, risks, roadmap and measured outcomes.</w:t>
      </w:r>
    </w:p>
    <w:p>
      <w:pPr>
        <w:pStyle w:val="Heading1"/>
        <w:keepNext w:val="0"/>
      </w:pPr>
      <w:r>
        <w:t>30-Day 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65" w:type="dxa"/>
              <w:start w:w="85" w:type="dxa"/>
              <w:bottom w:w="65" w:type="dxa"/>
              <w:end w:w="85" w:type="dxa"/>
            </w:tcMar>
            <w:vAlign w:val="center"/>
          </w:tcPr>
          <w:p>
            <w:r>
              <w:rPr>
                <w:b/>
                <w:color w:val="FFFFFF"/>
                <w:sz w:val="14"/>
              </w:rPr>
              <w:t>Days</w:t>
            </w:r>
          </w:p>
        </w:tc>
        <w:tc>
          <w:tcPr>
            <w:tcW w:type="dxa" w:w="2952"/>
            <w:shd w:fill="176B87"/>
            <w:tcMar>
              <w:top w:w="65" w:type="dxa"/>
              <w:start w:w="85" w:type="dxa"/>
              <w:bottom w:w="65" w:type="dxa"/>
              <w:end w:w="85" w:type="dxa"/>
            </w:tcMar>
            <w:vAlign w:val="center"/>
          </w:tcPr>
          <w:p>
            <w:r>
              <w:rPr>
                <w:b/>
                <w:color w:val="FFFFFF"/>
                <w:sz w:val="14"/>
              </w:rPr>
              <w:t>Focus</w:t>
            </w:r>
          </w:p>
        </w:tc>
        <w:tc>
          <w:tcPr>
            <w:tcW w:type="dxa" w:w="5904"/>
            <w:shd w:fill="176B87"/>
            <w:tcMar>
              <w:top w:w="65" w:type="dxa"/>
              <w:start w:w="85" w:type="dxa"/>
              <w:bottom w:w="65" w:type="dxa"/>
              <w:end w:w="85" w:type="dxa"/>
            </w:tcMar>
            <w:vAlign w:val="center"/>
          </w:tcPr>
          <w:p>
            <w:r>
              <w:rPr>
                <w:b/>
                <w:color w:val="FFFFFF"/>
                <w:sz w:val="14"/>
              </w:rPr>
              <w:t>Required output</w:t>
            </w:r>
          </w:p>
        </w:tc>
      </w:tr>
      <w:tr>
        <w:trPr>
          <w:cantSplit/>
        </w:trPr>
        <w:tc>
          <w:tcPr>
            <w:tcW w:type="dxa" w:w="1080"/>
            <w:tcMar>
              <w:top w:w="65" w:type="dxa"/>
              <w:start w:w="85" w:type="dxa"/>
              <w:bottom w:w="65" w:type="dxa"/>
              <w:end w:w="85" w:type="dxa"/>
            </w:tcMar>
            <w:vAlign w:val="top"/>
          </w:tcPr>
          <w:p>
            <w:r>
              <w:rPr>
                <w:sz w:val="14"/>
              </w:rPr>
              <w:t>1-4</w:t>
            </w:r>
          </w:p>
        </w:tc>
        <w:tc>
          <w:tcPr>
            <w:tcW w:type="dxa" w:w="2952"/>
            <w:tcMar>
              <w:top w:w="65" w:type="dxa"/>
              <w:start w:w="85" w:type="dxa"/>
              <w:bottom w:w="65" w:type="dxa"/>
              <w:end w:w="85" w:type="dxa"/>
            </w:tcMar>
            <w:vAlign w:val="top"/>
          </w:tcPr>
          <w:p>
            <w:r>
              <w:rPr>
                <w:sz w:val="14"/>
              </w:rPr>
              <w:t>Hierarchy, ownership and identity</w:t>
            </w:r>
          </w:p>
        </w:tc>
        <w:tc>
          <w:tcPr>
            <w:tcW w:type="dxa" w:w="5904"/>
            <w:tcMar>
              <w:top w:w="65" w:type="dxa"/>
              <w:start w:w="85" w:type="dxa"/>
              <w:bottom w:w="65" w:type="dxa"/>
              <w:end w:w="85" w:type="dxa"/>
            </w:tcMar>
            <w:vAlign w:val="top"/>
          </w:tcPr>
          <w:p>
            <w:r>
              <w:rPr>
                <w:sz w:val="14"/>
              </w:rPr>
              <w:t>Architecture diagram, RACI and access tests</w:t>
            </w:r>
          </w:p>
        </w:tc>
      </w:tr>
      <w:tr>
        <w:trPr>
          <w:cantSplit/>
        </w:trPr>
        <w:tc>
          <w:tcPr>
            <w:tcW w:type="dxa" w:w="1080"/>
            <w:tcMar>
              <w:top w:w="65" w:type="dxa"/>
              <w:start w:w="85" w:type="dxa"/>
              <w:bottom w:w="65" w:type="dxa"/>
              <w:end w:w="85" w:type="dxa"/>
            </w:tcMar>
            <w:vAlign w:val="top"/>
          </w:tcPr>
          <w:p>
            <w:r>
              <w:rPr>
                <w:sz w:val="14"/>
              </w:rPr>
              <w:t>5-8</w:t>
            </w:r>
          </w:p>
        </w:tc>
        <w:tc>
          <w:tcPr>
            <w:tcW w:type="dxa" w:w="2952"/>
            <w:tcMar>
              <w:top w:w="65" w:type="dxa"/>
              <w:start w:w="85" w:type="dxa"/>
              <w:bottom w:w="65" w:type="dxa"/>
              <w:end w:w="85" w:type="dxa"/>
            </w:tcMar>
            <w:vAlign w:val="top"/>
          </w:tcPr>
          <w:p>
            <w:r>
              <w:rPr>
                <w:sz w:val="14"/>
              </w:rPr>
              <w:t>Networking and private services</w:t>
            </w:r>
          </w:p>
        </w:tc>
        <w:tc>
          <w:tcPr>
            <w:tcW w:type="dxa" w:w="5904"/>
            <w:tcMar>
              <w:top w:w="65" w:type="dxa"/>
              <w:start w:w="85" w:type="dxa"/>
              <w:bottom w:w="65" w:type="dxa"/>
              <w:end w:w="85" w:type="dxa"/>
            </w:tcMar>
            <w:vAlign w:val="top"/>
          </w:tcPr>
          <w:p>
            <w:r>
              <w:rPr>
                <w:sz w:val="14"/>
              </w:rPr>
              <w:t>IP plan, flow matrix and reachability evidence</w:t>
            </w:r>
          </w:p>
        </w:tc>
      </w:tr>
      <w:tr>
        <w:trPr>
          <w:cantSplit/>
        </w:trPr>
        <w:tc>
          <w:tcPr>
            <w:tcW w:type="dxa" w:w="1080"/>
            <w:tcMar>
              <w:top w:w="65" w:type="dxa"/>
              <w:start w:w="85" w:type="dxa"/>
              <w:bottom w:w="65" w:type="dxa"/>
              <w:end w:w="85" w:type="dxa"/>
            </w:tcMar>
            <w:vAlign w:val="top"/>
          </w:tcPr>
          <w:p>
            <w:r>
              <w:rPr>
                <w:sz w:val="14"/>
              </w:rPr>
              <w:t>9-12</w:t>
            </w:r>
          </w:p>
        </w:tc>
        <w:tc>
          <w:tcPr>
            <w:tcW w:type="dxa" w:w="2952"/>
            <w:tcMar>
              <w:top w:w="65" w:type="dxa"/>
              <w:start w:w="85" w:type="dxa"/>
              <w:bottom w:w="65" w:type="dxa"/>
              <w:end w:w="85" w:type="dxa"/>
            </w:tcMar>
            <w:vAlign w:val="top"/>
          </w:tcPr>
          <w:p>
            <w:r>
              <w:rPr>
                <w:sz w:val="14"/>
              </w:rPr>
              <w:t>Compute and delivery</w:t>
            </w:r>
          </w:p>
        </w:tc>
        <w:tc>
          <w:tcPr>
            <w:tcW w:type="dxa" w:w="5904"/>
            <w:tcMar>
              <w:top w:w="65" w:type="dxa"/>
              <w:start w:w="85" w:type="dxa"/>
              <w:bottom w:w="65" w:type="dxa"/>
              <w:end w:w="85" w:type="dxa"/>
            </w:tcMar>
            <w:vAlign w:val="top"/>
          </w:tcPr>
          <w:p>
            <w:r>
              <w:rPr>
                <w:sz w:val="14"/>
              </w:rPr>
              <w:t>Workload deployment, autoscaling and rollback</w:t>
            </w:r>
          </w:p>
        </w:tc>
      </w:tr>
      <w:tr>
        <w:trPr>
          <w:cantSplit/>
        </w:trPr>
        <w:tc>
          <w:tcPr>
            <w:tcW w:type="dxa" w:w="1080"/>
            <w:tcMar>
              <w:top w:w="65" w:type="dxa"/>
              <w:start w:w="85" w:type="dxa"/>
              <w:bottom w:w="65" w:type="dxa"/>
              <w:end w:w="85" w:type="dxa"/>
            </w:tcMar>
            <w:vAlign w:val="top"/>
          </w:tcPr>
          <w:p>
            <w:r>
              <w:rPr>
                <w:sz w:val="14"/>
              </w:rPr>
              <w:t>13-16</w:t>
            </w:r>
          </w:p>
        </w:tc>
        <w:tc>
          <w:tcPr>
            <w:tcW w:type="dxa" w:w="2952"/>
            <w:tcMar>
              <w:top w:w="65" w:type="dxa"/>
              <w:start w:w="85" w:type="dxa"/>
              <w:bottom w:w="65" w:type="dxa"/>
              <w:end w:w="85" w:type="dxa"/>
            </w:tcMar>
            <w:vAlign w:val="top"/>
          </w:tcPr>
          <w:p>
            <w:r>
              <w:rPr>
                <w:sz w:val="14"/>
              </w:rPr>
              <w:t>Data and recovery</w:t>
            </w:r>
          </w:p>
        </w:tc>
        <w:tc>
          <w:tcPr>
            <w:tcW w:type="dxa" w:w="5904"/>
            <w:tcMar>
              <w:top w:w="65" w:type="dxa"/>
              <w:start w:w="85" w:type="dxa"/>
              <w:bottom w:w="65" w:type="dxa"/>
              <w:end w:w="85" w:type="dxa"/>
            </w:tcMar>
            <w:vAlign w:val="top"/>
          </w:tcPr>
          <w:p>
            <w:r>
              <w:rPr>
                <w:sz w:val="14"/>
              </w:rPr>
              <w:t>Backup, restore and integrity report</w:t>
            </w:r>
          </w:p>
        </w:tc>
      </w:tr>
      <w:tr>
        <w:trPr>
          <w:cantSplit/>
        </w:trPr>
        <w:tc>
          <w:tcPr>
            <w:tcW w:type="dxa" w:w="1080"/>
            <w:tcMar>
              <w:top w:w="65" w:type="dxa"/>
              <w:start w:w="85" w:type="dxa"/>
              <w:bottom w:w="65" w:type="dxa"/>
              <w:end w:w="85" w:type="dxa"/>
            </w:tcMar>
            <w:vAlign w:val="top"/>
          </w:tcPr>
          <w:p>
            <w:r>
              <w:rPr>
                <w:sz w:val="14"/>
              </w:rPr>
              <w:t>17-20</w:t>
            </w:r>
          </w:p>
        </w:tc>
        <w:tc>
          <w:tcPr>
            <w:tcW w:type="dxa" w:w="2952"/>
            <w:tcMar>
              <w:top w:w="65" w:type="dxa"/>
              <w:start w:w="85" w:type="dxa"/>
              <w:bottom w:w="65" w:type="dxa"/>
              <w:end w:w="85" w:type="dxa"/>
            </w:tcMar>
            <w:vAlign w:val="top"/>
          </w:tcPr>
          <w:p>
            <w:r>
              <w:rPr>
                <w:sz w:val="14"/>
              </w:rPr>
              <w:t>Security and audit</w:t>
            </w:r>
          </w:p>
        </w:tc>
        <w:tc>
          <w:tcPr>
            <w:tcW w:type="dxa" w:w="5904"/>
            <w:tcMar>
              <w:top w:w="65" w:type="dxa"/>
              <w:start w:w="85" w:type="dxa"/>
              <w:bottom w:w="65" w:type="dxa"/>
              <w:end w:w="85" w:type="dxa"/>
            </w:tcMar>
            <w:vAlign w:val="top"/>
          </w:tcPr>
          <w:p>
            <w:r>
              <w:rPr>
                <w:sz w:val="14"/>
              </w:rPr>
              <w:t>Threat model, policy tests and finding workflow</w:t>
            </w:r>
          </w:p>
        </w:tc>
      </w:tr>
      <w:tr>
        <w:trPr>
          <w:cantSplit/>
        </w:trPr>
        <w:tc>
          <w:tcPr>
            <w:tcW w:type="dxa" w:w="1080"/>
            <w:tcMar>
              <w:top w:w="65" w:type="dxa"/>
              <w:start w:w="85" w:type="dxa"/>
              <w:bottom w:w="65" w:type="dxa"/>
              <w:end w:w="85" w:type="dxa"/>
            </w:tcMar>
            <w:vAlign w:val="top"/>
          </w:tcPr>
          <w:p>
            <w:r>
              <w:rPr>
                <w:sz w:val="14"/>
              </w:rPr>
              <w:t>21-23</w:t>
            </w:r>
          </w:p>
        </w:tc>
        <w:tc>
          <w:tcPr>
            <w:tcW w:type="dxa" w:w="2952"/>
            <w:tcMar>
              <w:top w:w="65" w:type="dxa"/>
              <w:start w:w="85" w:type="dxa"/>
              <w:bottom w:w="65" w:type="dxa"/>
              <w:end w:w="85" w:type="dxa"/>
            </w:tcMar>
            <w:vAlign w:val="top"/>
          </w:tcPr>
          <w:p>
            <w:r>
              <w:rPr>
                <w:sz w:val="14"/>
              </w:rPr>
              <w:t>Observability and incidents</w:t>
            </w:r>
          </w:p>
        </w:tc>
        <w:tc>
          <w:tcPr>
            <w:tcW w:type="dxa" w:w="5904"/>
            <w:tcMar>
              <w:top w:w="65" w:type="dxa"/>
              <w:start w:w="85" w:type="dxa"/>
              <w:bottom w:w="65" w:type="dxa"/>
              <w:end w:w="85" w:type="dxa"/>
            </w:tcMar>
            <w:vAlign w:val="top"/>
          </w:tcPr>
          <w:p>
            <w:r>
              <w:rPr>
                <w:sz w:val="14"/>
              </w:rPr>
              <w:t>SLO, dashboard and incident timeline</w:t>
            </w:r>
          </w:p>
        </w:tc>
      </w:tr>
      <w:tr>
        <w:trPr>
          <w:cantSplit/>
        </w:trPr>
        <w:tc>
          <w:tcPr>
            <w:tcW w:type="dxa" w:w="1080"/>
            <w:tcMar>
              <w:top w:w="65" w:type="dxa"/>
              <w:start w:w="85" w:type="dxa"/>
              <w:bottom w:w="65" w:type="dxa"/>
              <w:end w:w="85" w:type="dxa"/>
            </w:tcMar>
            <w:vAlign w:val="top"/>
          </w:tcPr>
          <w:p>
            <w:r>
              <w:rPr>
                <w:sz w:val="14"/>
              </w:rPr>
              <w:t>24-26</w:t>
            </w:r>
          </w:p>
        </w:tc>
        <w:tc>
          <w:tcPr>
            <w:tcW w:type="dxa" w:w="2952"/>
            <w:tcMar>
              <w:top w:w="65" w:type="dxa"/>
              <w:start w:w="85" w:type="dxa"/>
              <w:bottom w:w="65" w:type="dxa"/>
              <w:end w:w="85" w:type="dxa"/>
            </w:tcMar>
            <w:vAlign w:val="top"/>
          </w:tcPr>
          <w:p>
            <w:r>
              <w:rPr>
                <w:sz w:val="14"/>
              </w:rPr>
              <w:t>FinOps and governance</w:t>
            </w:r>
          </w:p>
        </w:tc>
        <w:tc>
          <w:tcPr>
            <w:tcW w:type="dxa" w:w="5904"/>
            <w:tcMar>
              <w:top w:w="65" w:type="dxa"/>
              <w:start w:w="85" w:type="dxa"/>
              <w:bottom w:w="65" w:type="dxa"/>
              <w:end w:w="85" w:type="dxa"/>
            </w:tcMar>
            <w:vAlign w:val="top"/>
          </w:tcPr>
          <w:p>
            <w:r>
              <w:rPr>
                <w:sz w:val="14"/>
              </w:rPr>
              <w:t>Allocation, budget and unit-cost review</w:t>
            </w:r>
          </w:p>
        </w:tc>
      </w:tr>
      <w:tr>
        <w:trPr>
          <w:cantSplit/>
        </w:trPr>
        <w:tc>
          <w:tcPr>
            <w:tcW w:type="dxa" w:w="1080"/>
            <w:tcMar>
              <w:top w:w="65" w:type="dxa"/>
              <w:start w:w="85" w:type="dxa"/>
              <w:bottom w:w="65" w:type="dxa"/>
              <w:end w:w="85" w:type="dxa"/>
            </w:tcMar>
            <w:vAlign w:val="top"/>
          </w:tcPr>
          <w:p>
            <w:r>
              <w:rPr>
                <w:sz w:val="14"/>
              </w:rPr>
              <w:t>27-28</w:t>
            </w:r>
          </w:p>
        </w:tc>
        <w:tc>
          <w:tcPr>
            <w:tcW w:type="dxa" w:w="2952"/>
            <w:tcMar>
              <w:top w:w="65" w:type="dxa"/>
              <w:start w:w="85" w:type="dxa"/>
              <w:bottom w:w="65" w:type="dxa"/>
              <w:end w:w="85" w:type="dxa"/>
            </w:tcMar>
            <w:vAlign w:val="top"/>
          </w:tcPr>
          <w:p>
            <w:r>
              <w:rPr>
                <w:sz w:val="14"/>
              </w:rPr>
              <w:t>Failure drills</w:t>
            </w:r>
          </w:p>
        </w:tc>
        <w:tc>
          <w:tcPr>
            <w:tcW w:type="dxa" w:w="5904"/>
            <w:tcMar>
              <w:top w:w="65" w:type="dxa"/>
              <w:start w:w="85" w:type="dxa"/>
              <w:bottom w:w="65" w:type="dxa"/>
              <w:end w:w="85" w:type="dxa"/>
            </w:tcMar>
            <w:vAlign w:val="top"/>
          </w:tcPr>
          <w:p>
            <w:r>
              <w:rPr>
                <w:sz w:val="14"/>
              </w:rPr>
              <w:t>Bounded outage and recovery evidence</w:t>
            </w:r>
          </w:p>
        </w:tc>
      </w:tr>
      <w:tr>
        <w:trPr>
          <w:cantSplit/>
        </w:trPr>
        <w:tc>
          <w:tcPr>
            <w:tcW w:type="dxa" w:w="1080"/>
            <w:tcMar>
              <w:top w:w="65" w:type="dxa"/>
              <w:start w:w="85" w:type="dxa"/>
              <w:bottom w:w="65" w:type="dxa"/>
              <w:end w:w="85" w:type="dxa"/>
            </w:tcMar>
            <w:vAlign w:val="top"/>
          </w:tcPr>
          <w:p>
            <w:r>
              <w:rPr>
                <w:sz w:val="14"/>
              </w:rPr>
              <w:t>29-30</w:t>
            </w:r>
          </w:p>
        </w:tc>
        <w:tc>
          <w:tcPr>
            <w:tcW w:type="dxa" w:w="2952"/>
            <w:tcMar>
              <w:top w:w="65" w:type="dxa"/>
              <w:start w:w="85" w:type="dxa"/>
              <w:bottom w:w="65" w:type="dxa"/>
              <w:end w:w="85" w:type="dxa"/>
            </w:tcMar>
            <w:vAlign w:val="top"/>
          </w:tcPr>
          <w:p>
            <w:r>
              <w:rPr>
                <w:sz w:val="14"/>
              </w:rPr>
              <w:t>Capstone and portfolio</w:t>
            </w:r>
          </w:p>
        </w:tc>
        <w:tc>
          <w:tcPr>
            <w:tcW w:type="dxa" w:w="5904"/>
            <w:tcMar>
              <w:top w:w="65" w:type="dxa"/>
              <w:start w:w="85" w:type="dxa"/>
              <w:bottom w:w="65" w:type="dxa"/>
              <w:end w:w="85" w:type="dxa"/>
            </w:tcMar>
            <w:vAlign w:val="top"/>
          </w:tcPr>
          <w:p>
            <w:r>
              <w:rPr>
                <w:sz w:val="14"/>
              </w:rPr>
              <w:t>Architecture defense, cleanup and sanitized report</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65" w:type="dxa"/>
              <w:start w:w="85" w:type="dxa"/>
              <w:bottom w:w="65" w:type="dxa"/>
              <w:end w:w="85" w:type="dxa"/>
            </w:tcMar>
            <w:vAlign w:val="center"/>
          </w:tcPr>
          <w:p>
            <w:r>
              <w:rPr>
                <w:b/>
                <w:color w:val="FFFFFF"/>
                <w:sz w:val="15"/>
              </w:rPr>
              <w:t>Term</w:t>
            </w:r>
          </w:p>
        </w:tc>
        <w:tc>
          <w:tcPr>
            <w:tcW w:type="dxa" w:w="7848"/>
            <w:shd w:fill="176B87"/>
            <w:tcMar>
              <w:top w:w="65" w:type="dxa"/>
              <w:start w:w="85" w:type="dxa"/>
              <w:bottom w:w="65" w:type="dxa"/>
              <w:end w:w="85" w:type="dxa"/>
            </w:tcMar>
            <w:vAlign w:val="center"/>
          </w:tcPr>
          <w:p>
            <w:r>
              <w:rPr>
                <w:b/>
                <w:color w:val="FFFFFF"/>
                <w:sz w:val="15"/>
              </w:rPr>
              <w:t>Definition</w:t>
            </w:r>
          </w:p>
        </w:tc>
      </w:tr>
      <w:tr>
        <w:trPr>
          <w:cantSplit/>
        </w:trPr>
        <w:tc>
          <w:tcPr>
            <w:tcW w:type="dxa" w:w="2088"/>
            <w:tcMar>
              <w:top w:w="65" w:type="dxa"/>
              <w:start w:w="85" w:type="dxa"/>
              <w:bottom w:w="65" w:type="dxa"/>
              <w:end w:w="85" w:type="dxa"/>
            </w:tcMar>
            <w:vAlign w:val="top"/>
          </w:tcPr>
          <w:p>
            <w:r>
              <w:rPr>
                <w:sz w:val="15"/>
              </w:rPr>
              <w:t>Application landing zone</w:t>
            </w:r>
          </w:p>
        </w:tc>
        <w:tc>
          <w:tcPr>
            <w:tcW w:type="dxa" w:w="7848"/>
            <w:tcMar>
              <w:top w:w="65" w:type="dxa"/>
              <w:start w:w="85" w:type="dxa"/>
              <w:bottom w:w="65" w:type="dxa"/>
              <w:end w:w="85" w:type="dxa"/>
            </w:tcMar>
            <w:vAlign w:val="top"/>
          </w:tcPr>
          <w:p>
            <w:r>
              <w:rPr>
                <w:sz w:val="15"/>
              </w:rPr>
              <w:t>A governed environment in which a workload team deploys and operates applications.</w:t>
            </w:r>
          </w:p>
        </w:tc>
      </w:tr>
      <w:tr>
        <w:trPr>
          <w:cantSplit/>
        </w:trPr>
        <w:tc>
          <w:tcPr>
            <w:tcW w:type="dxa" w:w="2088"/>
            <w:tcMar>
              <w:top w:w="65" w:type="dxa"/>
              <w:start w:w="85" w:type="dxa"/>
              <w:bottom w:w="65" w:type="dxa"/>
              <w:end w:w="85" w:type="dxa"/>
            </w:tcMar>
            <w:vAlign w:val="top"/>
          </w:tcPr>
          <w:p>
            <w:r>
              <w:rPr>
                <w:sz w:val="15"/>
              </w:rPr>
              <w:t>Blast radius</w:t>
            </w:r>
          </w:p>
        </w:tc>
        <w:tc>
          <w:tcPr>
            <w:tcW w:type="dxa" w:w="7848"/>
            <w:tcMar>
              <w:top w:w="65" w:type="dxa"/>
              <w:start w:w="85" w:type="dxa"/>
              <w:bottom w:w="65" w:type="dxa"/>
              <w:end w:w="85" w:type="dxa"/>
            </w:tcMar>
            <w:vAlign w:val="top"/>
          </w:tcPr>
          <w:p>
            <w:r>
              <w:rPr>
                <w:sz w:val="15"/>
              </w:rPr>
              <w:t>The maximum scope of impact from a failure, credential or change.</w:t>
            </w:r>
          </w:p>
        </w:tc>
      </w:tr>
      <w:tr>
        <w:trPr>
          <w:cantSplit/>
        </w:trPr>
        <w:tc>
          <w:tcPr>
            <w:tcW w:type="dxa" w:w="2088"/>
            <w:tcMar>
              <w:top w:w="65" w:type="dxa"/>
              <w:start w:w="85" w:type="dxa"/>
              <w:bottom w:w="65" w:type="dxa"/>
              <w:end w:w="85" w:type="dxa"/>
            </w:tcMar>
            <w:vAlign w:val="top"/>
          </w:tcPr>
          <w:p>
            <w:r>
              <w:rPr>
                <w:sz w:val="15"/>
              </w:rPr>
              <w:t>Control plane</w:t>
            </w:r>
          </w:p>
        </w:tc>
        <w:tc>
          <w:tcPr>
            <w:tcW w:type="dxa" w:w="7848"/>
            <w:tcMar>
              <w:top w:w="65" w:type="dxa"/>
              <w:start w:w="85" w:type="dxa"/>
              <w:bottom w:w="65" w:type="dxa"/>
              <w:end w:w="85" w:type="dxa"/>
            </w:tcMar>
            <w:vAlign w:val="top"/>
          </w:tcPr>
          <w:p>
            <w:r>
              <w:rPr>
                <w:sz w:val="15"/>
              </w:rPr>
              <w:t>Interfaces and services used to administer a cloud or platform.</w:t>
            </w:r>
          </w:p>
        </w:tc>
      </w:tr>
      <w:tr>
        <w:trPr>
          <w:cantSplit/>
        </w:trPr>
        <w:tc>
          <w:tcPr>
            <w:tcW w:type="dxa" w:w="2088"/>
            <w:tcMar>
              <w:top w:w="65" w:type="dxa"/>
              <w:start w:w="85" w:type="dxa"/>
              <w:bottom w:w="65" w:type="dxa"/>
              <w:end w:w="85" w:type="dxa"/>
            </w:tcMar>
            <w:vAlign w:val="top"/>
          </w:tcPr>
          <w:p>
            <w:r>
              <w:rPr>
                <w:sz w:val="15"/>
              </w:rPr>
              <w:t>Data plane</w:t>
            </w:r>
          </w:p>
        </w:tc>
        <w:tc>
          <w:tcPr>
            <w:tcW w:type="dxa" w:w="7848"/>
            <w:tcMar>
              <w:top w:w="65" w:type="dxa"/>
              <w:start w:w="85" w:type="dxa"/>
              <w:bottom w:w="65" w:type="dxa"/>
              <w:end w:w="85" w:type="dxa"/>
            </w:tcMar>
            <w:vAlign w:val="top"/>
          </w:tcPr>
          <w:p>
            <w:r>
              <w:rPr>
                <w:sz w:val="15"/>
              </w:rPr>
              <w:t>The runtime path that processes application traffic and data.</w:t>
            </w:r>
          </w:p>
        </w:tc>
      </w:tr>
      <w:tr>
        <w:trPr>
          <w:cantSplit/>
        </w:trPr>
        <w:tc>
          <w:tcPr>
            <w:tcW w:type="dxa" w:w="2088"/>
            <w:tcMar>
              <w:top w:w="65" w:type="dxa"/>
              <w:start w:w="85" w:type="dxa"/>
              <w:bottom w:w="65" w:type="dxa"/>
              <w:end w:w="85" w:type="dxa"/>
            </w:tcMar>
            <w:vAlign w:val="top"/>
          </w:tcPr>
          <w:p>
            <w:r>
              <w:rPr>
                <w:sz w:val="15"/>
              </w:rPr>
              <w:t>Federation</w:t>
            </w:r>
          </w:p>
        </w:tc>
        <w:tc>
          <w:tcPr>
            <w:tcW w:type="dxa" w:w="7848"/>
            <w:tcMar>
              <w:top w:w="65" w:type="dxa"/>
              <w:start w:w="85" w:type="dxa"/>
              <w:bottom w:w="65" w:type="dxa"/>
              <w:end w:w="85" w:type="dxa"/>
            </w:tcMar>
            <w:vAlign w:val="top"/>
          </w:tcPr>
          <w:p>
            <w:r>
              <w:rPr>
                <w:sz w:val="15"/>
              </w:rPr>
              <w:t>Trust that allows an external identity source to authenticate without duplicate long-lived credentials.</w:t>
            </w:r>
          </w:p>
        </w:tc>
      </w:tr>
      <w:tr>
        <w:trPr>
          <w:cantSplit/>
        </w:trPr>
        <w:tc>
          <w:tcPr>
            <w:tcW w:type="dxa" w:w="2088"/>
            <w:tcMar>
              <w:top w:w="65" w:type="dxa"/>
              <w:start w:w="85" w:type="dxa"/>
              <w:bottom w:w="65" w:type="dxa"/>
              <w:end w:w="85" w:type="dxa"/>
            </w:tcMar>
            <w:vAlign w:val="top"/>
          </w:tcPr>
          <w:p>
            <w:r>
              <w:rPr>
                <w:sz w:val="15"/>
              </w:rPr>
              <w:t>Guardrail</w:t>
            </w:r>
          </w:p>
        </w:tc>
        <w:tc>
          <w:tcPr>
            <w:tcW w:type="dxa" w:w="7848"/>
            <w:tcMar>
              <w:top w:w="65" w:type="dxa"/>
              <w:start w:w="85" w:type="dxa"/>
              <w:bottom w:w="65" w:type="dxa"/>
              <w:end w:w="85" w:type="dxa"/>
            </w:tcMar>
            <w:vAlign w:val="top"/>
          </w:tcPr>
          <w:p>
            <w:r>
              <w:rPr>
                <w:sz w:val="15"/>
              </w:rPr>
              <w:t>A preventive, detective or corrective control that constrains activity.</w:t>
            </w:r>
          </w:p>
        </w:tc>
      </w:tr>
      <w:tr>
        <w:trPr>
          <w:cantSplit/>
        </w:trPr>
        <w:tc>
          <w:tcPr>
            <w:tcW w:type="dxa" w:w="2088"/>
            <w:tcMar>
              <w:top w:w="65" w:type="dxa"/>
              <w:start w:w="85" w:type="dxa"/>
              <w:bottom w:w="65" w:type="dxa"/>
              <w:end w:w="85" w:type="dxa"/>
            </w:tcMar>
            <w:vAlign w:val="top"/>
          </w:tcPr>
          <w:p>
            <w:r>
              <w:rPr>
                <w:sz w:val="15"/>
              </w:rPr>
              <w:t>Landing zone</w:t>
            </w:r>
          </w:p>
        </w:tc>
        <w:tc>
          <w:tcPr>
            <w:tcW w:type="dxa" w:w="7848"/>
            <w:tcMar>
              <w:top w:w="65" w:type="dxa"/>
              <w:start w:w="85" w:type="dxa"/>
              <w:bottom w:w="65" w:type="dxa"/>
              <w:end w:w="85" w:type="dxa"/>
            </w:tcMar>
            <w:vAlign w:val="top"/>
          </w:tcPr>
          <w:p>
            <w:r>
              <w:rPr>
                <w:sz w:val="15"/>
              </w:rPr>
              <w:t>A scalable cloud foundation for hierarchy, identity, network, security, logging and cost.</w:t>
            </w:r>
          </w:p>
        </w:tc>
      </w:tr>
      <w:tr>
        <w:trPr>
          <w:cantSplit/>
        </w:trPr>
        <w:tc>
          <w:tcPr>
            <w:tcW w:type="dxa" w:w="2088"/>
            <w:tcMar>
              <w:top w:w="65" w:type="dxa"/>
              <w:start w:w="85" w:type="dxa"/>
              <w:bottom w:w="65" w:type="dxa"/>
              <w:end w:w="85" w:type="dxa"/>
            </w:tcMar>
            <w:vAlign w:val="top"/>
          </w:tcPr>
          <w:p>
            <w:r>
              <w:rPr>
                <w:sz w:val="15"/>
              </w:rPr>
              <w:t>Private endpoint</w:t>
            </w:r>
          </w:p>
        </w:tc>
        <w:tc>
          <w:tcPr>
            <w:tcW w:type="dxa" w:w="7848"/>
            <w:tcMar>
              <w:top w:w="65" w:type="dxa"/>
              <w:start w:w="85" w:type="dxa"/>
              <w:bottom w:w="65" w:type="dxa"/>
              <w:end w:w="85" w:type="dxa"/>
            </w:tcMar>
            <w:vAlign w:val="top"/>
          </w:tcPr>
          <w:p>
            <w:r>
              <w:rPr>
                <w:sz w:val="15"/>
              </w:rPr>
              <w:t>A private network interface used to access a managed service without a public path.</w:t>
            </w:r>
          </w:p>
        </w:tc>
      </w:tr>
      <w:tr>
        <w:trPr>
          <w:cantSplit/>
        </w:trPr>
        <w:tc>
          <w:tcPr>
            <w:tcW w:type="dxa" w:w="2088"/>
            <w:tcMar>
              <w:top w:w="65" w:type="dxa"/>
              <w:start w:w="85" w:type="dxa"/>
              <w:bottom w:w="65" w:type="dxa"/>
              <w:end w:w="85" w:type="dxa"/>
            </w:tcMar>
            <w:vAlign w:val="top"/>
          </w:tcPr>
          <w:p>
            <w:r>
              <w:rPr>
                <w:sz w:val="15"/>
              </w:rPr>
              <w:t>RPO</w:t>
            </w:r>
          </w:p>
        </w:tc>
        <w:tc>
          <w:tcPr>
            <w:tcW w:type="dxa" w:w="7848"/>
            <w:tcMar>
              <w:top w:w="65" w:type="dxa"/>
              <w:start w:w="85" w:type="dxa"/>
              <w:bottom w:w="65" w:type="dxa"/>
              <w:end w:w="85" w:type="dxa"/>
            </w:tcMar>
            <w:vAlign w:val="top"/>
          </w:tcPr>
          <w:p>
            <w:r>
              <w:rPr>
                <w:sz w:val="15"/>
              </w:rPr>
              <w:t>Maximum acceptable data loss measured in time.</w:t>
            </w:r>
          </w:p>
        </w:tc>
      </w:tr>
      <w:tr>
        <w:trPr>
          <w:cantSplit/>
        </w:trPr>
        <w:tc>
          <w:tcPr>
            <w:tcW w:type="dxa" w:w="2088"/>
            <w:tcMar>
              <w:top w:w="65" w:type="dxa"/>
              <w:start w:w="85" w:type="dxa"/>
              <w:bottom w:w="65" w:type="dxa"/>
              <w:end w:w="85" w:type="dxa"/>
            </w:tcMar>
            <w:vAlign w:val="top"/>
          </w:tcPr>
          <w:p>
            <w:r>
              <w:rPr>
                <w:sz w:val="15"/>
              </w:rPr>
              <w:t>RTO</w:t>
            </w:r>
          </w:p>
        </w:tc>
        <w:tc>
          <w:tcPr>
            <w:tcW w:type="dxa" w:w="7848"/>
            <w:tcMar>
              <w:top w:w="65" w:type="dxa"/>
              <w:start w:w="85" w:type="dxa"/>
              <w:bottom w:w="65" w:type="dxa"/>
              <w:end w:w="85" w:type="dxa"/>
            </w:tcMar>
            <w:vAlign w:val="top"/>
          </w:tcPr>
          <w:p>
            <w:r>
              <w:rPr>
                <w:sz w:val="15"/>
              </w:rPr>
              <w:t>Target time to restore a service after disruption.</w:t>
            </w:r>
          </w:p>
        </w:tc>
      </w:tr>
      <w:tr>
        <w:trPr>
          <w:cantSplit/>
        </w:trPr>
        <w:tc>
          <w:tcPr>
            <w:tcW w:type="dxa" w:w="2088"/>
            <w:tcMar>
              <w:top w:w="65" w:type="dxa"/>
              <w:start w:w="85" w:type="dxa"/>
              <w:bottom w:w="65" w:type="dxa"/>
              <w:end w:w="85" w:type="dxa"/>
            </w:tcMar>
            <w:vAlign w:val="top"/>
          </w:tcPr>
          <w:p>
            <w:r>
              <w:rPr>
                <w:sz w:val="15"/>
              </w:rPr>
              <w:t>Unit cost</w:t>
            </w:r>
          </w:p>
        </w:tc>
        <w:tc>
          <w:tcPr>
            <w:tcW w:type="dxa" w:w="7848"/>
            <w:tcMar>
              <w:top w:w="65" w:type="dxa"/>
              <w:start w:w="85" w:type="dxa"/>
              <w:bottom w:w="65" w:type="dxa"/>
              <w:end w:w="85" w:type="dxa"/>
            </w:tcMar>
            <w:vAlign w:val="top"/>
          </w:tcPr>
          <w:p>
            <w:r>
              <w:rPr>
                <w:sz w:val="15"/>
              </w:rPr>
              <w:t>Technology cost per useful business or technical output.</w:t>
            </w:r>
          </w:p>
        </w:tc>
      </w:tr>
      <w:tr>
        <w:trPr>
          <w:cantSplit/>
        </w:trPr>
        <w:tc>
          <w:tcPr>
            <w:tcW w:type="dxa" w:w="2088"/>
            <w:tcMar>
              <w:top w:w="65" w:type="dxa"/>
              <w:start w:w="85" w:type="dxa"/>
              <w:bottom w:w="65" w:type="dxa"/>
              <w:end w:w="85" w:type="dxa"/>
            </w:tcMar>
            <w:vAlign w:val="top"/>
          </w:tcPr>
          <w:p>
            <w:r>
              <w:rPr>
                <w:sz w:val="15"/>
              </w:rPr>
              <w:t>Workload identity</w:t>
            </w:r>
          </w:p>
        </w:tc>
        <w:tc>
          <w:tcPr>
            <w:tcW w:type="dxa" w:w="7848"/>
            <w:tcMar>
              <w:top w:w="65" w:type="dxa"/>
              <w:start w:w="85" w:type="dxa"/>
              <w:bottom w:w="65" w:type="dxa"/>
              <w:end w:w="85" w:type="dxa"/>
            </w:tcMar>
            <w:vAlign w:val="top"/>
          </w:tcPr>
          <w:p>
            <w:r>
              <w:rPr>
                <w:sz w:val="15"/>
              </w:rPr>
              <w:t>A short-lived identity issued to software based on trusted runtime context.</w:t>
            </w:r>
          </w:p>
        </w:tc>
      </w:tr>
    </w:tbl>
    <w:p>
      <w:pPr>
        <w:pStyle w:val="Heading1"/>
        <w:keepNext w:val="0"/>
      </w:pPr>
      <w:r>
        <w:t>Official Documentation Index</w:t>
      </w:r>
    </w:p>
    <w:p>
      <w:pPr>
        <w:keepNext w:val="0"/>
      </w:pPr>
      <w:r>
        <w:t>The following official sources were checked for this 2026 edition. Verify current service behavior, quotas, prices and certification requirements before production use or exam registration.</w:t>
      </w:r>
    </w:p>
    <w:p>
      <w:pPr>
        <w:pStyle w:val="ListBullet"/>
      </w:pPr>
      <w:hyperlink r:id="rId72">
        <w:r>
          <w:rPr>
            <w:color w:val="176B87"/>
            <w:u w:val="single"/>
          </w:rPr>
          <w:t>AWS Control Tower User Guide</w:t>
        </w:r>
      </w:hyperlink>
    </w:p>
    <w:p>
      <w:pPr>
        <w:pStyle w:val="ListBullet"/>
      </w:pPr>
      <w:hyperlink r:id="rId73">
        <w:r>
          <w:rPr>
            <w:color w:val="176B87"/>
            <w:u w:val="single"/>
          </w:rPr>
          <w:t>AWS Organizations User Guide</w:t>
        </w:r>
      </w:hyperlink>
    </w:p>
    <w:p>
      <w:pPr>
        <w:pStyle w:val="ListBullet"/>
      </w:pPr>
      <w:hyperlink r:id="rId74">
        <w:r>
          <w:rPr>
            <w:color w:val="176B87"/>
            <w:u w:val="single"/>
          </w:rPr>
          <w:t>AWS IAM Best Practices</w:t>
        </w:r>
      </w:hyperlink>
    </w:p>
    <w:p>
      <w:pPr>
        <w:pStyle w:val="ListBullet"/>
      </w:pPr>
      <w:hyperlink r:id="rId75">
        <w:r>
          <w:rPr>
            <w:color w:val="176B87"/>
            <w:u w:val="single"/>
          </w:rPr>
          <w:t>AWS VPC Transit Gateway</w:t>
        </w:r>
      </w:hyperlink>
    </w:p>
    <w:p>
      <w:pPr>
        <w:pStyle w:val="ListBullet"/>
      </w:pPr>
      <w:hyperlink r:id="rId59">
        <w:r>
          <w:rPr>
            <w:color w:val="176B87"/>
            <w:u w:val="single"/>
          </w:rPr>
          <w:t>AWS Well-Architected Framework</w:t>
        </w:r>
      </w:hyperlink>
    </w:p>
    <w:p>
      <w:pPr>
        <w:pStyle w:val="ListBullet"/>
      </w:pPr>
      <w:hyperlink r:id="rId76">
        <w:r>
          <w:rPr>
            <w:color w:val="176B87"/>
            <w:u w:val="single"/>
          </w:rPr>
          <w:t>AWS Security Reference Architecture</w:t>
        </w:r>
      </w:hyperlink>
    </w:p>
    <w:p>
      <w:pPr>
        <w:pStyle w:val="ListBullet"/>
      </w:pPr>
      <w:hyperlink r:id="rId77">
        <w:r>
          <w:rPr>
            <w:color w:val="176B87"/>
            <w:u w:val="single"/>
          </w:rPr>
          <w:t>AWS Disaster Recovery of Workloads</w:t>
        </w:r>
      </w:hyperlink>
    </w:p>
    <w:p>
      <w:pPr>
        <w:pStyle w:val="ListBullet"/>
      </w:pPr>
      <w:hyperlink r:id="rId78">
        <w:r>
          <w:rPr>
            <w:color w:val="176B87"/>
            <w:u w:val="single"/>
          </w:rPr>
          <w:t>AWS Cloud Financial Management</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105" w:type="dxa"/>
              <w:start w:w="135" w:type="dxa"/>
              <w:bottom w:w="105" w:type="dxa"/>
              <w:end w:w="135" w:type="dxa"/>
            </w:tcMar>
          </w:tcPr>
          <w:p>
            <w:pPr>
              <w:spacing w:after="0"/>
            </w:pPr>
            <w:r>
              <w:rPr>
                <w:b/>
                <w:color w:val="17324D"/>
              </w:rPr>
              <w:t>Volume 12B completion: preserve your architecture, code, test evidence, recovery timeline, cost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12B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12B - AWS ENTERPRISE CLOUD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docs.aws.amazon.com/controltower/latest/userguide/what-is-control-tower.html" TargetMode="External"/><Relationship Id="rId73" Type="http://schemas.openxmlformats.org/officeDocument/2006/relationships/hyperlink" Target="https://docs.aws.amazon.com/organizations/latest/userguide/orgs_introduction.html" TargetMode="External"/><Relationship Id="rId74" Type="http://schemas.openxmlformats.org/officeDocument/2006/relationships/hyperlink" Target="https://docs.aws.amazon.com/IAM/latest/UserGuide/best-practices.html" TargetMode="External"/><Relationship Id="rId75" Type="http://schemas.openxmlformats.org/officeDocument/2006/relationships/hyperlink" Target="https://docs.aws.amazon.com/vpc/latest/tgw/what-is-transit-gateway.html" TargetMode="External"/><Relationship Id="rId76" Type="http://schemas.openxmlformats.org/officeDocument/2006/relationships/hyperlink" Target="https://docs.aws.amazon.com/prescriptive-guidance/latest/security-reference-architecture/welcome.html" TargetMode="External"/><Relationship Id="rId77" Type="http://schemas.openxmlformats.org/officeDocument/2006/relationships/hyperlink" Target="https://docs.aws.amazon.com/whitepapers/latest/disaster-recovery-workloads-on-aws/disaster-recovery-options-in-the-cloud.html" TargetMode="External"/><Relationship Id="rId78" Type="http://schemas.openxmlformats.org/officeDocument/2006/relationships/hyperlink" Target="https://aws.amazon.com/aws-cost-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12B - AWS Enterprise Cloud Engineering</dc:title>
  <dc:subject>Organizations • IAM • Networking • Compute • Data • Security • Reliability • Operations • FinOps</dc:subject>
  <dc:creator>OpenAI</dc:creator>
  <cp:keywords>DevOps, Cloud, AWS, Azure, Google Cloud, Multi-Cloud, Terraform, Architecture, FinOps, Security, Reliability</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