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12C</w:t>
      </w:r>
    </w:p>
    <w:p>
      <w:pPr>
        <w:jc w:val="center"/>
      </w:pPr>
      <w:r>
        <w:rPr>
          <w:b/>
          <w:color w:val="17324D"/>
          <w:sz w:val="40"/>
        </w:rPr>
        <w:t>Microsoft Azure Enterprise Cloud Engineering</w:t>
      </w:r>
    </w:p>
    <w:p>
      <w:pPr>
        <w:pStyle w:val="Subtitle"/>
        <w:jc w:val="center"/>
      </w:pPr>
      <w:r>
        <w:t>Landing Zones • Entra • Networking • Compute • Data • Security • Reliability • Operations • FinOps</w:t>
      </w:r>
    </w:p>
    <w:p>
      <w:pPr>
        <w:keepNext w:val="0"/>
        <w:jc w:val="center"/>
      </w:pPr>
      <w:r>
        <w:t>Chapters 21-30  |  2026 Edition</w:t>
      </w:r>
    </w:p>
    <w:p/>
    <w:p>
      <w:pPr>
        <w:keepNext w:val="0"/>
        <w:jc w:val="center"/>
      </w:pPr>
      <w:r>
        <w:t>Beginner to Enterprise Cloud Architecture and Operations</w:t>
      </w:r>
    </w:p>
    <w:p>
      <w:r>
        <w:br w:type="page"/>
      </w:r>
    </w:p>
    <w:p>
      <w:pPr>
        <w:pStyle w:val="Heading1"/>
        <w:keepNext w:val="0"/>
      </w:pPr>
      <w:r>
        <w:t>About This Part</w:t>
      </w:r>
    </w:p>
    <w:p>
      <w:pPr>
        <w:keepNext w:val="0"/>
      </w:pPr>
      <w:r>
        <w:t>Part C develops provider-depth in Microsoft Azure. It connects the Azure landing-zone hierarchy to Microsoft Entra identity, private networking, modern application platforms, managed data, Defender and Sentinel operations, recovery and cost engineering.</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2026 platform note: The 2026 edition follows the current Azure Landing Zones model of platform and application landing zones, the Microsoft Entra naming model, managed identities, Private Link and the Azure Well-Architected and Cloud Adoption Frameworks.</w:t>
            </w:r>
          </w:p>
        </w:tc>
      </w:tr>
    </w:tbl>
    <w:p>
      <w:pPr>
        <w:spacing w:after="0"/>
      </w:pPr>
    </w:p>
    <w:p>
      <w:pPr>
        <w:pStyle w:val="Heading2"/>
        <w:keepNext w:val="0"/>
      </w:pPr>
      <w:r>
        <w:t>Volume 12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76B87"/>
            <w:tcMar>
              <w:top w:w="65" w:type="dxa"/>
              <w:start w:w="85" w:type="dxa"/>
              <w:bottom w:w="65" w:type="dxa"/>
              <w:end w:w="85" w:type="dxa"/>
            </w:tcMar>
            <w:vAlign w:val="center"/>
          </w:tcPr>
          <w:p>
            <w:r>
              <w:rPr>
                <w:b/>
                <w:color w:val="FFFFFF"/>
                <w:sz w:val="14"/>
              </w:rPr>
              <w:t>Part</w:t>
            </w:r>
          </w:p>
        </w:tc>
        <w:tc>
          <w:tcPr>
            <w:tcW w:type="dxa" w:w="6984"/>
            <w:shd w:fill="176B87"/>
            <w:tcMar>
              <w:top w:w="65" w:type="dxa"/>
              <w:start w:w="85" w:type="dxa"/>
              <w:bottom w:w="65" w:type="dxa"/>
              <w:end w:w="85" w:type="dxa"/>
            </w:tcMar>
            <w:vAlign w:val="center"/>
          </w:tcPr>
          <w:p>
            <w:r>
              <w:rPr>
                <w:b/>
                <w:color w:val="FFFFFF"/>
                <w:sz w:val="14"/>
              </w:rPr>
              <w:t>Coverage</w:t>
            </w:r>
          </w:p>
        </w:tc>
        <w:tc>
          <w:tcPr>
            <w:tcW w:type="dxa" w:w="2088"/>
            <w:shd w:fill="176B87"/>
            <w:tcMar>
              <w:top w:w="65" w:type="dxa"/>
              <w:start w:w="85" w:type="dxa"/>
              <w:bottom w:w="65" w:type="dxa"/>
              <w:end w:w="85" w:type="dxa"/>
            </w:tcMar>
            <w:vAlign w:val="center"/>
          </w:tcPr>
          <w:p>
            <w:r>
              <w:rPr>
                <w:b/>
                <w:color w:val="FFFFFF"/>
                <w:sz w:val="14"/>
              </w:rPr>
              <w:t>Status</w:t>
            </w:r>
          </w:p>
        </w:tc>
      </w:tr>
      <w:tr>
        <w:trPr>
          <w:cantSplit/>
        </w:trPr>
        <w:tc>
          <w:tcPr>
            <w:tcW w:type="dxa" w:w="864"/>
            <w:tcMar>
              <w:top w:w="65" w:type="dxa"/>
              <w:start w:w="85" w:type="dxa"/>
              <w:bottom w:w="65" w:type="dxa"/>
              <w:end w:w="85" w:type="dxa"/>
            </w:tcMar>
            <w:vAlign w:val="top"/>
          </w:tcPr>
          <w:p>
            <w:r>
              <w:rPr>
                <w:sz w:val="14"/>
              </w:rPr>
              <w:t>12A</w:t>
            </w:r>
          </w:p>
        </w:tc>
        <w:tc>
          <w:tcPr>
            <w:tcW w:type="dxa" w:w="6984"/>
            <w:tcMar>
              <w:top w:w="65" w:type="dxa"/>
              <w:start w:w="85" w:type="dxa"/>
              <w:bottom w:w="65" w:type="dxa"/>
              <w:end w:w="85" w:type="dxa"/>
            </w:tcMar>
            <w:vAlign w:val="top"/>
          </w:tcPr>
          <w:p>
            <w:r>
              <w:rPr>
                <w:sz w:val="14"/>
              </w:rPr>
              <w:t>Multi-cloud architecture and landing-zone foundations</w:t>
            </w:r>
          </w:p>
        </w:tc>
        <w:tc>
          <w:tcPr>
            <w:tcW w:type="dxa" w:w="2088"/>
            <w:tcMar>
              <w:top w:w="65" w:type="dxa"/>
              <w:start w:w="85" w:type="dxa"/>
              <w:bottom w:w="65" w:type="dxa"/>
              <w:end w:w="85" w:type="dxa"/>
            </w:tcMar>
            <w:vAlign w:val="top"/>
          </w:tcPr>
          <w:p>
            <w:r>
              <w:rPr>
                <w:sz w:val="14"/>
              </w:rPr>
              <w:t>Completed</w:t>
            </w:r>
          </w:p>
        </w:tc>
      </w:tr>
      <w:tr>
        <w:trPr>
          <w:cantSplit/>
        </w:trPr>
        <w:tc>
          <w:tcPr>
            <w:tcW w:type="dxa" w:w="864"/>
            <w:tcMar>
              <w:top w:w="65" w:type="dxa"/>
              <w:start w:w="85" w:type="dxa"/>
              <w:bottom w:w="65" w:type="dxa"/>
              <w:end w:w="85" w:type="dxa"/>
            </w:tcMar>
            <w:vAlign w:val="top"/>
          </w:tcPr>
          <w:p>
            <w:r>
              <w:rPr>
                <w:sz w:val="14"/>
              </w:rPr>
              <w:t>12B</w:t>
            </w:r>
          </w:p>
        </w:tc>
        <w:tc>
          <w:tcPr>
            <w:tcW w:type="dxa" w:w="6984"/>
            <w:tcMar>
              <w:top w:w="65" w:type="dxa"/>
              <w:start w:w="85" w:type="dxa"/>
              <w:bottom w:w="65" w:type="dxa"/>
              <w:end w:w="85" w:type="dxa"/>
            </w:tcMar>
            <w:vAlign w:val="top"/>
          </w:tcPr>
          <w:p>
            <w:r>
              <w:rPr>
                <w:sz w:val="14"/>
              </w:rPr>
              <w:t>AWS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12C</w:t>
            </w:r>
          </w:p>
        </w:tc>
        <w:tc>
          <w:tcPr>
            <w:tcW w:type="dxa" w:w="6984"/>
            <w:tcMar>
              <w:top w:w="65" w:type="dxa"/>
              <w:start w:w="85" w:type="dxa"/>
              <w:bottom w:w="65" w:type="dxa"/>
              <w:end w:w="85" w:type="dxa"/>
            </w:tcMar>
            <w:vAlign w:val="top"/>
          </w:tcPr>
          <w:p>
            <w:r>
              <w:rPr>
                <w:sz w:val="14"/>
              </w:rPr>
              <w:t>Azure enterprise cloud engineering</w:t>
            </w:r>
          </w:p>
        </w:tc>
        <w:tc>
          <w:tcPr>
            <w:tcW w:type="dxa" w:w="2088"/>
            <w:tcMar>
              <w:top w:w="65" w:type="dxa"/>
              <w:start w:w="85" w:type="dxa"/>
              <w:bottom w:w="65" w:type="dxa"/>
              <w:end w:w="85" w:type="dxa"/>
            </w:tcMar>
            <w:vAlign w:val="top"/>
          </w:tcPr>
          <w:p>
            <w:r>
              <w:rPr>
                <w:sz w:val="14"/>
              </w:rPr>
              <w:t>Completed in this package</w:t>
            </w:r>
          </w:p>
        </w:tc>
      </w:tr>
      <w:tr>
        <w:trPr>
          <w:cantSplit/>
        </w:trPr>
        <w:tc>
          <w:tcPr>
            <w:tcW w:type="dxa" w:w="864"/>
            <w:tcMar>
              <w:top w:w="65" w:type="dxa"/>
              <w:start w:w="85" w:type="dxa"/>
              <w:bottom w:w="65" w:type="dxa"/>
              <w:end w:w="85" w:type="dxa"/>
            </w:tcMar>
            <w:vAlign w:val="top"/>
          </w:tcPr>
          <w:p>
            <w:r>
              <w:rPr>
                <w:sz w:val="14"/>
              </w:rPr>
              <w:t>12D</w:t>
            </w:r>
          </w:p>
        </w:tc>
        <w:tc>
          <w:tcPr>
            <w:tcW w:type="dxa" w:w="6984"/>
            <w:tcMar>
              <w:top w:w="65" w:type="dxa"/>
              <w:start w:w="85" w:type="dxa"/>
              <w:bottom w:w="65" w:type="dxa"/>
              <w:end w:w="85" w:type="dxa"/>
            </w:tcMar>
            <w:vAlign w:val="top"/>
          </w:tcPr>
          <w:p>
            <w:r>
              <w:rPr>
                <w:sz w:val="14"/>
              </w:rPr>
              <w:t>Google Cloud enterprise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12E</w:t>
            </w:r>
          </w:p>
        </w:tc>
        <w:tc>
          <w:tcPr>
            <w:tcW w:type="dxa" w:w="6984"/>
            <w:tcMar>
              <w:top w:w="65" w:type="dxa"/>
              <w:start w:w="85" w:type="dxa"/>
              <w:bottom w:w="65" w:type="dxa"/>
              <w:end w:w="85" w:type="dxa"/>
            </w:tcMar>
            <w:vAlign w:val="top"/>
          </w:tcPr>
          <w:p>
            <w:r>
              <w:rPr>
                <w:sz w:val="14"/>
              </w:rPr>
              <w:t>Hybrid and multi-cloud operations, migration, DR, security and FinOps</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12F</w:t>
            </w:r>
          </w:p>
        </w:tc>
        <w:tc>
          <w:tcPr>
            <w:tcW w:type="dxa" w:w="6984"/>
            <w:tcMar>
              <w:top w:w="65" w:type="dxa"/>
              <w:start w:w="85" w:type="dxa"/>
              <w:bottom w:w="65" w:type="dxa"/>
              <w:end w:w="85" w:type="dxa"/>
            </w:tcMar>
            <w:vAlign w:val="top"/>
          </w:tcPr>
          <w:p>
            <w:r>
              <w:rPr>
                <w:sz w:val="14"/>
              </w:rPr>
              <w:t>Enterprise projects, certifications, interviews and final capstone</w:t>
            </w:r>
          </w:p>
        </w:tc>
        <w:tc>
          <w:tcPr>
            <w:tcW w:type="dxa" w:w="2088"/>
            <w:tcMar>
              <w:top w:w="65" w:type="dxa"/>
              <w:start w:w="85" w:type="dxa"/>
              <w:bottom w:w="65" w:type="dxa"/>
              <w:end w:w="85" w:type="dxa"/>
            </w:tcMar>
            <w:vAlign w:val="top"/>
          </w:tcPr>
          <w:p>
            <w:r>
              <w:rPr>
                <w:sz w:val="14"/>
              </w:rPr>
              <w:t>Course sequence</w:t>
            </w:r>
          </w:p>
        </w:tc>
      </w:tr>
    </w:tbl>
    <w:p>
      <w:pPr>
        <w:pStyle w:val="Heading2"/>
        <w:keepNext w:val="0"/>
      </w:pPr>
      <w:r>
        <w:t>Scope, Safety and Cost Controls</w:t>
      </w:r>
    </w:p>
    <w:p>
      <w:pPr>
        <w:pStyle w:val="ListBullet"/>
      </w:pPr>
      <w:r>
        <w:t>Use disposable sandboxes, free tiers, local simulations or approved training subscriptions. Configure budgets and expiry before creating resources.</w:t>
      </w:r>
    </w:p>
    <w:p>
      <w:pPr>
        <w:pStyle w:val="ListBullet"/>
      </w:pPr>
      <w:r>
        <w:t>Never use production identities, customer data, employer account structures, internal IP ranges or confidential contracts in course artifacts.</w:t>
      </w:r>
    </w:p>
    <w:p>
      <w:pPr>
        <w:pStyle w:val="ListBullet"/>
      </w:pPr>
      <w:r>
        <w:t>Cloud services, prices, limits, recommendations and certifications change. Verify official documentation before production use or exam registration.</w:t>
      </w:r>
    </w:p>
    <w:p>
      <w:pPr>
        <w:pStyle w:val="ListBullet"/>
      </w:pPr>
      <w:r>
        <w:t>Run failure, security and recovery tests only in approved nonproduction environments with explicit stop conditions.</w:t>
      </w:r>
    </w:p>
    <w:p>
      <w:pPr>
        <w:pStyle w:val="ListBullet"/>
      </w:pPr>
      <w:r>
        <w:t>Destroy resources, revoke credentials, remove local state copies and verify billing inventory after every lab.</w:t>
      </w:r>
    </w:p>
    <w:p>
      <w:pPr>
        <w:pStyle w:val="Heading2"/>
        <w:keepNext w:val="0"/>
      </w:pPr>
      <w:r>
        <w:t>Learning Outcomes</w:t>
      </w:r>
    </w:p>
    <w:p>
      <w:pPr>
        <w:pStyle w:val="ListBullet"/>
      </w:pPr>
      <w:r>
        <w:t>Explain and design the major architecture domains covered by Microsoft Azure Enterprise Cloud Engineering.</w:t>
      </w:r>
    </w:p>
    <w:p>
      <w:pPr>
        <w:pStyle w:val="ListBullet"/>
      </w:pPr>
      <w:r>
        <w:t>Implement provider or cross-cloud controls through version-controlled automation.</w:t>
      </w:r>
    </w:p>
    <w:p>
      <w:pPr>
        <w:pStyle w:val="ListBullet"/>
      </w:pPr>
      <w:r>
        <w:t>Test identity, network, security, reliability, operations and cost behavior.</w:t>
      </w:r>
    </w:p>
    <w:p>
      <w:pPr>
        <w:pStyle w:val="ListBullet"/>
      </w:pPr>
      <w:r>
        <w:t>Troubleshoot failures using effective policy, route, service and telemetry evidence.</w:t>
      </w:r>
    </w:p>
    <w:p>
      <w:pPr>
        <w:pStyle w:val="ListBullet"/>
      </w:pPr>
      <w:r>
        <w:t>Produce sanitized architecture, runbook, laboratory and interview portfolio artifacts.</w:t>
      </w:r>
    </w:p>
    <w:p>
      <w:r>
        <w:br w:type="page"/>
      </w:r>
    </w:p>
    <w:p>
      <w:pPr>
        <w:pStyle w:val="Heading1"/>
        <w:keepNext w:val="0"/>
      </w:pPr>
      <w:r>
        <w:t>Table of Contents</w:t>
      </w:r>
    </w:p>
    <w:p>
      <w:pPr>
        <w:keepNext w:val="0"/>
      </w:pPr>
      <w:r>
        <w:t>Chapter 21  Azure Tenant, Management Groups and Landing Zones</w:t>
      </w:r>
    </w:p>
    <w:p>
      <w:pPr>
        <w:keepNext w:val="0"/>
      </w:pPr>
      <w:r>
        <w:t>Chapter 22  Microsoft Entra Identity, RBAC and Privileged Access</w:t>
      </w:r>
    </w:p>
    <w:p>
      <w:pPr>
        <w:keepNext w:val="0"/>
      </w:pPr>
      <w:r>
        <w:t>Chapter 23  Azure Networking, Private Connectivity and Hybrid Design</w:t>
      </w:r>
    </w:p>
    <w:p>
      <w:pPr>
        <w:keepNext w:val="0"/>
      </w:pPr>
      <w:r>
        <w:t>Chapter 24  Azure Compute, Containers and Serverless Architecture</w:t>
      </w:r>
    </w:p>
    <w:p>
      <w:pPr>
        <w:keepNext w:val="0"/>
      </w:pPr>
      <w:r>
        <w:t>Chapter 25  Azure Storage, Databases and Data Protection</w:t>
      </w:r>
    </w:p>
    <w:p>
      <w:pPr>
        <w:keepNext w:val="0"/>
      </w:pPr>
      <w:r>
        <w:t>Chapter 26  Azure Security, Defender and Sentinel Operations</w:t>
      </w:r>
    </w:p>
    <w:p>
      <w:pPr>
        <w:keepNext w:val="0"/>
      </w:pPr>
      <w:r>
        <w:t>Chapter 27  Azure Reliability, Global Traffic and Disaster Recovery</w:t>
      </w:r>
    </w:p>
    <w:p>
      <w:pPr>
        <w:keepNext w:val="0"/>
      </w:pPr>
      <w:r>
        <w:t>Chapter 28  Azure Monitor, Application Insights and Hybrid Operations</w:t>
      </w:r>
    </w:p>
    <w:p>
      <w:pPr>
        <w:keepNext w:val="0"/>
      </w:pPr>
      <w:r>
        <w:t>Chapter 29  Azure Cost Management, Governance and FinOps</w:t>
      </w:r>
    </w:p>
    <w:p>
      <w:pPr>
        <w:keepNext w:val="0"/>
      </w:pPr>
      <w:r>
        <w:t>Chapter 30  Azure Enterprise Landing-Zone Capstone</w:t>
      </w:r>
    </w:p>
    <w:p>
      <w:pPr>
        <w:keepNext w:val="0"/>
      </w:pPr>
      <w:r>
        <w:t>Azure Enterprise Architecture and Operations Reference</w:t>
      </w:r>
    </w:p>
    <w:p>
      <w:pPr>
        <w:keepNext w:val="0"/>
      </w:pPr>
      <w:r>
        <w:t>Completion Checklist</w:t>
      </w:r>
    </w:p>
    <w:p>
      <w:pPr>
        <w:keepNext w:val="0"/>
      </w:pPr>
      <w:r>
        <w:t>Additional Portfolio Projects</w:t>
      </w:r>
    </w:p>
    <w:p>
      <w:pPr>
        <w:keepNext w:val="0"/>
      </w:pPr>
      <w:r>
        <w:t>30-Day Practice Plan</w:t>
      </w:r>
    </w:p>
    <w:p>
      <w:pPr>
        <w:keepNext w:val="0"/>
      </w:pPr>
      <w:r>
        <w:t>Glossary</w:t>
      </w:r>
    </w:p>
    <w:p>
      <w:pPr>
        <w:keepNext w:val="0"/>
      </w:pPr>
      <w:r>
        <w:t>Official Documentation Index</w:t>
      </w:r>
    </w:p>
    <w:p>
      <w:r>
        <w:br w:type="page"/>
      </w:r>
    </w:p>
    <w:p>
      <w:pPr>
        <w:jc w:val="center"/>
      </w:pPr>
      <w:r>
        <w:rPr>
          <w:b/>
          <w:color w:val="14919B"/>
          <w:sz w:val="17"/>
        </w:rPr>
        <w:t>VOLUME 12C  |  CHAPTER 21</w:t>
      </w:r>
    </w:p>
    <w:p>
      <w:pPr>
        <w:pStyle w:val="Heading1"/>
        <w:jc w:val="center"/>
      </w:pPr>
      <w:r>
        <w:t>Chapter 21: Azure Tenant, Management Groups and Landing Zones</w:t>
      </w:r>
    </w:p>
    <w:p>
      <w:pPr>
        <w:jc w:val="center"/>
      </w:pPr>
      <w:r>
        <w:rPr>
          <w:i/>
          <w:color w:val="4B5563"/>
          <w:sz w:val="20"/>
        </w:rPr>
        <w:t>Structuring platform and application landing zones at enterprise scale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governance becomes difficult when tenant, management-group, subscription and resource-group boundaries are improvised. The hierarchy must support policy inheritance, delegated ownership and durable operations.</w:t>
            </w:r>
          </w:p>
        </w:tc>
      </w:tr>
    </w:tbl>
    <w:p>
      <w:pPr>
        <w:spacing w:after="0"/>
      </w:pPr>
    </w:p>
    <w:p>
      <w:pPr>
        <w:pStyle w:val="Heading2"/>
        <w:keepNext/>
      </w:pPr>
      <w:r>
        <w:t>Learning Objectives</w:t>
      </w:r>
    </w:p>
    <w:p>
      <w:pPr>
        <w:pStyle w:val="ListBullet"/>
      </w:pPr>
      <w:r>
        <w:t>Explain the architecture, responsibility boundaries and major trade-offs of microsoft entra tenant and management-group hierarchy.</w:t>
      </w:r>
    </w:p>
    <w:p>
      <w:pPr>
        <w:pStyle w:val="ListBullet"/>
      </w:pPr>
      <w:r>
        <w:t>Design platform versus application landing zones for enterprise scale, least privilege and bounded failure.</w:t>
      </w:r>
    </w:p>
    <w:p>
      <w:pPr>
        <w:pStyle w:val="ListBullet"/>
      </w:pPr>
      <w:r>
        <w:t>Implement subscription vending and lifecycle management through version-controlled automation and policy checks.</w:t>
      </w:r>
    </w:p>
    <w:p>
      <w:pPr>
        <w:pStyle w:val="ListBullet"/>
      </w:pPr>
      <w:r>
        <w:t>Troubleshoot azure policy inheritance and exceptions using provider-native telemetry and repeatable evidence.</w:t>
      </w:r>
    </w:p>
    <w:p>
      <w:pPr>
        <w:pStyle w:val="ListBullet"/>
      </w:pPr>
      <w:r>
        <w:t>Deliver a sanitized portfolio artifact for design and test an azure landing-zone hierarchy.</w:t>
      </w:r>
    </w:p>
    <w:p>
      <w:pPr>
        <w:pStyle w:val="Heading2"/>
        <w:keepNext/>
      </w:pPr>
      <w:r>
        <w:t>Core Concepts</w:t>
      </w:r>
    </w:p>
    <w:p>
      <w:pPr>
        <w:pStyle w:val="Heading3"/>
        <w:keepNext/>
      </w:pPr>
      <w:r>
        <w:t>Microsoft Entra tenant and management-group hierarchy</w:t>
      </w:r>
    </w:p>
    <w:p>
      <w:pPr>
        <w:keepNext w:val="0"/>
      </w:pPr>
      <w:r>
        <w:t>Microsoft Entra tenant and management-group hierarchy is a design boundary, not merely a console feature. In Azure Tenant, Management Groups and Landing Zones, the team must document ownership, trust assumptions, dependency direction, failure impact and the evidence used to prove the control. The recommended implementation uses Microsoft Entra ID, Management groups, Subscriptions, Azure Landing Zones only where they satisfy an explicit requirement; equivalent services are not automatically interchangeable.</w:t>
      </w:r>
    </w:p>
    <w:p>
      <w:pPr>
        <w:pStyle w:val="Heading3"/>
        <w:keepNext/>
      </w:pPr>
      <w:r>
        <w:t>Platform versus application landing zones</w:t>
      </w:r>
    </w:p>
    <w:p>
      <w:pPr>
        <w:keepNext w:val="0"/>
      </w:pPr>
      <w:r>
        <w:t>A production implementation of Platform versus application landing zones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Subscription vending and lifecycle management</w:t>
      </w:r>
    </w:p>
    <w:p>
      <w:pPr>
        <w:keepNext w:val="0"/>
      </w:pPr>
      <w:r>
        <w:t>For Subscription vending and lifecycle management,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Azure Policy inheritance and exceptions</w:t>
      </w:r>
    </w:p>
    <w:p>
      <w:pPr>
        <w:keepNext w:val="0"/>
      </w:pPr>
      <w:r>
        <w:t>The strongest validation for Azure Policy inheritance and exceptions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Tenant</w:t>
            </w:r>
          </w:p>
        </w:tc>
        <w:tc>
          <w:tcPr>
            <w:tcW w:type="dxa" w:w="2952"/>
            <w:tcMar>
              <w:top w:w="65" w:type="dxa"/>
              <w:start w:w="85" w:type="dxa"/>
              <w:bottom w:w="65" w:type="dxa"/>
              <w:end w:w="85" w:type="dxa"/>
            </w:tcMar>
            <w:vAlign w:val="top"/>
          </w:tcPr>
          <w:p>
            <w:r>
              <w:rPr>
                <w:sz w:val="14"/>
              </w:rPr>
              <w:t>Microsoft Entra ID</w:t>
            </w:r>
          </w:p>
        </w:tc>
        <w:tc>
          <w:tcPr>
            <w:tcW w:type="dxa" w:w="4824"/>
            <w:tcMar>
              <w:top w:w="65" w:type="dxa"/>
              <w:start w:w="85" w:type="dxa"/>
              <w:bottom w:w="65" w:type="dxa"/>
              <w:end w:w="85" w:type="dxa"/>
            </w:tcMar>
            <w:vAlign w:val="top"/>
          </w:tcPr>
          <w:p>
            <w:r>
              <w:rPr>
                <w:sz w:val="14"/>
              </w:rPr>
              <w:t>Provide the identity and directory boundary for Azure.</w:t>
            </w:r>
          </w:p>
        </w:tc>
      </w:tr>
      <w:tr>
        <w:trPr>
          <w:cantSplit/>
        </w:trPr>
        <w:tc>
          <w:tcPr>
            <w:tcW w:type="dxa" w:w="2232"/>
            <w:tcMar>
              <w:top w:w="65" w:type="dxa"/>
              <w:start w:w="85" w:type="dxa"/>
              <w:bottom w:w="65" w:type="dxa"/>
              <w:end w:w="85" w:type="dxa"/>
            </w:tcMar>
            <w:vAlign w:val="top"/>
          </w:tcPr>
          <w:p>
            <w:r>
              <w:rPr>
                <w:sz w:val="14"/>
              </w:rPr>
              <w:t>Hierarchy</w:t>
            </w:r>
          </w:p>
        </w:tc>
        <w:tc>
          <w:tcPr>
            <w:tcW w:type="dxa" w:w="2952"/>
            <w:tcMar>
              <w:top w:w="65" w:type="dxa"/>
              <w:start w:w="85" w:type="dxa"/>
              <w:bottom w:w="65" w:type="dxa"/>
              <w:end w:w="85" w:type="dxa"/>
            </w:tcMar>
            <w:vAlign w:val="top"/>
          </w:tcPr>
          <w:p>
            <w:r>
              <w:rPr>
                <w:sz w:val="14"/>
              </w:rPr>
              <w:t>Management groups</w:t>
            </w:r>
          </w:p>
        </w:tc>
        <w:tc>
          <w:tcPr>
            <w:tcW w:type="dxa" w:w="4824"/>
            <w:tcMar>
              <w:top w:w="65" w:type="dxa"/>
              <w:start w:w="85" w:type="dxa"/>
              <w:bottom w:w="65" w:type="dxa"/>
              <w:end w:w="85" w:type="dxa"/>
            </w:tcMar>
            <w:vAlign w:val="top"/>
          </w:tcPr>
          <w:p>
            <w:r>
              <w:rPr>
                <w:sz w:val="14"/>
              </w:rPr>
              <w:t>Apply governance above subscriptions.</w:t>
            </w:r>
          </w:p>
        </w:tc>
      </w:tr>
      <w:tr>
        <w:trPr>
          <w:cantSplit/>
        </w:trPr>
        <w:tc>
          <w:tcPr>
            <w:tcW w:type="dxa" w:w="2232"/>
            <w:tcMar>
              <w:top w:w="65" w:type="dxa"/>
              <w:start w:w="85" w:type="dxa"/>
              <w:bottom w:w="65" w:type="dxa"/>
              <w:end w:w="85" w:type="dxa"/>
            </w:tcMar>
            <w:vAlign w:val="top"/>
          </w:tcPr>
          <w:p>
            <w:r>
              <w:rPr>
                <w:sz w:val="14"/>
              </w:rPr>
              <w:t>Workload boundary</w:t>
            </w:r>
          </w:p>
        </w:tc>
        <w:tc>
          <w:tcPr>
            <w:tcW w:type="dxa" w:w="2952"/>
            <w:tcMar>
              <w:top w:w="65" w:type="dxa"/>
              <w:start w:w="85" w:type="dxa"/>
              <w:bottom w:w="65" w:type="dxa"/>
              <w:end w:w="85" w:type="dxa"/>
            </w:tcMar>
            <w:vAlign w:val="top"/>
          </w:tcPr>
          <w:p>
            <w:r>
              <w:rPr>
                <w:sz w:val="14"/>
              </w:rPr>
              <w:t>Subscriptions</w:t>
            </w:r>
          </w:p>
        </w:tc>
        <w:tc>
          <w:tcPr>
            <w:tcW w:type="dxa" w:w="4824"/>
            <w:tcMar>
              <w:top w:w="65" w:type="dxa"/>
              <w:start w:w="85" w:type="dxa"/>
              <w:bottom w:w="65" w:type="dxa"/>
              <w:end w:w="85" w:type="dxa"/>
            </w:tcMar>
            <w:vAlign w:val="top"/>
          </w:tcPr>
          <w:p>
            <w:r>
              <w:rPr>
                <w:sz w:val="14"/>
              </w:rPr>
              <w:t>Separate billing, quota, policy and administration.</w:t>
            </w:r>
          </w:p>
        </w:tc>
      </w:tr>
      <w:tr>
        <w:trPr>
          <w:cantSplit/>
        </w:trPr>
        <w:tc>
          <w:tcPr>
            <w:tcW w:type="dxa" w:w="2232"/>
            <w:tcMar>
              <w:top w:w="65" w:type="dxa"/>
              <w:start w:w="85" w:type="dxa"/>
              <w:bottom w:w="65" w:type="dxa"/>
              <w:end w:w="85" w:type="dxa"/>
            </w:tcMar>
            <w:vAlign w:val="top"/>
          </w:tcPr>
          <w:p>
            <w:r>
              <w:rPr>
                <w:sz w:val="14"/>
              </w:rPr>
              <w:t>Landing zone</w:t>
            </w:r>
          </w:p>
        </w:tc>
        <w:tc>
          <w:tcPr>
            <w:tcW w:type="dxa" w:w="2952"/>
            <w:tcMar>
              <w:top w:w="65" w:type="dxa"/>
              <w:start w:w="85" w:type="dxa"/>
              <w:bottom w:w="65" w:type="dxa"/>
              <w:end w:w="85" w:type="dxa"/>
            </w:tcMar>
            <w:vAlign w:val="top"/>
          </w:tcPr>
          <w:p>
            <w:r>
              <w:rPr>
                <w:sz w:val="14"/>
              </w:rPr>
              <w:t>Azure Landing Zones</w:t>
            </w:r>
          </w:p>
        </w:tc>
        <w:tc>
          <w:tcPr>
            <w:tcW w:type="dxa" w:w="4824"/>
            <w:tcMar>
              <w:top w:w="65" w:type="dxa"/>
              <w:start w:w="85" w:type="dxa"/>
              <w:bottom w:w="65" w:type="dxa"/>
              <w:end w:w="85" w:type="dxa"/>
            </w:tcMar>
            <w:vAlign w:val="top"/>
          </w:tcPr>
          <w:p>
            <w:r>
              <w:rPr>
                <w:sz w:val="14"/>
              </w:rPr>
              <w:t>Standardize platform and application foundations.</w:t>
            </w:r>
          </w:p>
        </w:tc>
      </w:tr>
      <w:tr>
        <w:trPr>
          <w:cantSplit/>
        </w:trPr>
        <w:tc>
          <w:tcPr>
            <w:tcW w:type="dxa" w:w="2232"/>
            <w:tcMar>
              <w:top w:w="65" w:type="dxa"/>
              <w:start w:w="85" w:type="dxa"/>
              <w:bottom w:w="65" w:type="dxa"/>
              <w:end w:w="85" w:type="dxa"/>
            </w:tcMar>
            <w:vAlign w:val="top"/>
          </w:tcPr>
          <w:p>
            <w:r>
              <w:rPr>
                <w:sz w:val="14"/>
              </w:rPr>
              <w:t>Vending</w:t>
            </w:r>
          </w:p>
        </w:tc>
        <w:tc>
          <w:tcPr>
            <w:tcW w:type="dxa" w:w="2952"/>
            <w:tcMar>
              <w:top w:w="65" w:type="dxa"/>
              <w:start w:w="85" w:type="dxa"/>
              <w:bottom w:w="65" w:type="dxa"/>
              <w:end w:w="85" w:type="dxa"/>
            </w:tcMar>
            <w:vAlign w:val="top"/>
          </w:tcPr>
          <w:p>
            <w:r>
              <w:rPr>
                <w:sz w:val="14"/>
              </w:rPr>
              <w:t>Subscription vending automation</w:t>
            </w:r>
          </w:p>
        </w:tc>
        <w:tc>
          <w:tcPr>
            <w:tcW w:type="dxa" w:w="4824"/>
            <w:tcMar>
              <w:top w:w="65" w:type="dxa"/>
              <w:start w:w="85" w:type="dxa"/>
              <w:bottom w:w="65" w:type="dxa"/>
              <w:end w:w="85" w:type="dxa"/>
            </w:tcMar>
            <w:vAlign w:val="top"/>
          </w:tcPr>
          <w:p>
            <w:r>
              <w:rPr>
                <w:sz w:val="14"/>
              </w:rPr>
              <w:t>Create governed subscriptions for workload teams.</w:t>
            </w:r>
          </w:p>
        </w:tc>
      </w:tr>
      <w:tr>
        <w:trPr>
          <w:cantSplit/>
        </w:trPr>
        <w:tc>
          <w:tcPr>
            <w:tcW w:type="dxa" w:w="2232"/>
            <w:tcMar>
              <w:top w:w="65" w:type="dxa"/>
              <w:start w:w="85" w:type="dxa"/>
              <w:bottom w:w="65" w:type="dxa"/>
              <w:end w:w="85" w:type="dxa"/>
            </w:tcMar>
            <w:vAlign w:val="top"/>
          </w:tcPr>
          <w:p>
            <w:r>
              <w:rPr>
                <w:sz w:val="14"/>
              </w:rPr>
              <w:t>Governance</w:t>
            </w:r>
          </w:p>
        </w:tc>
        <w:tc>
          <w:tcPr>
            <w:tcW w:type="dxa" w:w="2952"/>
            <w:tcMar>
              <w:top w:w="65" w:type="dxa"/>
              <w:start w:w="85" w:type="dxa"/>
              <w:bottom w:w="65" w:type="dxa"/>
              <w:end w:w="85" w:type="dxa"/>
            </w:tcMar>
            <w:vAlign w:val="top"/>
          </w:tcPr>
          <w:p>
            <w:r>
              <w:rPr>
                <w:sz w:val="14"/>
              </w:rPr>
              <w:t>Azure Policy</w:t>
            </w:r>
          </w:p>
        </w:tc>
        <w:tc>
          <w:tcPr>
            <w:tcW w:type="dxa" w:w="4824"/>
            <w:tcMar>
              <w:top w:w="65" w:type="dxa"/>
              <w:start w:w="85" w:type="dxa"/>
              <w:bottom w:w="65" w:type="dxa"/>
              <w:end w:w="85" w:type="dxa"/>
            </w:tcMar>
            <w:vAlign w:val="top"/>
          </w:tcPr>
          <w:p>
            <w:r>
              <w:rPr>
                <w:sz w:val="14"/>
              </w:rPr>
              <w:t>Audit, deny, modify and deploy required configuration.</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subscription vending and lifecycle management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tenant_root</w:t>
              <w:br/>
              <w:t>├── platform</w:t>
              <w:br/>
              <w:t>│   ├── identity</w:t>
              <w:br/>
              <w:t>│   ├── management</w:t>
              <w:br/>
              <w:t>│   └── connectivity</w:t>
              <w:br/>
              <w:t>├── landing-zones</w:t>
              <w:br/>
              <w:t>│   ├── corp</w:t>
              <w:br/>
              <w:t>│   └── online</w:t>
              <w:br/>
              <w:t>├── sandbox</w:t>
              <w:br/>
              <w:t>└── decommissioned</w:t>
              <w:br/>
              <w:t>subscription_request:</w:t>
              <w:br/>
              <w:t xml:space="preserve">  required: [owner, cost_center, environment, region, data_classification]</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tenant, management groups and landing zones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21: Design and Test an Azure Landing-Zone Hierarchy</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tenant, management groups and landing zones using fictional enterprise requirements.</w:t>
      </w:r>
    </w:p>
    <w:p>
      <w:pPr>
        <w:ind w:left="360" w:hanging="360"/>
      </w:pPr>
      <w:r>
        <w:rPr>
          <w:b/>
        </w:rPr>
        <w:t xml:space="preserve">2. </w:t>
      </w:r>
      <w:r>
        <w:t>Implement the smallest safe sandbox using Microsoft Entra ID, Management groups, Subscriptions;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Tenant, Management Groups and Landing Zones?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Microsoft Entra tenant and management-group hierarchy defines a key architecture boundary.</w:t>
      </w:r>
    </w:p>
    <w:p>
      <w:pPr>
        <w:pStyle w:val="ListBullet"/>
      </w:pPr>
      <w:r>
        <w:t>Platform versus application landing zones must be automated and least-privileged.</w:t>
      </w:r>
    </w:p>
    <w:p>
      <w:pPr>
        <w:pStyle w:val="ListBullet"/>
      </w:pPr>
      <w:r>
        <w:t>Subscription vending and lifecycle management requires policy, telemetry and recovery evidence.</w:t>
      </w:r>
    </w:p>
    <w:p>
      <w:pPr>
        <w:pStyle w:val="ListBullet"/>
      </w:pPr>
      <w:r>
        <w:t>Azure Policy inheritance and exceptions should be tested before production and after material change.</w:t>
      </w:r>
    </w:p>
    <w:p>
      <w:r>
        <w:br w:type="page"/>
      </w:r>
    </w:p>
    <w:p>
      <w:pPr>
        <w:jc w:val="center"/>
      </w:pPr>
      <w:r>
        <w:rPr>
          <w:b/>
          <w:color w:val="14919B"/>
          <w:sz w:val="17"/>
        </w:rPr>
        <w:t>VOLUME 12C  |  CHAPTER 22</w:t>
      </w:r>
    </w:p>
    <w:p>
      <w:pPr>
        <w:pStyle w:val="Heading1"/>
        <w:jc w:val="center"/>
      </w:pPr>
      <w:r>
        <w:t>Chapter 22: Microsoft Entra Identity, RBAC and Privileged Access</w:t>
      </w:r>
    </w:p>
    <w:p>
      <w:pPr>
        <w:jc w:val="center"/>
      </w:pPr>
      <w:r>
        <w:rPr>
          <w:i/>
          <w:color w:val="4B5563"/>
          <w:sz w:val="20"/>
        </w:rPr>
        <w:t>Securing human and workload access with scoped, time-bound authorization</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access spans directory roles, Azure RBAC, managed identities, PIM and resource-specific permissions. Effective authorization must be evaluated across every layer.</w:t>
            </w:r>
          </w:p>
        </w:tc>
      </w:tr>
    </w:tbl>
    <w:p>
      <w:pPr>
        <w:spacing w:after="0"/>
      </w:pPr>
    </w:p>
    <w:p>
      <w:pPr>
        <w:pStyle w:val="Heading2"/>
        <w:keepNext/>
      </w:pPr>
      <w:r>
        <w:t>Learning Objectives</w:t>
      </w:r>
    </w:p>
    <w:p>
      <w:pPr>
        <w:pStyle w:val="ListBullet"/>
      </w:pPr>
      <w:r>
        <w:t>Explain the architecture, responsibility boundaries and major trade-offs of microsoft entra federation and conditional access.</w:t>
      </w:r>
    </w:p>
    <w:p>
      <w:pPr>
        <w:pStyle w:val="ListBullet"/>
      </w:pPr>
      <w:r>
        <w:t>Design azure rbac scope and custom roles for enterprise scale, least privilege and bounded failure.</w:t>
      </w:r>
    </w:p>
    <w:p>
      <w:pPr>
        <w:pStyle w:val="ListBullet"/>
      </w:pPr>
      <w:r>
        <w:t>Implement privileged identity management and break-glass access through version-controlled automation and policy checks.</w:t>
      </w:r>
    </w:p>
    <w:p>
      <w:pPr>
        <w:pStyle w:val="ListBullet"/>
      </w:pPr>
      <w:r>
        <w:t>Troubleshoot managed identities and workload identity federation using provider-native telemetry and repeatable evidence.</w:t>
      </w:r>
    </w:p>
    <w:p>
      <w:pPr>
        <w:pStyle w:val="ListBullet"/>
      </w:pPr>
      <w:r>
        <w:t>Deliver a sanitized portfolio artifact for implement azure privileged and workload identity controls.</w:t>
      </w:r>
    </w:p>
    <w:p>
      <w:pPr>
        <w:pStyle w:val="Heading2"/>
        <w:keepNext/>
      </w:pPr>
      <w:r>
        <w:t>Core Concepts</w:t>
      </w:r>
    </w:p>
    <w:p>
      <w:pPr>
        <w:pStyle w:val="Heading3"/>
        <w:keepNext/>
      </w:pPr>
      <w:r>
        <w:t>Microsoft Entra federation and Conditional Access</w:t>
      </w:r>
    </w:p>
    <w:p>
      <w:pPr>
        <w:keepNext w:val="0"/>
      </w:pPr>
      <w:r>
        <w:t>Microsoft Entra federation and Conditional Access is a design boundary, not merely a console feature. In Microsoft Entra Identity, RBAC and Privileged Access, the team must document ownership, trust assumptions, dependency direction, failure impact and the evidence used to prove the control. The recommended implementation uses Microsoft Entra ID, Conditional Access, Azure RBAC, PIM only where they satisfy an explicit requirement; equivalent services are not automatically interchangeable.</w:t>
      </w:r>
    </w:p>
    <w:p>
      <w:pPr>
        <w:pStyle w:val="Heading3"/>
        <w:keepNext/>
      </w:pPr>
      <w:r>
        <w:t>Azure RBAC scope and custom roles</w:t>
      </w:r>
    </w:p>
    <w:p>
      <w:pPr>
        <w:keepNext w:val="0"/>
      </w:pPr>
      <w:r>
        <w:t>A production implementation of Azure RBAC scope and custom roles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Privileged Identity Management and break-glass access</w:t>
      </w:r>
    </w:p>
    <w:p>
      <w:pPr>
        <w:keepNext w:val="0"/>
      </w:pPr>
      <w:r>
        <w:t>For Privileged Identity Management and break-glass access,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Managed identities and workload identity federation</w:t>
      </w:r>
    </w:p>
    <w:p>
      <w:pPr>
        <w:keepNext w:val="0"/>
      </w:pPr>
      <w:r>
        <w:t>The strongest validation for Managed identities and workload identity federation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Directory access</w:t>
            </w:r>
          </w:p>
        </w:tc>
        <w:tc>
          <w:tcPr>
            <w:tcW w:type="dxa" w:w="2952"/>
            <w:tcMar>
              <w:top w:w="65" w:type="dxa"/>
              <w:start w:w="85" w:type="dxa"/>
              <w:bottom w:w="65" w:type="dxa"/>
              <w:end w:w="85" w:type="dxa"/>
            </w:tcMar>
            <w:vAlign w:val="top"/>
          </w:tcPr>
          <w:p>
            <w:r>
              <w:rPr>
                <w:sz w:val="14"/>
              </w:rPr>
              <w:t>Microsoft Entra ID</w:t>
            </w:r>
          </w:p>
        </w:tc>
        <w:tc>
          <w:tcPr>
            <w:tcW w:type="dxa" w:w="4824"/>
            <w:tcMar>
              <w:top w:w="65" w:type="dxa"/>
              <w:start w:w="85" w:type="dxa"/>
              <w:bottom w:w="65" w:type="dxa"/>
              <w:end w:w="85" w:type="dxa"/>
            </w:tcMar>
            <w:vAlign w:val="top"/>
          </w:tcPr>
          <w:p>
            <w:r>
              <w:rPr>
                <w:sz w:val="14"/>
              </w:rPr>
              <w:t>Authenticate workforce and external identities.</w:t>
            </w:r>
          </w:p>
        </w:tc>
      </w:tr>
      <w:tr>
        <w:trPr>
          <w:cantSplit/>
        </w:trPr>
        <w:tc>
          <w:tcPr>
            <w:tcW w:type="dxa" w:w="2232"/>
            <w:tcMar>
              <w:top w:w="65" w:type="dxa"/>
              <w:start w:w="85" w:type="dxa"/>
              <w:bottom w:w="65" w:type="dxa"/>
              <w:end w:w="85" w:type="dxa"/>
            </w:tcMar>
            <w:vAlign w:val="top"/>
          </w:tcPr>
          <w:p>
            <w:r>
              <w:rPr>
                <w:sz w:val="14"/>
              </w:rPr>
              <w:t>Conditional access</w:t>
            </w:r>
          </w:p>
        </w:tc>
        <w:tc>
          <w:tcPr>
            <w:tcW w:type="dxa" w:w="2952"/>
            <w:tcMar>
              <w:top w:w="65" w:type="dxa"/>
              <w:start w:w="85" w:type="dxa"/>
              <w:bottom w:w="65" w:type="dxa"/>
              <w:end w:w="85" w:type="dxa"/>
            </w:tcMar>
            <w:vAlign w:val="top"/>
          </w:tcPr>
          <w:p>
            <w:r>
              <w:rPr>
                <w:sz w:val="14"/>
              </w:rPr>
              <w:t>Conditional Access</w:t>
            </w:r>
          </w:p>
        </w:tc>
        <w:tc>
          <w:tcPr>
            <w:tcW w:type="dxa" w:w="4824"/>
            <w:tcMar>
              <w:top w:w="65" w:type="dxa"/>
              <w:start w:w="85" w:type="dxa"/>
              <w:bottom w:w="65" w:type="dxa"/>
              <w:end w:w="85" w:type="dxa"/>
            </w:tcMar>
            <w:vAlign w:val="top"/>
          </w:tcPr>
          <w:p>
            <w:r>
              <w:rPr>
                <w:sz w:val="14"/>
              </w:rPr>
              <w:t>Apply risk, device, location and MFA controls.</w:t>
            </w:r>
          </w:p>
        </w:tc>
      </w:tr>
      <w:tr>
        <w:trPr>
          <w:cantSplit/>
        </w:trPr>
        <w:tc>
          <w:tcPr>
            <w:tcW w:type="dxa" w:w="2232"/>
            <w:tcMar>
              <w:top w:w="65" w:type="dxa"/>
              <w:start w:w="85" w:type="dxa"/>
              <w:bottom w:w="65" w:type="dxa"/>
              <w:end w:w="85" w:type="dxa"/>
            </w:tcMar>
            <w:vAlign w:val="top"/>
          </w:tcPr>
          <w:p>
            <w:r>
              <w:rPr>
                <w:sz w:val="14"/>
              </w:rPr>
              <w:t>Resource authorization</w:t>
            </w:r>
          </w:p>
        </w:tc>
        <w:tc>
          <w:tcPr>
            <w:tcW w:type="dxa" w:w="2952"/>
            <w:tcMar>
              <w:top w:w="65" w:type="dxa"/>
              <w:start w:w="85" w:type="dxa"/>
              <w:bottom w:w="65" w:type="dxa"/>
              <w:end w:w="85" w:type="dxa"/>
            </w:tcMar>
            <w:vAlign w:val="top"/>
          </w:tcPr>
          <w:p>
            <w:r>
              <w:rPr>
                <w:sz w:val="14"/>
              </w:rPr>
              <w:t>Azure RBAC</w:t>
            </w:r>
          </w:p>
        </w:tc>
        <w:tc>
          <w:tcPr>
            <w:tcW w:type="dxa" w:w="4824"/>
            <w:tcMar>
              <w:top w:w="65" w:type="dxa"/>
              <w:start w:w="85" w:type="dxa"/>
              <w:bottom w:w="65" w:type="dxa"/>
              <w:end w:w="85" w:type="dxa"/>
            </w:tcMar>
            <w:vAlign w:val="top"/>
          </w:tcPr>
          <w:p>
            <w:r>
              <w:rPr>
                <w:sz w:val="14"/>
              </w:rPr>
              <w:t>Grant actions at management group, subscription, resource group or resource scope.</w:t>
            </w:r>
          </w:p>
        </w:tc>
      </w:tr>
      <w:tr>
        <w:trPr>
          <w:cantSplit/>
        </w:trPr>
        <w:tc>
          <w:tcPr>
            <w:tcW w:type="dxa" w:w="2232"/>
            <w:tcMar>
              <w:top w:w="65" w:type="dxa"/>
              <w:start w:w="85" w:type="dxa"/>
              <w:bottom w:w="65" w:type="dxa"/>
              <w:end w:w="85" w:type="dxa"/>
            </w:tcMar>
            <w:vAlign w:val="top"/>
          </w:tcPr>
          <w:p>
            <w:r>
              <w:rPr>
                <w:sz w:val="14"/>
              </w:rPr>
              <w:t>Privilege</w:t>
            </w:r>
          </w:p>
        </w:tc>
        <w:tc>
          <w:tcPr>
            <w:tcW w:type="dxa" w:w="2952"/>
            <w:tcMar>
              <w:top w:w="65" w:type="dxa"/>
              <w:start w:w="85" w:type="dxa"/>
              <w:bottom w:w="65" w:type="dxa"/>
              <w:end w:w="85" w:type="dxa"/>
            </w:tcMar>
            <w:vAlign w:val="top"/>
          </w:tcPr>
          <w:p>
            <w:r>
              <w:rPr>
                <w:sz w:val="14"/>
              </w:rPr>
              <w:t>PIM</w:t>
            </w:r>
          </w:p>
        </w:tc>
        <w:tc>
          <w:tcPr>
            <w:tcW w:type="dxa" w:w="4824"/>
            <w:tcMar>
              <w:top w:w="65" w:type="dxa"/>
              <w:start w:w="85" w:type="dxa"/>
              <w:bottom w:w="65" w:type="dxa"/>
              <w:end w:w="85" w:type="dxa"/>
            </w:tcMar>
            <w:vAlign w:val="top"/>
          </w:tcPr>
          <w:p>
            <w:r>
              <w:rPr>
                <w:sz w:val="14"/>
              </w:rPr>
              <w:t>Provide time-bound eligible administrative access.</w:t>
            </w:r>
          </w:p>
        </w:tc>
      </w:tr>
      <w:tr>
        <w:trPr>
          <w:cantSplit/>
        </w:trPr>
        <w:tc>
          <w:tcPr>
            <w:tcW w:type="dxa" w:w="2232"/>
            <w:tcMar>
              <w:top w:w="65" w:type="dxa"/>
              <w:start w:w="85" w:type="dxa"/>
              <w:bottom w:w="65" w:type="dxa"/>
              <w:end w:w="85" w:type="dxa"/>
            </w:tcMar>
            <w:vAlign w:val="top"/>
          </w:tcPr>
          <w:p>
            <w:r>
              <w:rPr>
                <w:sz w:val="14"/>
              </w:rPr>
              <w:t>Workload identity</w:t>
            </w:r>
          </w:p>
        </w:tc>
        <w:tc>
          <w:tcPr>
            <w:tcW w:type="dxa" w:w="2952"/>
            <w:tcMar>
              <w:top w:w="65" w:type="dxa"/>
              <w:start w:w="85" w:type="dxa"/>
              <w:bottom w:w="65" w:type="dxa"/>
              <w:end w:w="85" w:type="dxa"/>
            </w:tcMar>
            <w:vAlign w:val="top"/>
          </w:tcPr>
          <w:p>
            <w:r>
              <w:rPr>
                <w:sz w:val="14"/>
              </w:rPr>
              <w:t>Managed identities / workload identity federation</w:t>
            </w:r>
          </w:p>
        </w:tc>
        <w:tc>
          <w:tcPr>
            <w:tcW w:type="dxa" w:w="4824"/>
            <w:tcMar>
              <w:top w:w="65" w:type="dxa"/>
              <w:start w:w="85" w:type="dxa"/>
              <w:bottom w:w="65" w:type="dxa"/>
              <w:end w:w="85" w:type="dxa"/>
            </w:tcMar>
            <w:vAlign w:val="top"/>
          </w:tcPr>
          <w:p>
            <w:r>
              <w:rPr>
                <w:sz w:val="14"/>
              </w:rPr>
              <w:t>Issue tokens without stored application secrets.</w:t>
            </w:r>
          </w:p>
        </w:tc>
      </w:tr>
      <w:tr>
        <w:trPr>
          <w:cantSplit/>
        </w:trPr>
        <w:tc>
          <w:tcPr>
            <w:tcW w:type="dxa" w:w="2232"/>
            <w:tcMar>
              <w:top w:w="65" w:type="dxa"/>
              <w:start w:w="85" w:type="dxa"/>
              <w:bottom w:w="65" w:type="dxa"/>
              <w:end w:w="85" w:type="dxa"/>
            </w:tcMar>
            <w:vAlign w:val="top"/>
          </w:tcPr>
          <w:p>
            <w:r>
              <w:rPr>
                <w:sz w:val="14"/>
              </w:rPr>
              <w:t>Secrets</w:t>
            </w:r>
          </w:p>
        </w:tc>
        <w:tc>
          <w:tcPr>
            <w:tcW w:type="dxa" w:w="2952"/>
            <w:tcMar>
              <w:top w:w="65" w:type="dxa"/>
              <w:start w:w="85" w:type="dxa"/>
              <w:bottom w:w="65" w:type="dxa"/>
              <w:end w:w="85" w:type="dxa"/>
            </w:tcMar>
            <w:vAlign w:val="top"/>
          </w:tcPr>
          <w:p>
            <w:r>
              <w:rPr>
                <w:sz w:val="14"/>
              </w:rPr>
              <w:t>Azure Key Vault</w:t>
            </w:r>
          </w:p>
        </w:tc>
        <w:tc>
          <w:tcPr>
            <w:tcW w:type="dxa" w:w="4824"/>
            <w:tcMar>
              <w:top w:w="65" w:type="dxa"/>
              <w:start w:w="85" w:type="dxa"/>
              <w:bottom w:w="65" w:type="dxa"/>
              <w:end w:w="85" w:type="dxa"/>
            </w:tcMar>
            <w:vAlign w:val="top"/>
          </w:tcPr>
          <w:p>
            <w:r>
              <w:rPr>
                <w:sz w:val="14"/>
              </w:rPr>
              <w:t>Protect keys, secrets and certificates.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privileged identity management and break-glass access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identity_standard:</w:t>
              <w:br/>
              <w:t xml:space="preserve">  humans: entra_groups_plus_pim</w:t>
              <w:br/>
              <w:t xml:space="preserve">  workloads: managed_identity_or_federated_credential</w:t>
              <w:br/>
              <w:t xml:space="preserve">  emergency: two_cloud_only_break_glass_accounts</w:t>
              <w:br/>
              <w:t xml:space="preserve">  directory_roles: eligible_not_permanent</w:t>
              <w:br/>
              <w:t xml:space="preserve">  azure_roles: least_scope</w:t>
              <w:br/>
              <w:t xml:space="preserve">  access_reviews: quarterly</w:t>
              <w:br/>
              <w:t>validation: [conditional_access, denied_action, token_claims, audit_logs]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microsoft entra identity, rbac and privileged access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22: Implement Azure Privileged and Workload Identity Controls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microsoft entra identity, rbac and privileged access using fictional enterprise requirements.</w:t>
      </w:r>
    </w:p>
    <w:p>
      <w:pPr>
        <w:ind w:left="360" w:hanging="360"/>
      </w:pPr>
      <w:r>
        <w:rPr>
          <w:b/>
        </w:rPr>
        <w:t xml:space="preserve">2. </w:t>
      </w:r>
      <w:r>
        <w:t>Implement the smallest safe sandbox using Microsoft Entra ID, Conditional Access, Azure RBAC;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Microsoft Entra Identity, RBAC and Privileged Access?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Microsoft Entra federation and Conditional Access defines a key architecture boundary.</w:t>
      </w:r>
    </w:p>
    <w:p>
      <w:pPr>
        <w:pStyle w:val="ListBullet"/>
      </w:pPr>
      <w:r>
        <w:t>Azure RBAC scope and custom roles must be automated and least-privileged.</w:t>
      </w:r>
    </w:p>
    <w:p>
      <w:pPr>
        <w:pStyle w:val="ListBullet"/>
      </w:pPr>
      <w:r>
        <w:t>Privileged Identity Management and break-glass access requires policy, telemetry and recovery evidence.</w:t>
      </w:r>
    </w:p>
    <w:p>
      <w:pPr>
        <w:pStyle w:val="ListBullet"/>
      </w:pPr>
      <w:r>
        <w:t>Managed identities and workload identity federation should be tested before production and after material change.</w:t>
      </w:r>
    </w:p>
    <w:p>
      <w:r>
        <w:br w:type="page"/>
      </w:r>
    </w:p>
    <w:p>
      <w:pPr>
        <w:jc w:val="center"/>
      </w:pPr>
      <w:r>
        <w:rPr>
          <w:b/>
          <w:color w:val="14919B"/>
          <w:sz w:val="17"/>
        </w:rPr>
        <w:t>VOLUME 12C  |  CHAPTER 23</w:t>
      </w:r>
    </w:p>
    <w:p>
      <w:pPr>
        <w:pStyle w:val="Heading1"/>
        <w:jc w:val="center"/>
      </w:pPr>
      <w:r>
        <w:t>Chapter 23: Azure Networking, Private Connectivity and Hybrid Design</w:t>
      </w:r>
    </w:p>
    <w:p>
      <w:pPr>
        <w:jc w:val="center"/>
      </w:pPr>
      <w:r>
        <w:rPr>
          <w:i/>
          <w:color w:val="4B5563"/>
          <w:sz w:val="20"/>
        </w:rPr>
        <w:t>Engineering hub-spoke or Virtual WAN connectivity with predictable DNS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networks require coordinated address planning, routing, private endpoints, DNS and security. Peering alone does not create transitive routing or a governed enterprise topology.</w:t>
            </w:r>
          </w:p>
        </w:tc>
      </w:tr>
    </w:tbl>
    <w:p>
      <w:pPr>
        <w:spacing w:after="0"/>
      </w:pPr>
    </w:p>
    <w:p>
      <w:pPr>
        <w:pStyle w:val="Heading2"/>
        <w:keepNext/>
      </w:pPr>
      <w:r>
        <w:t>Learning Objectives</w:t>
      </w:r>
    </w:p>
    <w:p>
      <w:pPr>
        <w:pStyle w:val="ListBullet"/>
      </w:pPr>
      <w:r>
        <w:t>Explain the architecture, responsibility boundaries and major trade-offs of virtual networks, ipam and segmentation.</w:t>
      </w:r>
    </w:p>
    <w:p>
      <w:pPr>
        <w:pStyle w:val="ListBullet"/>
      </w:pPr>
      <w:r>
        <w:t>Design hub-spoke and azure virtual wan for enterprise scale, least privilege and bounded failure.</w:t>
      </w:r>
    </w:p>
    <w:p>
      <w:pPr>
        <w:pStyle w:val="ListBullet"/>
      </w:pPr>
      <w:r>
        <w:t>Implement expressroute, vpn and hybrid routing through version-controlled automation and policy checks.</w:t>
      </w:r>
    </w:p>
    <w:p>
      <w:pPr>
        <w:pStyle w:val="ListBullet"/>
      </w:pPr>
      <w:r>
        <w:t>Troubleshoot private link, dns and controlled ingress/egress using provider-native telemetry and repeatable evidence.</w:t>
      </w:r>
    </w:p>
    <w:p>
      <w:pPr>
        <w:pStyle w:val="ListBullet"/>
      </w:pPr>
      <w:r>
        <w:t>Deliver a sanitized portfolio artifact for build an azure hub-spoke network with private endpoints.</w:t>
      </w:r>
    </w:p>
    <w:p>
      <w:pPr>
        <w:pStyle w:val="Heading2"/>
        <w:keepNext/>
      </w:pPr>
      <w:r>
        <w:t>Core Concepts</w:t>
      </w:r>
    </w:p>
    <w:p>
      <w:pPr>
        <w:pStyle w:val="Heading3"/>
        <w:keepNext/>
      </w:pPr>
      <w:r>
        <w:t>Virtual networks, IPAM and segmentation</w:t>
      </w:r>
    </w:p>
    <w:p>
      <w:pPr>
        <w:keepNext w:val="0"/>
      </w:pPr>
      <w:r>
        <w:t>Virtual networks, IPAM and segmentation is a design boundary, not merely a console feature. In Azure Networking, Private Connectivity and Hybrid Design, the team must document ownership, trust assumptions, dependency direction, failure impact and the evidence used to prove the control. The recommended implementation uses Azure Virtual Network, Hub-spoke / Virtual WAN, ExpressRoute / VPN Gateway, Private Link / private endpoints only where they satisfy an explicit requirement; equivalent services are not automatically interchangeable.</w:t>
      </w:r>
    </w:p>
    <w:p>
      <w:pPr>
        <w:pStyle w:val="Heading3"/>
        <w:keepNext/>
      </w:pPr>
      <w:r>
        <w:t>Hub-spoke and Azure Virtual WAN</w:t>
      </w:r>
    </w:p>
    <w:p>
      <w:pPr>
        <w:keepNext w:val="0"/>
      </w:pPr>
      <w:r>
        <w:t>A production implementation of Hub-spoke and Azure Virtual WAN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ExpressRoute, VPN and hybrid routing</w:t>
      </w:r>
    </w:p>
    <w:p>
      <w:pPr>
        <w:keepNext w:val="0"/>
      </w:pPr>
      <w:r>
        <w:t>For ExpressRoute, VPN and hybrid routing,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Private Link, DNS and controlled ingress/egress</w:t>
      </w:r>
    </w:p>
    <w:p>
      <w:pPr>
        <w:keepNext w:val="0"/>
      </w:pPr>
      <w:r>
        <w:t>The strongest validation for Private Link, DNS and controlled ingress/egress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Network boundary</w:t>
            </w:r>
          </w:p>
        </w:tc>
        <w:tc>
          <w:tcPr>
            <w:tcW w:type="dxa" w:w="2952"/>
            <w:tcMar>
              <w:top w:w="65" w:type="dxa"/>
              <w:start w:w="85" w:type="dxa"/>
              <w:bottom w:w="65" w:type="dxa"/>
              <w:end w:w="85" w:type="dxa"/>
            </w:tcMar>
            <w:vAlign w:val="top"/>
          </w:tcPr>
          <w:p>
            <w:r>
              <w:rPr>
                <w:sz w:val="14"/>
              </w:rPr>
              <w:t>Azure Virtual Network</w:t>
            </w:r>
          </w:p>
        </w:tc>
        <w:tc>
          <w:tcPr>
            <w:tcW w:type="dxa" w:w="4824"/>
            <w:tcMar>
              <w:top w:w="65" w:type="dxa"/>
              <w:start w:w="85" w:type="dxa"/>
              <w:bottom w:w="65" w:type="dxa"/>
              <w:end w:w="85" w:type="dxa"/>
            </w:tcMar>
            <w:vAlign w:val="top"/>
          </w:tcPr>
          <w:p>
            <w:r>
              <w:rPr>
                <w:sz w:val="14"/>
              </w:rPr>
              <w:t>Segment workloads into subnets and security domains.</w:t>
            </w:r>
          </w:p>
        </w:tc>
      </w:tr>
      <w:tr>
        <w:trPr>
          <w:cantSplit/>
        </w:trPr>
        <w:tc>
          <w:tcPr>
            <w:tcW w:type="dxa" w:w="2232"/>
            <w:tcMar>
              <w:top w:w="65" w:type="dxa"/>
              <w:start w:w="85" w:type="dxa"/>
              <w:bottom w:w="65" w:type="dxa"/>
              <w:end w:w="85" w:type="dxa"/>
            </w:tcMar>
            <w:vAlign w:val="top"/>
          </w:tcPr>
          <w:p>
            <w:r>
              <w:rPr>
                <w:sz w:val="14"/>
              </w:rPr>
              <w:t>Transit</w:t>
            </w:r>
          </w:p>
        </w:tc>
        <w:tc>
          <w:tcPr>
            <w:tcW w:type="dxa" w:w="2952"/>
            <w:tcMar>
              <w:top w:w="65" w:type="dxa"/>
              <w:start w:w="85" w:type="dxa"/>
              <w:bottom w:w="65" w:type="dxa"/>
              <w:end w:w="85" w:type="dxa"/>
            </w:tcMar>
            <w:vAlign w:val="top"/>
          </w:tcPr>
          <w:p>
            <w:r>
              <w:rPr>
                <w:sz w:val="14"/>
              </w:rPr>
              <w:t>Hub-spoke / Virtual WAN</w:t>
            </w:r>
          </w:p>
        </w:tc>
        <w:tc>
          <w:tcPr>
            <w:tcW w:type="dxa" w:w="4824"/>
            <w:tcMar>
              <w:top w:w="65" w:type="dxa"/>
              <w:start w:w="85" w:type="dxa"/>
              <w:bottom w:w="65" w:type="dxa"/>
              <w:end w:w="85" w:type="dxa"/>
            </w:tcMar>
            <w:vAlign w:val="top"/>
          </w:tcPr>
          <w:p>
            <w:r>
              <w:rPr>
                <w:sz w:val="14"/>
              </w:rPr>
              <w:t>Centralize connectivity and shared network services.</w:t>
            </w:r>
          </w:p>
        </w:tc>
      </w:tr>
      <w:tr>
        <w:trPr>
          <w:cantSplit/>
        </w:trPr>
        <w:tc>
          <w:tcPr>
            <w:tcW w:type="dxa" w:w="2232"/>
            <w:tcMar>
              <w:top w:w="65" w:type="dxa"/>
              <w:start w:w="85" w:type="dxa"/>
              <w:bottom w:w="65" w:type="dxa"/>
              <w:end w:w="85" w:type="dxa"/>
            </w:tcMar>
            <w:vAlign w:val="top"/>
          </w:tcPr>
          <w:p>
            <w:r>
              <w:rPr>
                <w:sz w:val="14"/>
              </w:rPr>
              <w:t>Hybrid</w:t>
            </w:r>
          </w:p>
        </w:tc>
        <w:tc>
          <w:tcPr>
            <w:tcW w:type="dxa" w:w="2952"/>
            <w:tcMar>
              <w:top w:w="65" w:type="dxa"/>
              <w:start w:w="85" w:type="dxa"/>
              <w:bottom w:w="65" w:type="dxa"/>
              <w:end w:w="85" w:type="dxa"/>
            </w:tcMar>
            <w:vAlign w:val="top"/>
          </w:tcPr>
          <w:p>
            <w:r>
              <w:rPr>
                <w:sz w:val="14"/>
              </w:rPr>
              <w:t>ExpressRoute / VPN Gateway</w:t>
            </w:r>
          </w:p>
        </w:tc>
        <w:tc>
          <w:tcPr>
            <w:tcW w:type="dxa" w:w="4824"/>
            <w:tcMar>
              <w:top w:w="65" w:type="dxa"/>
              <w:start w:w="85" w:type="dxa"/>
              <w:bottom w:w="65" w:type="dxa"/>
              <w:end w:w="85" w:type="dxa"/>
            </w:tcMar>
            <w:vAlign w:val="top"/>
          </w:tcPr>
          <w:p>
            <w:r>
              <w:rPr>
                <w:sz w:val="14"/>
              </w:rPr>
              <w:t>Connect on-premises with private or encrypted paths.</w:t>
            </w:r>
          </w:p>
        </w:tc>
      </w:tr>
      <w:tr>
        <w:trPr>
          <w:cantSplit/>
        </w:trPr>
        <w:tc>
          <w:tcPr>
            <w:tcW w:type="dxa" w:w="2232"/>
            <w:tcMar>
              <w:top w:w="65" w:type="dxa"/>
              <w:start w:w="85" w:type="dxa"/>
              <w:bottom w:w="65" w:type="dxa"/>
              <w:end w:w="85" w:type="dxa"/>
            </w:tcMar>
            <w:vAlign w:val="top"/>
          </w:tcPr>
          <w:p>
            <w:r>
              <w:rPr>
                <w:sz w:val="14"/>
              </w:rPr>
              <w:t>Private PaaS</w:t>
            </w:r>
          </w:p>
        </w:tc>
        <w:tc>
          <w:tcPr>
            <w:tcW w:type="dxa" w:w="2952"/>
            <w:tcMar>
              <w:top w:w="65" w:type="dxa"/>
              <w:start w:w="85" w:type="dxa"/>
              <w:bottom w:w="65" w:type="dxa"/>
              <w:end w:w="85" w:type="dxa"/>
            </w:tcMar>
            <w:vAlign w:val="top"/>
          </w:tcPr>
          <w:p>
            <w:r>
              <w:rPr>
                <w:sz w:val="14"/>
              </w:rPr>
              <w:t>Private Link / private endpoints</w:t>
            </w:r>
          </w:p>
        </w:tc>
        <w:tc>
          <w:tcPr>
            <w:tcW w:type="dxa" w:w="4824"/>
            <w:tcMar>
              <w:top w:w="65" w:type="dxa"/>
              <w:start w:w="85" w:type="dxa"/>
              <w:bottom w:w="65" w:type="dxa"/>
              <w:end w:w="85" w:type="dxa"/>
            </w:tcMar>
            <w:vAlign w:val="top"/>
          </w:tcPr>
          <w:p>
            <w:r>
              <w:rPr>
                <w:sz w:val="14"/>
              </w:rPr>
              <w:t>Access Azure services through private IPs.</w:t>
            </w:r>
          </w:p>
        </w:tc>
      </w:tr>
      <w:tr>
        <w:trPr>
          <w:cantSplit/>
        </w:trPr>
        <w:tc>
          <w:tcPr>
            <w:tcW w:type="dxa" w:w="2232"/>
            <w:tcMar>
              <w:top w:w="65" w:type="dxa"/>
              <w:start w:w="85" w:type="dxa"/>
              <w:bottom w:w="65" w:type="dxa"/>
              <w:end w:w="85" w:type="dxa"/>
            </w:tcMar>
            <w:vAlign w:val="top"/>
          </w:tcPr>
          <w:p>
            <w:r>
              <w:rPr>
                <w:sz w:val="14"/>
              </w:rPr>
              <w:t>DNS</w:t>
            </w:r>
          </w:p>
        </w:tc>
        <w:tc>
          <w:tcPr>
            <w:tcW w:type="dxa" w:w="2952"/>
            <w:tcMar>
              <w:top w:w="65" w:type="dxa"/>
              <w:start w:w="85" w:type="dxa"/>
              <w:bottom w:w="65" w:type="dxa"/>
              <w:end w:w="85" w:type="dxa"/>
            </w:tcMar>
            <w:vAlign w:val="top"/>
          </w:tcPr>
          <w:p>
            <w:r>
              <w:rPr>
                <w:sz w:val="14"/>
              </w:rPr>
              <w:t>Azure DNS / Private DNS Resolver</w:t>
            </w:r>
          </w:p>
        </w:tc>
        <w:tc>
          <w:tcPr>
            <w:tcW w:type="dxa" w:w="4824"/>
            <w:tcMar>
              <w:top w:w="65" w:type="dxa"/>
              <w:start w:w="85" w:type="dxa"/>
              <w:bottom w:w="65" w:type="dxa"/>
              <w:end w:w="85" w:type="dxa"/>
            </w:tcMar>
            <w:vAlign w:val="top"/>
          </w:tcPr>
          <w:p>
            <w:r>
              <w:rPr>
                <w:sz w:val="14"/>
              </w:rPr>
              <w:t>Operate public, private and hybrid name resolution.</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Azure Firewall / NSG</w:t>
            </w:r>
          </w:p>
        </w:tc>
        <w:tc>
          <w:tcPr>
            <w:tcW w:type="dxa" w:w="4824"/>
            <w:tcMar>
              <w:top w:w="65" w:type="dxa"/>
              <w:start w:w="85" w:type="dxa"/>
              <w:bottom w:w="65" w:type="dxa"/>
              <w:end w:w="85" w:type="dxa"/>
            </w:tcMar>
            <w:vAlign w:val="top"/>
          </w:tcPr>
          <w:p>
            <w:r>
              <w:rPr>
                <w:sz w:val="14"/>
              </w:rPr>
              <w:t>Control network flows and centralized inspection.</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expressroute, vpn and hybrid routing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network:</w:t>
              <w:br/>
              <w:t xml:space="preserve">  topology: virtual_wan_or_hub_spoke_by_scale</w:t>
              <w:br/>
              <w:t xml:space="preserve">  address_plan: central_ipam</w:t>
              <w:br/>
              <w:t xml:space="preserve">  hybrid: dual_expressroute_plus_vpn_backup</w:t>
              <w:br/>
              <w:t xml:space="preserve">  paas_access: private_endpoints_default</w:t>
              <w:br/>
              <w:t xml:space="preserve">  dns: private_dns_resolver_linked_zones</w:t>
              <w:br/>
              <w:t xml:space="preserve">  egress: centralized_with_fqdn_policy</w:t>
              <w:br/>
              <w:t>validation: [network_watcher, connection_monitor, flow_logs, dns_tests]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networking, private connectivity and hybrid design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23: Build an Azure Hub-Spoke Network with Private Endpoints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networking, private connectivity and hybrid design using fictional enterprise requirements.</w:t>
      </w:r>
    </w:p>
    <w:p>
      <w:pPr>
        <w:ind w:left="360" w:hanging="360"/>
      </w:pPr>
      <w:r>
        <w:rPr>
          <w:b/>
        </w:rPr>
        <w:t xml:space="preserve">2. </w:t>
      </w:r>
      <w:r>
        <w:t>Implement the smallest safe sandbox using Azure Virtual Network, Hub-spoke / Virtual WAN, ExpressRoute / VPN Gateway;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Networking, Private Connectivity and Hybrid Design?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Virtual networks, IPAM and segmentation defines a key architecture boundary.</w:t>
      </w:r>
    </w:p>
    <w:p>
      <w:pPr>
        <w:pStyle w:val="ListBullet"/>
      </w:pPr>
      <w:r>
        <w:t>Hub-spoke and Azure Virtual WAN must be automated and least-privileged.</w:t>
      </w:r>
    </w:p>
    <w:p>
      <w:pPr>
        <w:pStyle w:val="ListBullet"/>
      </w:pPr>
      <w:r>
        <w:t>ExpressRoute, VPN and hybrid routing requires policy, telemetry and recovery evidence.</w:t>
      </w:r>
    </w:p>
    <w:p>
      <w:pPr>
        <w:pStyle w:val="ListBullet"/>
      </w:pPr>
      <w:r>
        <w:t>Private Link, DNS and controlled ingress/egress should be tested before production and after material change.</w:t>
      </w:r>
    </w:p>
    <w:p>
      <w:r>
        <w:br w:type="page"/>
      </w:r>
    </w:p>
    <w:p>
      <w:pPr>
        <w:jc w:val="center"/>
      </w:pPr>
      <w:r>
        <w:rPr>
          <w:b/>
          <w:color w:val="14919B"/>
          <w:sz w:val="17"/>
        </w:rPr>
        <w:t>VOLUME 12C  |  CHAPTER 24</w:t>
      </w:r>
    </w:p>
    <w:p>
      <w:pPr>
        <w:pStyle w:val="Heading1"/>
        <w:jc w:val="center"/>
      </w:pPr>
      <w:r>
        <w:t>Chapter 24: Azure Compute, Containers and Serverless Architecture</w:t>
      </w:r>
    </w:p>
    <w:p>
      <w:pPr>
        <w:jc w:val="center"/>
      </w:pPr>
      <w:r>
        <w:rPr>
          <w:i/>
          <w:color w:val="4B5563"/>
          <w:sz w:val="20"/>
        </w:rPr>
        <w:t>Choosing VMs, App Service, Functions, Container Apps and AKS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compute platforms trade control for operational abstraction. Placement should reflect runtime requirements, scaling, networking, deployment, compliance and team capability.</w:t>
            </w:r>
          </w:p>
        </w:tc>
      </w:tr>
    </w:tbl>
    <w:p>
      <w:pPr>
        <w:spacing w:after="0"/>
      </w:pPr>
    </w:p>
    <w:p>
      <w:pPr>
        <w:pStyle w:val="Heading2"/>
        <w:keepNext/>
      </w:pPr>
      <w:r>
        <w:t>Learning Objectives</w:t>
      </w:r>
    </w:p>
    <w:p>
      <w:pPr>
        <w:pStyle w:val="ListBullet"/>
      </w:pPr>
      <w:r>
        <w:t>Explain the architecture, responsibility boundaries and major trade-offs of virtual machines and virtual machine scale sets.</w:t>
      </w:r>
    </w:p>
    <w:p>
      <w:pPr>
        <w:pStyle w:val="ListBullet"/>
      </w:pPr>
      <w:r>
        <w:t>Design app service, functions and container apps for enterprise scale, least privilege and bounded failure.</w:t>
      </w:r>
    </w:p>
    <w:p>
      <w:pPr>
        <w:pStyle w:val="ListBullet"/>
      </w:pPr>
      <w:r>
        <w:t>Implement azure kubernetes service architecture through version-controlled automation and policy checks.</w:t>
      </w:r>
    </w:p>
    <w:p>
      <w:pPr>
        <w:pStyle w:val="ListBullet"/>
      </w:pPr>
      <w:r>
        <w:t>Troubleshoot images, autoscaling and deployment safety using provider-native telemetry and repeatable evidence.</w:t>
      </w:r>
    </w:p>
    <w:p>
      <w:pPr>
        <w:pStyle w:val="ListBullet"/>
      </w:pPr>
      <w:r>
        <w:t>Deliver a sanitized portfolio artifact for compare azure compute placement with a deployable workload.</w:t>
      </w:r>
    </w:p>
    <w:p>
      <w:pPr>
        <w:pStyle w:val="Heading2"/>
        <w:keepNext/>
      </w:pPr>
      <w:r>
        <w:t>Core Concepts</w:t>
      </w:r>
    </w:p>
    <w:p>
      <w:pPr>
        <w:pStyle w:val="Heading3"/>
        <w:keepNext/>
      </w:pPr>
      <w:r>
        <w:t>Virtual Machines and Virtual Machine Scale Sets</w:t>
      </w:r>
    </w:p>
    <w:p>
      <w:pPr>
        <w:keepNext w:val="0"/>
      </w:pPr>
      <w:r>
        <w:t>Virtual Machines and Virtual Machine Scale Sets is a design boundary, not merely a console feature. In Azure Compute, Containers and Serverless Architecture, the team must document ownership, trust assumptions, dependency direction, failure impact and the evidence used to prove the control. The recommended implementation uses Azure VMs / VM Scale Sets, Azure App Service, Azure Functions, Azure Container Apps only where they satisfy an explicit requirement; equivalent services are not automatically interchangeable.</w:t>
      </w:r>
    </w:p>
    <w:p>
      <w:pPr>
        <w:pStyle w:val="Heading3"/>
        <w:keepNext/>
      </w:pPr>
      <w:r>
        <w:t>App Service, Functions and Container Apps</w:t>
      </w:r>
    </w:p>
    <w:p>
      <w:pPr>
        <w:keepNext w:val="0"/>
      </w:pPr>
      <w:r>
        <w:t>A production implementation of App Service, Functions and Container Apps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Azure Kubernetes Service architecture</w:t>
      </w:r>
    </w:p>
    <w:p>
      <w:pPr>
        <w:keepNext w:val="0"/>
      </w:pPr>
      <w:r>
        <w:t>For Azure Kubernetes Service architecture,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Images, autoscaling and deployment safety</w:t>
      </w:r>
    </w:p>
    <w:p>
      <w:pPr>
        <w:keepNext w:val="0"/>
      </w:pPr>
      <w:r>
        <w:t>The strongest validation for Images, autoscaling and deployment safety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Virtual machines</w:t>
            </w:r>
          </w:p>
        </w:tc>
        <w:tc>
          <w:tcPr>
            <w:tcW w:type="dxa" w:w="2952"/>
            <w:tcMar>
              <w:top w:w="65" w:type="dxa"/>
              <w:start w:w="85" w:type="dxa"/>
              <w:bottom w:w="65" w:type="dxa"/>
              <w:end w:w="85" w:type="dxa"/>
            </w:tcMar>
            <w:vAlign w:val="top"/>
          </w:tcPr>
          <w:p>
            <w:r>
              <w:rPr>
                <w:sz w:val="14"/>
              </w:rPr>
              <w:t>Azure VMs / VM Scale Sets</w:t>
            </w:r>
          </w:p>
        </w:tc>
        <w:tc>
          <w:tcPr>
            <w:tcW w:type="dxa" w:w="4824"/>
            <w:tcMar>
              <w:top w:w="65" w:type="dxa"/>
              <w:start w:w="85" w:type="dxa"/>
              <w:bottom w:w="65" w:type="dxa"/>
              <w:end w:w="85" w:type="dxa"/>
            </w:tcMar>
            <w:vAlign w:val="top"/>
          </w:tcPr>
          <w:p>
            <w:r>
              <w:rPr>
                <w:sz w:val="14"/>
              </w:rPr>
              <w:t>Run customizable and legacy compute.</w:t>
            </w:r>
          </w:p>
        </w:tc>
      </w:tr>
      <w:tr>
        <w:trPr>
          <w:cantSplit/>
        </w:trPr>
        <w:tc>
          <w:tcPr>
            <w:tcW w:type="dxa" w:w="2232"/>
            <w:tcMar>
              <w:top w:w="65" w:type="dxa"/>
              <w:start w:w="85" w:type="dxa"/>
              <w:bottom w:w="65" w:type="dxa"/>
              <w:end w:w="85" w:type="dxa"/>
            </w:tcMar>
            <w:vAlign w:val="top"/>
          </w:tcPr>
          <w:p>
            <w:r>
              <w:rPr>
                <w:sz w:val="14"/>
              </w:rPr>
              <w:t>Web platform</w:t>
            </w:r>
          </w:p>
        </w:tc>
        <w:tc>
          <w:tcPr>
            <w:tcW w:type="dxa" w:w="2952"/>
            <w:tcMar>
              <w:top w:w="65" w:type="dxa"/>
              <w:start w:w="85" w:type="dxa"/>
              <w:bottom w:w="65" w:type="dxa"/>
              <w:end w:w="85" w:type="dxa"/>
            </w:tcMar>
            <w:vAlign w:val="top"/>
          </w:tcPr>
          <w:p>
            <w:r>
              <w:rPr>
                <w:sz w:val="14"/>
              </w:rPr>
              <w:t>Azure App Service</w:t>
            </w:r>
          </w:p>
        </w:tc>
        <w:tc>
          <w:tcPr>
            <w:tcW w:type="dxa" w:w="4824"/>
            <w:tcMar>
              <w:top w:w="65" w:type="dxa"/>
              <w:start w:w="85" w:type="dxa"/>
              <w:bottom w:w="65" w:type="dxa"/>
              <w:end w:w="85" w:type="dxa"/>
            </w:tcMar>
            <w:vAlign w:val="top"/>
          </w:tcPr>
          <w:p>
            <w:r>
              <w:rPr>
                <w:sz w:val="14"/>
              </w:rPr>
              <w:t>Host managed web applications and APIs.</w:t>
            </w:r>
          </w:p>
        </w:tc>
      </w:tr>
      <w:tr>
        <w:trPr>
          <w:cantSplit/>
        </w:trPr>
        <w:tc>
          <w:tcPr>
            <w:tcW w:type="dxa" w:w="2232"/>
            <w:tcMar>
              <w:top w:w="65" w:type="dxa"/>
              <w:start w:w="85" w:type="dxa"/>
              <w:bottom w:w="65" w:type="dxa"/>
              <w:end w:w="85" w:type="dxa"/>
            </w:tcMar>
            <w:vAlign w:val="top"/>
          </w:tcPr>
          <w:p>
            <w:r>
              <w:rPr>
                <w:sz w:val="14"/>
              </w:rPr>
              <w:t>Functions</w:t>
            </w:r>
          </w:p>
        </w:tc>
        <w:tc>
          <w:tcPr>
            <w:tcW w:type="dxa" w:w="2952"/>
            <w:tcMar>
              <w:top w:w="65" w:type="dxa"/>
              <w:start w:w="85" w:type="dxa"/>
              <w:bottom w:w="65" w:type="dxa"/>
              <w:end w:w="85" w:type="dxa"/>
            </w:tcMar>
            <w:vAlign w:val="top"/>
          </w:tcPr>
          <w:p>
            <w:r>
              <w:rPr>
                <w:sz w:val="14"/>
              </w:rPr>
              <w:t>Azure Functions</w:t>
            </w:r>
          </w:p>
        </w:tc>
        <w:tc>
          <w:tcPr>
            <w:tcW w:type="dxa" w:w="4824"/>
            <w:tcMar>
              <w:top w:w="65" w:type="dxa"/>
              <w:start w:w="85" w:type="dxa"/>
              <w:bottom w:w="65" w:type="dxa"/>
              <w:end w:w="85" w:type="dxa"/>
            </w:tcMar>
            <w:vAlign w:val="top"/>
          </w:tcPr>
          <w:p>
            <w:r>
              <w:rPr>
                <w:sz w:val="14"/>
              </w:rPr>
              <w:t>Run event-driven functions with managed scaling.</w:t>
            </w:r>
          </w:p>
        </w:tc>
      </w:tr>
      <w:tr>
        <w:trPr>
          <w:cantSplit/>
        </w:trPr>
        <w:tc>
          <w:tcPr>
            <w:tcW w:type="dxa" w:w="2232"/>
            <w:tcMar>
              <w:top w:w="65" w:type="dxa"/>
              <w:start w:w="85" w:type="dxa"/>
              <w:bottom w:w="65" w:type="dxa"/>
              <w:end w:w="85" w:type="dxa"/>
            </w:tcMar>
            <w:vAlign w:val="top"/>
          </w:tcPr>
          <w:p>
            <w:r>
              <w:rPr>
                <w:sz w:val="14"/>
              </w:rPr>
              <w:t>Serverless containers</w:t>
            </w:r>
          </w:p>
        </w:tc>
        <w:tc>
          <w:tcPr>
            <w:tcW w:type="dxa" w:w="2952"/>
            <w:tcMar>
              <w:top w:w="65" w:type="dxa"/>
              <w:start w:w="85" w:type="dxa"/>
              <w:bottom w:w="65" w:type="dxa"/>
              <w:end w:w="85" w:type="dxa"/>
            </w:tcMar>
            <w:vAlign w:val="top"/>
          </w:tcPr>
          <w:p>
            <w:r>
              <w:rPr>
                <w:sz w:val="14"/>
              </w:rPr>
              <w:t>Azure Container Apps</w:t>
            </w:r>
          </w:p>
        </w:tc>
        <w:tc>
          <w:tcPr>
            <w:tcW w:type="dxa" w:w="4824"/>
            <w:tcMar>
              <w:top w:w="65" w:type="dxa"/>
              <w:start w:w="85" w:type="dxa"/>
              <w:bottom w:w="65" w:type="dxa"/>
              <w:end w:w="85" w:type="dxa"/>
            </w:tcMar>
            <w:vAlign w:val="top"/>
          </w:tcPr>
          <w:p>
            <w:r>
              <w:rPr>
                <w:sz w:val="14"/>
              </w:rPr>
              <w:t>Run microservices and jobs without cluster administration.</w:t>
            </w:r>
          </w:p>
        </w:tc>
      </w:tr>
      <w:tr>
        <w:trPr>
          <w:cantSplit/>
        </w:trPr>
        <w:tc>
          <w:tcPr>
            <w:tcW w:type="dxa" w:w="2232"/>
            <w:tcMar>
              <w:top w:w="65" w:type="dxa"/>
              <w:start w:w="85" w:type="dxa"/>
              <w:bottom w:w="65" w:type="dxa"/>
              <w:end w:w="85" w:type="dxa"/>
            </w:tcMar>
            <w:vAlign w:val="top"/>
          </w:tcPr>
          <w:p>
            <w:r>
              <w:rPr>
                <w:sz w:val="14"/>
              </w:rPr>
              <w:t>Kubernetes</w:t>
            </w:r>
          </w:p>
        </w:tc>
        <w:tc>
          <w:tcPr>
            <w:tcW w:type="dxa" w:w="2952"/>
            <w:tcMar>
              <w:top w:w="65" w:type="dxa"/>
              <w:start w:w="85" w:type="dxa"/>
              <w:bottom w:w="65" w:type="dxa"/>
              <w:end w:w="85" w:type="dxa"/>
            </w:tcMar>
            <w:vAlign w:val="top"/>
          </w:tcPr>
          <w:p>
            <w:r>
              <w:rPr>
                <w:sz w:val="14"/>
              </w:rPr>
              <w:t>AKS</w:t>
            </w:r>
          </w:p>
        </w:tc>
        <w:tc>
          <w:tcPr>
            <w:tcW w:type="dxa" w:w="4824"/>
            <w:tcMar>
              <w:top w:w="65" w:type="dxa"/>
              <w:start w:w="85" w:type="dxa"/>
              <w:bottom w:w="65" w:type="dxa"/>
              <w:end w:w="85" w:type="dxa"/>
            </w:tcMar>
            <w:vAlign w:val="top"/>
          </w:tcPr>
          <w:p>
            <w:r>
              <w:rPr>
                <w:sz w:val="14"/>
              </w:rPr>
              <w:t>Operate Kubernetes workloads with managed control plane.</w:t>
            </w:r>
          </w:p>
        </w:tc>
      </w:tr>
      <w:tr>
        <w:trPr>
          <w:cantSplit/>
        </w:trPr>
        <w:tc>
          <w:tcPr>
            <w:tcW w:type="dxa" w:w="2232"/>
            <w:tcMar>
              <w:top w:w="65" w:type="dxa"/>
              <w:start w:w="85" w:type="dxa"/>
              <w:bottom w:w="65" w:type="dxa"/>
              <w:end w:w="85" w:type="dxa"/>
            </w:tcMar>
            <w:vAlign w:val="top"/>
          </w:tcPr>
          <w:p>
            <w:r>
              <w:rPr>
                <w:sz w:val="14"/>
              </w:rPr>
              <w:t>Images</w:t>
            </w:r>
          </w:p>
        </w:tc>
        <w:tc>
          <w:tcPr>
            <w:tcW w:type="dxa" w:w="2952"/>
            <w:tcMar>
              <w:top w:w="65" w:type="dxa"/>
              <w:start w:w="85" w:type="dxa"/>
              <w:bottom w:w="65" w:type="dxa"/>
              <w:end w:w="85" w:type="dxa"/>
            </w:tcMar>
            <w:vAlign w:val="top"/>
          </w:tcPr>
          <w:p>
            <w:r>
              <w:rPr>
                <w:sz w:val="14"/>
              </w:rPr>
              <w:t>Azure Compute Gallery / ACR</w:t>
            </w:r>
          </w:p>
        </w:tc>
        <w:tc>
          <w:tcPr>
            <w:tcW w:type="dxa" w:w="4824"/>
            <w:tcMar>
              <w:top w:w="65" w:type="dxa"/>
              <w:start w:w="85" w:type="dxa"/>
              <w:bottom w:w="65" w:type="dxa"/>
              <w:end w:w="85" w:type="dxa"/>
            </w:tcMar>
            <w:vAlign w:val="top"/>
          </w:tcPr>
          <w:p>
            <w:r>
              <w:rPr>
                <w:sz w:val="14"/>
              </w:rPr>
              <w:t>Distribute governed machine and container images.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azure kubernetes service architecture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placement:</w:t>
              <w:br/>
              <w:t xml:space="preserve">  legacy_or_custom_os: vm_scale_sets</w:t>
              <w:br/>
              <w:t xml:space="preserve">  managed_web: app_service</w:t>
              <w:br/>
              <w:t xml:space="preserve">  event_processing: functions</w:t>
              <w:br/>
              <w:t xml:space="preserve">  serverless_microservices: container_apps</w:t>
              <w:br/>
              <w:t xml:space="preserve">  kubernetes_requirements: aks</w:t>
              <w:br/>
              <w:t>controls: [availability_zones, managed_identity, autoscale, image_scan, rollback]</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compute, containers and serverless architecture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24: Compare Azure Compute Placement with a Deployable Workload</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compute, containers and serverless architecture using fictional enterprise requirements.</w:t>
      </w:r>
    </w:p>
    <w:p>
      <w:pPr>
        <w:ind w:left="360" w:hanging="360"/>
      </w:pPr>
      <w:r>
        <w:rPr>
          <w:b/>
        </w:rPr>
        <w:t xml:space="preserve">2. </w:t>
      </w:r>
      <w:r>
        <w:t>Implement the smallest safe sandbox using Azure VMs / VM Scale Sets, Azure App Service, Azure Functions;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Compute, Containers and Serverless Architecture?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Virtual Machines and Virtual Machine Scale Sets defines a key architecture boundary.</w:t>
      </w:r>
    </w:p>
    <w:p>
      <w:pPr>
        <w:pStyle w:val="ListBullet"/>
      </w:pPr>
      <w:r>
        <w:t>App Service, Functions and Container Apps must be automated and least-privileged.</w:t>
      </w:r>
    </w:p>
    <w:p>
      <w:pPr>
        <w:pStyle w:val="ListBullet"/>
      </w:pPr>
      <w:r>
        <w:t>Azure Kubernetes Service architecture requires policy, telemetry and recovery evidence.</w:t>
      </w:r>
    </w:p>
    <w:p>
      <w:pPr>
        <w:pStyle w:val="ListBullet"/>
      </w:pPr>
      <w:r>
        <w:t>Images, autoscaling and deployment safety should be tested before production and after material change.</w:t>
      </w:r>
    </w:p>
    <w:p>
      <w:r>
        <w:br w:type="page"/>
      </w:r>
    </w:p>
    <w:p>
      <w:pPr>
        <w:jc w:val="center"/>
      </w:pPr>
      <w:r>
        <w:rPr>
          <w:b/>
          <w:color w:val="14919B"/>
          <w:sz w:val="17"/>
        </w:rPr>
        <w:t>VOLUME 12C  |  CHAPTER 25</w:t>
      </w:r>
    </w:p>
    <w:p>
      <w:pPr>
        <w:pStyle w:val="Heading1"/>
        <w:jc w:val="center"/>
      </w:pPr>
      <w:r>
        <w:t>Chapter 25: Azure Storage, Databases and Data Protection</w:t>
      </w:r>
    </w:p>
    <w:p>
      <w:pPr>
        <w:jc w:val="center"/>
      </w:pPr>
      <w:r>
        <w:rPr>
          <w:i/>
          <w:color w:val="4B5563"/>
          <w:sz w:val="20"/>
        </w:rPr>
        <w:t>Designing storage and data services for access, consistency and recovery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data architecture must explicitly define redundancy, encryption, network access, retention, restore order and regional behavior. Defaults are not a recovery plan.</w:t>
            </w:r>
          </w:p>
        </w:tc>
      </w:tr>
    </w:tbl>
    <w:p>
      <w:pPr>
        <w:spacing w:after="0"/>
      </w:pPr>
    </w:p>
    <w:p>
      <w:pPr>
        <w:pStyle w:val="Heading2"/>
        <w:keepNext/>
      </w:pPr>
      <w:r>
        <w:t>Learning Objectives</w:t>
      </w:r>
    </w:p>
    <w:p>
      <w:pPr>
        <w:pStyle w:val="ListBullet"/>
      </w:pPr>
      <w:r>
        <w:t>Explain the architecture, responsibility boundaries and major trade-offs of storage account redundancy and network controls.</w:t>
      </w:r>
    </w:p>
    <w:p>
      <w:pPr>
        <w:pStyle w:val="ListBullet"/>
      </w:pPr>
      <w:r>
        <w:t>Design managed disks and azure files for enterprise scale, least privilege and bounded failure.</w:t>
      </w:r>
    </w:p>
    <w:p>
      <w:pPr>
        <w:pStyle w:val="ListBullet"/>
      </w:pPr>
      <w:r>
        <w:t>Implement azure sql, postgresql and cosmos db through version-controlled automation and policy checks.</w:t>
      </w:r>
    </w:p>
    <w:p>
      <w:pPr>
        <w:pStyle w:val="ListBullet"/>
      </w:pPr>
      <w:r>
        <w:t>Troubleshoot backup, site recovery and restore validation using provider-native telemetry and repeatable evidence.</w:t>
      </w:r>
    </w:p>
    <w:p>
      <w:pPr>
        <w:pStyle w:val="ListBullet"/>
      </w:pPr>
      <w:r>
        <w:t>Deliver a sanitized portfolio artifact for implement azure data protection and restore evidence.</w:t>
      </w:r>
    </w:p>
    <w:p>
      <w:pPr>
        <w:pStyle w:val="Heading2"/>
        <w:keepNext/>
      </w:pPr>
      <w:r>
        <w:t>Core Concepts</w:t>
      </w:r>
    </w:p>
    <w:p>
      <w:pPr>
        <w:pStyle w:val="Heading3"/>
        <w:keepNext/>
      </w:pPr>
      <w:r>
        <w:t>Storage account redundancy and network controls</w:t>
      </w:r>
    </w:p>
    <w:p>
      <w:pPr>
        <w:keepNext w:val="0"/>
      </w:pPr>
      <w:r>
        <w:t>Storage account redundancy and network controls is a design boundary, not merely a console feature. In Azure Storage, Databases and Data Protection, the team must document ownership, trust assumptions, dependency direction, failure impact and the evidence used to prove the control. The recommended implementation uses Blob Storage / ADLS Gen2, Managed Disks, Azure Files / Azure NetApp Files, Azure SQL / Azure Database for PostgreSQL only where they satisfy an explicit requirement; equivalent services are not automatically interchangeable.</w:t>
      </w:r>
    </w:p>
    <w:p>
      <w:pPr>
        <w:pStyle w:val="Heading3"/>
        <w:keepNext/>
      </w:pPr>
      <w:r>
        <w:t>Managed disks and Azure Files</w:t>
      </w:r>
    </w:p>
    <w:p>
      <w:pPr>
        <w:keepNext w:val="0"/>
      </w:pPr>
      <w:r>
        <w:t>A production implementation of Managed disks and Azure Files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Azure SQL, PostgreSQL and Cosmos DB</w:t>
      </w:r>
    </w:p>
    <w:p>
      <w:pPr>
        <w:keepNext w:val="0"/>
      </w:pPr>
      <w:r>
        <w:t>For Azure SQL, PostgreSQL and Cosmos DB,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Backup, Site Recovery and restore validation</w:t>
      </w:r>
    </w:p>
    <w:p>
      <w:pPr>
        <w:keepNext w:val="0"/>
      </w:pPr>
      <w:r>
        <w:t>The strongest validation for Backup, Site Recovery and restore validation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Object</w:t>
            </w:r>
          </w:p>
        </w:tc>
        <w:tc>
          <w:tcPr>
            <w:tcW w:type="dxa" w:w="2952"/>
            <w:tcMar>
              <w:top w:w="65" w:type="dxa"/>
              <w:start w:w="85" w:type="dxa"/>
              <w:bottom w:w="65" w:type="dxa"/>
              <w:end w:w="85" w:type="dxa"/>
            </w:tcMar>
            <w:vAlign w:val="top"/>
          </w:tcPr>
          <w:p>
            <w:r>
              <w:rPr>
                <w:sz w:val="14"/>
              </w:rPr>
              <w:t>Blob Storage / ADLS Gen2</w:t>
            </w:r>
          </w:p>
        </w:tc>
        <w:tc>
          <w:tcPr>
            <w:tcW w:type="dxa" w:w="4824"/>
            <w:tcMar>
              <w:top w:w="65" w:type="dxa"/>
              <w:start w:w="85" w:type="dxa"/>
              <w:bottom w:w="65" w:type="dxa"/>
              <w:end w:w="85" w:type="dxa"/>
            </w:tcMar>
            <w:vAlign w:val="top"/>
          </w:tcPr>
          <w:p>
            <w:r>
              <w:rPr>
                <w:sz w:val="14"/>
              </w:rPr>
              <w:t>Store objects, archives and analytical data.</w:t>
            </w:r>
          </w:p>
        </w:tc>
      </w:tr>
      <w:tr>
        <w:trPr>
          <w:cantSplit/>
        </w:trPr>
        <w:tc>
          <w:tcPr>
            <w:tcW w:type="dxa" w:w="2232"/>
            <w:tcMar>
              <w:top w:w="65" w:type="dxa"/>
              <w:start w:w="85" w:type="dxa"/>
              <w:bottom w:w="65" w:type="dxa"/>
              <w:end w:w="85" w:type="dxa"/>
            </w:tcMar>
            <w:vAlign w:val="top"/>
          </w:tcPr>
          <w:p>
            <w:r>
              <w:rPr>
                <w:sz w:val="14"/>
              </w:rPr>
              <w:t>Block</w:t>
            </w:r>
          </w:p>
        </w:tc>
        <w:tc>
          <w:tcPr>
            <w:tcW w:type="dxa" w:w="2952"/>
            <w:tcMar>
              <w:top w:w="65" w:type="dxa"/>
              <w:start w:w="85" w:type="dxa"/>
              <w:bottom w:w="65" w:type="dxa"/>
              <w:end w:w="85" w:type="dxa"/>
            </w:tcMar>
            <w:vAlign w:val="top"/>
          </w:tcPr>
          <w:p>
            <w:r>
              <w:rPr>
                <w:sz w:val="14"/>
              </w:rPr>
              <w:t>Managed Disks</w:t>
            </w:r>
          </w:p>
        </w:tc>
        <w:tc>
          <w:tcPr>
            <w:tcW w:type="dxa" w:w="4824"/>
            <w:tcMar>
              <w:top w:w="65" w:type="dxa"/>
              <w:start w:w="85" w:type="dxa"/>
              <w:bottom w:w="65" w:type="dxa"/>
              <w:end w:w="85" w:type="dxa"/>
            </w:tcMar>
            <w:vAlign w:val="top"/>
          </w:tcPr>
          <w:p>
            <w:r>
              <w:rPr>
                <w:sz w:val="14"/>
              </w:rPr>
              <w:t>Provide persistent disks for Azure VMs.</w:t>
            </w:r>
          </w:p>
        </w:tc>
      </w:tr>
      <w:tr>
        <w:trPr>
          <w:cantSplit/>
        </w:trPr>
        <w:tc>
          <w:tcPr>
            <w:tcW w:type="dxa" w:w="2232"/>
            <w:tcMar>
              <w:top w:w="65" w:type="dxa"/>
              <w:start w:w="85" w:type="dxa"/>
              <w:bottom w:w="65" w:type="dxa"/>
              <w:end w:w="85" w:type="dxa"/>
            </w:tcMar>
            <w:vAlign w:val="top"/>
          </w:tcPr>
          <w:p>
            <w:r>
              <w:rPr>
                <w:sz w:val="14"/>
              </w:rPr>
              <w:t>File</w:t>
            </w:r>
          </w:p>
        </w:tc>
        <w:tc>
          <w:tcPr>
            <w:tcW w:type="dxa" w:w="2952"/>
            <w:tcMar>
              <w:top w:w="65" w:type="dxa"/>
              <w:start w:w="85" w:type="dxa"/>
              <w:bottom w:w="65" w:type="dxa"/>
              <w:end w:w="85" w:type="dxa"/>
            </w:tcMar>
            <w:vAlign w:val="top"/>
          </w:tcPr>
          <w:p>
            <w:r>
              <w:rPr>
                <w:sz w:val="14"/>
              </w:rPr>
              <w:t>Azure Files / Azure NetApp Files</w:t>
            </w:r>
          </w:p>
        </w:tc>
        <w:tc>
          <w:tcPr>
            <w:tcW w:type="dxa" w:w="4824"/>
            <w:tcMar>
              <w:top w:w="65" w:type="dxa"/>
              <w:start w:w="85" w:type="dxa"/>
              <w:bottom w:w="65" w:type="dxa"/>
              <w:end w:w="85" w:type="dxa"/>
            </w:tcMar>
            <w:vAlign w:val="top"/>
          </w:tcPr>
          <w:p>
            <w:r>
              <w:rPr>
                <w:sz w:val="14"/>
              </w:rPr>
              <w:t>Offer managed SMB/NFS file services.</w:t>
            </w:r>
          </w:p>
        </w:tc>
      </w:tr>
      <w:tr>
        <w:trPr>
          <w:cantSplit/>
        </w:trPr>
        <w:tc>
          <w:tcPr>
            <w:tcW w:type="dxa" w:w="2232"/>
            <w:tcMar>
              <w:top w:w="65" w:type="dxa"/>
              <w:start w:w="85" w:type="dxa"/>
              <w:bottom w:w="65" w:type="dxa"/>
              <w:end w:w="85" w:type="dxa"/>
            </w:tcMar>
            <w:vAlign w:val="top"/>
          </w:tcPr>
          <w:p>
            <w:r>
              <w:rPr>
                <w:sz w:val="14"/>
              </w:rPr>
              <w:t>Relational</w:t>
            </w:r>
          </w:p>
        </w:tc>
        <w:tc>
          <w:tcPr>
            <w:tcW w:type="dxa" w:w="2952"/>
            <w:tcMar>
              <w:top w:w="65" w:type="dxa"/>
              <w:start w:w="85" w:type="dxa"/>
              <w:bottom w:w="65" w:type="dxa"/>
              <w:end w:w="85" w:type="dxa"/>
            </w:tcMar>
            <w:vAlign w:val="top"/>
          </w:tcPr>
          <w:p>
            <w:r>
              <w:rPr>
                <w:sz w:val="14"/>
              </w:rPr>
              <w:t>Azure SQL / Azure Database for PostgreSQL</w:t>
            </w:r>
          </w:p>
        </w:tc>
        <w:tc>
          <w:tcPr>
            <w:tcW w:type="dxa" w:w="4824"/>
            <w:tcMar>
              <w:top w:w="65" w:type="dxa"/>
              <w:start w:w="85" w:type="dxa"/>
              <w:bottom w:w="65" w:type="dxa"/>
              <w:end w:w="85" w:type="dxa"/>
            </w:tcMar>
            <w:vAlign w:val="top"/>
          </w:tcPr>
          <w:p>
            <w:r>
              <w:rPr>
                <w:sz w:val="14"/>
              </w:rPr>
              <w:t>Run managed relational workloads.</w:t>
            </w:r>
          </w:p>
        </w:tc>
      </w:tr>
      <w:tr>
        <w:trPr>
          <w:cantSplit/>
        </w:trPr>
        <w:tc>
          <w:tcPr>
            <w:tcW w:type="dxa" w:w="2232"/>
            <w:tcMar>
              <w:top w:w="65" w:type="dxa"/>
              <w:start w:w="85" w:type="dxa"/>
              <w:bottom w:w="65" w:type="dxa"/>
              <w:end w:w="85" w:type="dxa"/>
            </w:tcMar>
            <w:vAlign w:val="top"/>
          </w:tcPr>
          <w:p>
            <w:r>
              <w:rPr>
                <w:sz w:val="14"/>
              </w:rPr>
              <w:t>Globally distributed</w:t>
            </w:r>
          </w:p>
        </w:tc>
        <w:tc>
          <w:tcPr>
            <w:tcW w:type="dxa" w:w="2952"/>
            <w:tcMar>
              <w:top w:w="65" w:type="dxa"/>
              <w:start w:w="85" w:type="dxa"/>
              <w:bottom w:w="65" w:type="dxa"/>
              <w:end w:w="85" w:type="dxa"/>
            </w:tcMar>
            <w:vAlign w:val="top"/>
          </w:tcPr>
          <w:p>
            <w:r>
              <w:rPr>
                <w:sz w:val="14"/>
              </w:rPr>
              <w:t>Azure Cosmos DB</w:t>
            </w:r>
          </w:p>
        </w:tc>
        <w:tc>
          <w:tcPr>
            <w:tcW w:type="dxa" w:w="4824"/>
            <w:tcMar>
              <w:top w:w="65" w:type="dxa"/>
              <w:start w:w="85" w:type="dxa"/>
              <w:bottom w:w="65" w:type="dxa"/>
              <w:end w:w="85" w:type="dxa"/>
            </w:tcMar>
            <w:vAlign w:val="top"/>
          </w:tcPr>
          <w:p>
            <w:r>
              <w:rPr>
                <w:sz w:val="14"/>
              </w:rPr>
              <w:t>Provide multi-model data with configurable consistency.</w:t>
            </w:r>
          </w:p>
        </w:tc>
      </w:tr>
      <w:tr>
        <w:trPr>
          <w:cantSplit/>
        </w:trPr>
        <w:tc>
          <w:tcPr>
            <w:tcW w:type="dxa" w:w="2232"/>
            <w:tcMar>
              <w:top w:w="65" w:type="dxa"/>
              <w:start w:w="85" w:type="dxa"/>
              <w:bottom w:w="65" w:type="dxa"/>
              <w:end w:w="85" w:type="dxa"/>
            </w:tcMar>
            <w:vAlign w:val="top"/>
          </w:tcPr>
          <w:p>
            <w:r>
              <w:rPr>
                <w:sz w:val="14"/>
              </w:rPr>
              <w:t>Protection</w:t>
            </w:r>
          </w:p>
        </w:tc>
        <w:tc>
          <w:tcPr>
            <w:tcW w:type="dxa" w:w="2952"/>
            <w:tcMar>
              <w:top w:w="65" w:type="dxa"/>
              <w:start w:w="85" w:type="dxa"/>
              <w:bottom w:w="65" w:type="dxa"/>
              <w:end w:w="85" w:type="dxa"/>
            </w:tcMar>
            <w:vAlign w:val="top"/>
          </w:tcPr>
          <w:p>
            <w:r>
              <w:rPr>
                <w:sz w:val="14"/>
              </w:rPr>
              <w:t>Azure Backup</w:t>
            </w:r>
          </w:p>
        </w:tc>
        <w:tc>
          <w:tcPr>
            <w:tcW w:type="dxa" w:w="4824"/>
            <w:tcMar>
              <w:top w:w="65" w:type="dxa"/>
              <w:start w:w="85" w:type="dxa"/>
              <w:bottom w:w="65" w:type="dxa"/>
              <w:end w:w="85" w:type="dxa"/>
            </w:tcMar>
            <w:vAlign w:val="top"/>
          </w:tcPr>
          <w:p>
            <w:r>
              <w:rPr>
                <w:sz w:val="14"/>
              </w:rPr>
              <w:t>Centralize backup policy and restore operations.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azure sql, postgresql and cosmos db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data_policy:</w:t>
              <w:br/>
              <w:t xml:space="preserve">  classification: confidential</w:t>
              <w:br/>
              <w:t xml:space="preserve">  storage_redundancy: choose_by_rpo_and_region_requirement</w:t>
              <w:br/>
              <w:t xml:space="preserve">  public_network_access: disabled_by_default</w:t>
              <w:br/>
              <w:t xml:space="preserve">  encryption: platform_or_customer_managed_key</w:t>
              <w:br/>
              <w:t xml:space="preserve">  backups: policy_plus_immutable_vault_where_required</w:t>
              <w:br/>
              <w:t xml:space="preserve">  restore_test: quarterly</w:t>
              <w:br/>
              <w:t xml:space="preserve">  data_exit: documented_export_format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storage, databases and data protection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25: Implement Azure Data Protection and Restore Evidence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storage, databases and data protection using fictional enterprise requirements.</w:t>
      </w:r>
    </w:p>
    <w:p>
      <w:pPr>
        <w:ind w:left="360" w:hanging="360"/>
      </w:pPr>
      <w:r>
        <w:rPr>
          <w:b/>
        </w:rPr>
        <w:t xml:space="preserve">2. </w:t>
      </w:r>
      <w:r>
        <w:t>Implement the smallest safe sandbox using Blob Storage / ADLS Gen2, Managed Disks, Azure Files / Azure NetApp Files;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Storage, Databases and Data Protection?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Storage account redundancy and network controls defines a key architecture boundary.</w:t>
      </w:r>
    </w:p>
    <w:p>
      <w:pPr>
        <w:pStyle w:val="ListBullet"/>
      </w:pPr>
      <w:r>
        <w:t>Managed disks and Azure Files must be automated and least-privileged.</w:t>
      </w:r>
    </w:p>
    <w:p>
      <w:pPr>
        <w:pStyle w:val="ListBullet"/>
      </w:pPr>
      <w:r>
        <w:t>Azure SQL, PostgreSQL and Cosmos DB requires policy, telemetry and recovery evidence.</w:t>
      </w:r>
    </w:p>
    <w:p>
      <w:pPr>
        <w:pStyle w:val="ListBullet"/>
      </w:pPr>
      <w:r>
        <w:t>Backup, Site Recovery and restore validation should be tested before production and after material change.</w:t>
      </w:r>
    </w:p>
    <w:p>
      <w:r>
        <w:br w:type="page"/>
      </w:r>
    </w:p>
    <w:p>
      <w:pPr>
        <w:jc w:val="center"/>
      </w:pPr>
      <w:r>
        <w:rPr>
          <w:b/>
          <w:color w:val="14919B"/>
          <w:sz w:val="17"/>
        </w:rPr>
        <w:t>VOLUME 12C  |  CHAPTER 26</w:t>
      </w:r>
    </w:p>
    <w:p>
      <w:pPr>
        <w:pStyle w:val="Heading1"/>
        <w:jc w:val="center"/>
      </w:pPr>
      <w:r>
        <w:t>Chapter 26: Azure Security, Defender and Sentinel Operations</w:t>
      </w:r>
    </w:p>
    <w:p>
      <w:pPr>
        <w:jc w:val="center"/>
      </w:pPr>
      <w:r>
        <w:rPr>
          <w:i/>
          <w:color w:val="4B5563"/>
          <w:sz w:val="20"/>
        </w:rPr>
        <w:t>Integrating posture management, protection and security analytics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Security posture findings must become owned remediation and detections must connect to investigation and containment. Central tools do not replace workload security engineering.</w:t>
            </w:r>
          </w:p>
        </w:tc>
      </w:tr>
    </w:tbl>
    <w:p>
      <w:pPr>
        <w:spacing w:after="0"/>
      </w:pPr>
    </w:p>
    <w:p>
      <w:pPr>
        <w:pStyle w:val="Heading2"/>
        <w:keepNext/>
      </w:pPr>
      <w:r>
        <w:t>Learning Objectives</w:t>
      </w:r>
    </w:p>
    <w:p>
      <w:pPr>
        <w:pStyle w:val="ListBullet"/>
      </w:pPr>
      <w:r>
        <w:t>Explain the architecture, responsibility boundaries and major trade-offs of defender for cloud posture and workload protection.</w:t>
      </w:r>
    </w:p>
    <w:p>
      <w:pPr>
        <w:pStyle w:val="ListBullet"/>
      </w:pPr>
      <w:r>
        <w:t>Design microsoft sentinel analytics and response for enterprise scale, least privilege and bounded failure.</w:t>
      </w:r>
    </w:p>
    <w:p>
      <w:pPr>
        <w:pStyle w:val="ListBullet"/>
      </w:pPr>
      <w:r>
        <w:t>Implement key vault, encryption and secret governance through version-controlled automation and policy checks.</w:t>
      </w:r>
    </w:p>
    <w:p>
      <w:pPr>
        <w:pStyle w:val="ListBullet"/>
      </w:pPr>
      <w:r>
        <w:t>Troubleshoot azure firewall, waf, ddos and policy controls using provider-native telemetry and repeatable evidence.</w:t>
      </w:r>
    </w:p>
    <w:p>
      <w:pPr>
        <w:pStyle w:val="ListBullet"/>
      </w:pPr>
      <w:r>
        <w:t>Deliver a sanitized portfolio artifact for build an azure security posture and incident workflow.</w:t>
      </w:r>
    </w:p>
    <w:p>
      <w:pPr>
        <w:pStyle w:val="Heading2"/>
        <w:keepNext/>
      </w:pPr>
      <w:r>
        <w:t>Core Concepts</w:t>
      </w:r>
    </w:p>
    <w:p>
      <w:pPr>
        <w:pStyle w:val="Heading3"/>
        <w:keepNext/>
      </w:pPr>
      <w:r>
        <w:t>Defender for Cloud posture and workload protection</w:t>
      </w:r>
    </w:p>
    <w:p>
      <w:pPr>
        <w:keepNext w:val="0"/>
      </w:pPr>
      <w:r>
        <w:t>Defender for Cloud posture and workload protection is a design boundary, not merely a console feature. In Azure Security, Defender and Sentinel Operations, the team must document ownership, trust assumptions, dependency direction, failure impact and the evidence used to prove the control. The recommended implementation uses Microsoft Defender for Cloud, Microsoft Sentinel, Azure Key Vault / Managed HSM, Azure Policy only where they satisfy an explicit requirement; equivalent services are not automatically interchangeable.</w:t>
      </w:r>
    </w:p>
    <w:p>
      <w:pPr>
        <w:pStyle w:val="Heading3"/>
        <w:keepNext/>
      </w:pPr>
      <w:r>
        <w:t>Microsoft Sentinel analytics and response</w:t>
      </w:r>
    </w:p>
    <w:p>
      <w:pPr>
        <w:keepNext w:val="0"/>
      </w:pPr>
      <w:r>
        <w:t>A production implementation of Microsoft Sentinel analytics and response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Key Vault, encryption and secret governance</w:t>
      </w:r>
    </w:p>
    <w:p>
      <w:pPr>
        <w:keepNext w:val="0"/>
      </w:pPr>
      <w:r>
        <w:t>For Key Vault, encryption and secret governance,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Azure Firewall, WAF, DDoS and policy controls</w:t>
      </w:r>
    </w:p>
    <w:p>
      <w:pPr>
        <w:keepNext w:val="0"/>
      </w:pPr>
      <w:r>
        <w:t>The strongest validation for Azure Firewall, WAF, DDoS and policy controls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Posture</w:t>
            </w:r>
          </w:p>
        </w:tc>
        <w:tc>
          <w:tcPr>
            <w:tcW w:type="dxa" w:w="2952"/>
            <w:tcMar>
              <w:top w:w="65" w:type="dxa"/>
              <w:start w:w="85" w:type="dxa"/>
              <w:bottom w:w="65" w:type="dxa"/>
              <w:end w:w="85" w:type="dxa"/>
            </w:tcMar>
            <w:vAlign w:val="top"/>
          </w:tcPr>
          <w:p>
            <w:r>
              <w:rPr>
                <w:sz w:val="14"/>
              </w:rPr>
              <w:t>Microsoft Defender for Cloud</w:t>
            </w:r>
          </w:p>
        </w:tc>
        <w:tc>
          <w:tcPr>
            <w:tcW w:type="dxa" w:w="4824"/>
            <w:tcMar>
              <w:top w:w="65" w:type="dxa"/>
              <w:start w:w="85" w:type="dxa"/>
              <w:bottom w:w="65" w:type="dxa"/>
              <w:end w:w="85" w:type="dxa"/>
            </w:tcMar>
            <w:vAlign w:val="top"/>
          </w:tcPr>
          <w:p>
            <w:r>
              <w:rPr>
                <w:sz w:val="14"/>
              </w:rPr>
              <w:t>Assess recommendations and workload protection.</w:t>
            </w:r>
          </w:p>
        </w:tc>
      </w:tr>
      <w:tr>
        <w:trPr>
          <w:cantSplit/>
        </w:trPr>
        <w:tc>
          <w:tcPr>
            <w:tcW w:type="dxa" w:w="2232"/>
            <w:tcMar>
              <w:top w:w="65" w:type="dxa"/>
              <w:start w:w="85" w:type="dxa"/>
              <w:bottom w:w="65" w:type="dxa"/>
              <w:end w:w="85" w:type="dxa"/>
            </w:tcMar>
            <w:vAlign w:val="top"/>
          </w:tcPr>
          <w:p>
            <w:r>
              <w:rPr>
                <w:sz w:val="14"/>
              </w:rPr>
              <w:t>SIEM/SOAR</w:t>
            </w:r>
          </w:p>
        </w:tc>
        <w:tc>
          <w:tcPr>
            <w:tcW w:type="dxa" w:w="2952"/>
            <w:tcMar>
              <w:top w:w="65" w:type="dxa"/>
              <w:start w:w="85" w:type="dxa"/>
              <w:bottom w:w="65" w:type="dxa"/>
              <w:end w:w="85" w:type="dxa"/>
            </w:tcMar>
            <w:vAlign w:val="top"/>
          </w:tcPr>
          <w:p>
            <w:r>
              <w:rPr>
                <w:sz w:val="14"/>
              </w:rPr>
              <w:t>Microsoft Sentinel</w:t>
            </w:r>
          </w:p>
        </w:tc>
        <w:tc>
          <w:tcPr>
            <w:tcW w:type="dxa" w:w="4824"/>
            <w:tcMar>
              <w:top w:w="65" w:type="dxa"/>
              <w:start w:w="85" w:type="dxa"/>
              <w:bottom w:w="65" w:type="dxa"/>
              <w:end w:w="85" w:type="dxa"/>
            </w:tcMar>
            <w:vAlign w:val="top"/>
          </w:tcPr>
          <w:p>
            <w:r>
              <w:rPr>
                <w:sz w:val="14"/>
              </w:rPr>
              <w:t>Correlate security data and automate response.</w:t>
            </w:r>
          </w:p>
        </w:tc>
      </w:tr>
      <w:tr>
        <w:trPr>
          <w:cantSplit/>
        </w:trPr>
        <w:tc>
          <w:tcPr>
            <w:tcW w:type="dxa" w:w="2232"/>
            <w:tcMar>
              <w:top w:w="65" w:type="dxa"/>
              <w:start w:w="85" w:type="dxa"/>
              <w:bottom w:w="65" w:type="dxa"/>
              <w:end w:w="85" w:type="dxa"/>
            </w:tcMar>
            <w:vAlign w:val="top"/>
          </w:tcPr>
          <w:p>
            <w:r>
              <w:rPr>
                <w:sz w:val="14"/>
              </w:rPr>
              <w:t>Secrets and keys</w:t>
            </w:r>
          </w:p>
        </w:tc>
        <w:tc>
          <w:tcPr>
            <w:tcW w:type="dxa" w:w="2952"/>
            <w:tcMar>
              <w:top w:w="65" w:type="dxa"/>
              <w:start w:w="85" w:type="dxa"/>
              <w:bottom w:w="65" w:type="dxa"/>
              <w:end w:w="85" w:type="dxa"/>
            </w:tcMar>
            <w:vAlign w:val="top"/>
          </w:tcPr>
          <w:p>
            <w:r>
              <w:rPr>
                <w:sz w:val="14"/>
              </w:rPr>
              <w:t>Azure Key Vault / Managed HSM</w:t>
            </w:r>
          </w:p>
        </w:tc>
        <w:tc>
          <w:tcPr>
            <w:tcW w:type="dxa" w:w="4824"/>
            <w:tcMar>
              <w:top w:w="65" w:type="dxa"/>
              <w:start w:w="85" w:type="dxa"/>
              <w:bottom w:w="65" w:type="dxa"/>
              <w:end w:w="85" w:type="dxa"/>
            </w:tcMar>
            <w:vAlign w:val="top"/>
          </w:tcPr>
          <w:p>
            <w:r>
              <w:rPr>
                <w:sz w:val="14"/>
              </w:rPr>
              <w:t>Protect cryptographic material and application secrets.</w:t>
            </w:r>
          </w:p>
        </w:tc>
      </w:tr>
      <w:tr>
        <w:trPr>
          <w:cantSplit/>
        </w:trPr>
        <w:tc>
          <w:tcPr>
            <w:tcW w:type="dxa" w:w="2232"/>
            <w:tcMar>
              <w:top w:w="65" w:type="dxa"/>
              <w:start w:w="85" w:type="dxa"/>
              <w:bottom w:w="65" w:type="dxa"/>
              <w:end w:w="85" w:type="dxa"/>
            </w:tcMar>
            <w:vAlign w:val="top"/>
          </w:tcPr>
          <w:p>
            <w:r>
              <w:rPr>
                <w:sz w:val="14"/>
              </w:rPr>
              <w:t>Governance</w:t>
            </w:r>
          </w:p>
        </w:tc>
        <w:tc>
          <w:tcPr>
            <w:tcW w:type="dxa" w:w="2952"/>
            <w:tcMar>
              <w:top w:w="65" w:type="dxa"/>
              <w:start w:w="85" w:type="dxa"/>
              <w:bottom w:w="65" w:type="dxa"/>
              <w:end w:w="85" w:type="dxa"/>
            </w:tcMar>
            <w:vAlign w:val="top"/>
          </w:tcPr>
          <w:p>
            <w:r>
              <w:rPr>
                <w:sz w:val="14"/>
              </w:rPr>
              <w:t>Azure Policy</w:t>
            </w:r>
          </w:p>
        </w:tc>
        <w:tc>
          <w:tcPr>
            <w:tcW w:type="dxa" w:w="4824"/>
            <w:tcMar>
              <w:top w:w="65" w:type="dxa"/>
              <w:start w:w="85" w:type="dxa"/>
              <w:bottom w:w="65" w:type="dxa"/>
              <w:end w:w="85" w:type="dxa"/>
            </w:tcMar>
            <w:vAlign w:val="top"/>
          </w:tcPr>
          <w:p>
            <w:r>
              <w:rPr>
                <w:sz w:val="14"/>
              </w:rPr>
              <w:t>Enforce or audit resource standards.</w:t>
            </w:r>
          </w:p>
        </w:tc>
      </w:tr>
      <w:tr>
        <w:trPr>
          <w:cantSplit/>
        </w:trPr>
        <w:tc>
          <w:tcPr>
            <w:tcW w:type="dxa" w:w="2232"/>
            <w:tcMar>
              <w:top w:w="65" w:type="dxa"/>
              <w:start w:w="85" w:type="dxa"/>
              <w:bottom w:w="65" w:type="dxa"/>
              <w:end w:w="85" w:type="dxa"/>
            </w:tcMar>
            <w:vAlign w:val="top"/>
          </w:tcPr>
          <w:p>
            <w:r>
              <w:rPr>
                <w:sz w:val="14"/>
              </w:rPr>
              <w:t>Network security</w:t>
            </w:r>
          </w:p>
        </w:tc>
        <w:tc>
          <w:tcPr>
            <w:tcW w:type="dxa" w:w="2952"/>
            <w:tcMar>
              <w:top w:w="65" w:type="dxa"/>
              <w:start w:w="85" w:type="dxa"/>
              <w:bottom w:w="65" w:type="dxa"/>
              <w:end w:w="85" w:type="dxa"/>
            </w:tcMar>
            <w:vAlign w:val="top"/>
          </w:tcPr>
          <w:p>
            <w:r>
              <w:rPr>
                <w:sz w:val="14"/>
              </w:rPr>
              <w:t>Azure Firewall / WAF / DDoS Protection</w:t>
            </w:r>
          </w:p>
        </w:tc>
        <w:tc>
          <w:tcPr>
            <w:tcW w:type="dxa" w:w="4824"/>
            <w:tcMar>
              <w:top w:w="65" w:type="dxa"/>
              <w:start w:w="85" w:type="dxa"/>
              <w:bottom w:w="65" w:type="dxa"/>
              <w:end w:w="85" w:type="dxa"/>
            </w:tcMar>
            <w:vAlign w:val="top"/>
          </w:tcPr>
          <w:p>
            <w:r>
              <w:rPr>
                <w:sz w:val="14"/>
              </w:rPr>
              <w:t>Protect network and application edges.</w:t>
            </w:r>
          </w:p>
        </w:tc>
      </w:tr>
      <w:tr>
        <w:trPr>
          <w:cantSplit/>
        </w:trPr>
        <w:tc>
          <w:tcPr>
            <w:tcW w:type="dxa" w:w="2232"/>
            <w:tcMar>
              <w:top w:w="65" w:type="dxa"/>
              <w:start w:w="85" w:type="dxa"/>
              <w:bottom w:w="65" w:type="dxa"/>
              <w:end w:w="85" w:type="dxa"/>
            </w:tcMar>
            <w:vAlign w:val="top"/>
          </w:tcPr>
          <w:p>
            <w:r>
              <w:rPr>
                <w:sz w:val="14"/>
              </w:rPr>
              <w:t>Exposure</w:t>
            </w:r>
          </w:p>
        </w:tc>
        <w:tc>
          <w:tcPr>
            <w:tcW w:type="dxa" w:w="2952"/>
            <w:tcMar>
              <w:top w:w="65" w:type="dxa"/>
              <w:start w:w="85" w:type="dxa"/>
              <w:bottom w:w="65" w:type="dxa"/>
              <w:end w:w="85" w:type="dxa"/>
            </w:tcMar>
            <w:vAlign w:val="top"/>
          </w:tcPr>
          <w:p>
            <w:r>
              <w:rPr>
                <w:sz w:val="14"/>
              </w:rPr>
              <w:t>Defender External Attack Surface Management</w:t>
            </w:r>
          </w:p>
        </w:tc>
        <w:tc>
          <w:tcPr>
            <w:tcW w:type="dxa" w:w="4824"/>
            <w:tcMar>
              <w:top w:w="65" w:type="dxa"/>
              <w:start w:w="85" w:type="dxa"/>
              <w:bottom w:w="65" w:type="dxa"/>
              <w:end w:w="85" w:type="dxa"/>
            </w:tcMar>
            <w:vAlign w:val="top"/>
          </w:tcPr>
          <w:p>
            <w:r>
              <w:rPr>
                <w:sz w:val="14"/>
              </w:rPr>
              <w:t>Discover externally visible assets.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key vault, encryption and secret governance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security_operations:</w:t>
              <w:br/>
              <w:t xml:space="preserve">  policy: initiative_assignments_at_management_group</w:t>
              <w:br/>
              <w:t xml:space="preserve">  defender: enabled_by_workload_risk</w:t>
              <w:br/>
              <w:t xml:space="preserve">  sentinel: central_workspace_with_data_governance</w:t>
              <w:br/>
              <w:t xml:space="preserve">  key_vault: purge_protection_and_private_endpoint</w:t>
              <w:br/>
              <w:t xml:space="preserve">  response:</w:t>
              <w:br/>
              <w:t xml:space="preserve">    high_severity: isolate_identity_or_resource</w:t>
              <w:br/>
              <w:t xml:space="preserve">    evidence: activity_logs_and_sentinel_timeline</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security, defender and sentinel operations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26: Build an Azure Security Posture and Incident Workflow</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security, defender and sentinel operations using fictional enterprise requirements.</w:t>
      </w:r>
    </w:p>
    <w:p>
      <w:pPr>
        <w:ind w:left="360" w:hanging="360"/>
      </w:pPr>
      <w:r>
        <w:rPr>
          <w:b/>
        </w:rPr>
        <w:t xml:space="preserve">2. </w:t>
      </w:r>
      <w:r>
        <w:t>Implement the smallest safe sandbox using Microsoft Defender for Cloud, Microsoft Sentinel, Azure Key Vault / Managed HSM;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Security, Defender and Sentinel Operations?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Defender for Cloud posture and workload protection defines a key architecture boundary.</w:t>
      </w:r>
    </w:p>
    <w:p>
      <w:pPr>
        <w:pStyle w:val="ListBullet"/>
      </w:pPr>
      <w:r>
        <w:t>Microsoft Sentinel analytics and response must be automated and least-privileged.</w:t>
      </w:r>
    </w:p>
    <w:p>
      <w:pPr>
        <w:pStyle w:val="ListBullet"/>
      </w:pPr>
      <w:r>
        <w:t>Key Vault, encryption and secret governance requires policy, telemetry and recovery evidence.</w:t>
      </w:r>
    </w:p>
    <w:p>
      <w:pPr>
        <w:pStyle w:val="ListBullet"/>
      </w:pPr>
      <w:r>
        <w:t>Azure Firewall, WAF, DDoS and policy controls should be tested before production and after material change.</w:t>
      </w:r>
    </w:p>
    <w:p>
      <w:r>
        <w:br w:type="page"/>
      </w:r>
    </w:p>
    <w:p>
      <w:pPr>
        <w:jc w:val="center"/>
      </w:pPr>
      <w:r>
        <w:rPr>
          <w:b/>
          <w:color w:val="14919B"/>
          <w:sz w:val="17"/>
        </w:rPr>
        <w:t>VOLUME 12C  |  CHAPTER 27</w:t>
      </w:r>
    </w:p>
    <w:p>
      <w:pPr>
        <w:pStyle w:val="Heading1"/>
        <w:jc w:val="center"/>
      </w:pPr>
      <w:r>
        <w:t>Chapter 27: Azure Reliability, Global Traffic and Disaster Recovery</w:t>
      </w:r>
    </w:p>
    <w:p>
      <w:pPr>
        <w:jc w:val="center"/>
      </w:pPr>
      <w:r>
        <w:rPr>
          <w:i/>
          <w:color w:val="4B5563"/>
          <w:sz w:val="20"/>
        </w:rPr>
        <w:t>Using zones, paired regions and tested recovery patterns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availability features have service-specific behavior. The architecture must model dependency failure, data replication, traffic control and failback, not only select a secondary region.</w:t>
            </w:r>
          </w:p>
        </w:tc>
      </w:tr>
    </w:tbl>
    <w:p>
      <w:pPr>
        <w:spacing w:after="0"/>
      </w:pPr>
    </w:p>
    <w:p>
      <w:pPr>
        <w:pStyle w:val="Heading2"/>
        <w:keepNext/>
      </w:pPr>
      <w:r>
        <w:t>Learning Objectives</w:t>
      </w:r>
    </w:p>
    <w:p>
      <w:pPr>
        <w:pStyle w:val="ListBullet"/>
      </w:pPr>
      <w:r>
        <w:t>Explain the architecture, responsibility boundaries and major trade-offs of availability zones and zone-redundant services.</w:t>
      </w:r>
    </w:p>
    <w:p>
      <w:pPr>
        <w:pStyle w:val="ListBullet"/>
      </w:pPr>
      <w:r>
        <w:t>Design azure front door, traffic manager and global routing for enterprise scale, least privilege and bounded failure.</w:t>
      </w:r>
    </w:p>
    <w:p>
      <w:pPr>
        <w:pStyle w:val="ListBullet"/>
      </w:pPr>
      <w:r>
        <w:t>Implement azure site recovery and backup-based recovery through version-controlled automation and policy checks.</w:t>
      </w:r>
    </w:p>
    <w:p>
      <w:pPr>
        <w:pStyle w:val="ListBullet"/>
      </w:pPr>
      <w:r>
        <w:t>Troubleshoot multi-region data and dependency design using provider-native telemetry and repeatable evidence.</w:t>
      </w:r>
    </w:p>
    <w:p>
      <w:pPr>
        <w:pStyle w:val="ListBullet"/>
      </w:pPr>
      <w:r>
        <w:t>Deliver a sanitized portfolio artifact for run an azure regional failover and failback exercise.</w:t>
      </w:r>
    </w:p>
    <w:p>
      <w:pPr>
        <w:pStyle w:val="Heading2"/>
        <w:keepNext/>
      </w:pPr>
      <w:r>
        <w:t>Core Concepts</w:t>
      </w:r>
    </w:p>
    <w:p>
      <w:pPr>
        <w:pStyle w:val="Heading3"/>
        <w:keepNext/>
      </w:pPr>
      <w:r>
        <w:t>Availability zones and zone-redundant services</w:t>
      </w:r>
    </w:p>
    <w:p>
      <w:pPr>
        <w:keepNext w:val="0"/>
      </w:pPr>
      <w:r>
        <w:t>Availability zones and zone-redundant services is a design boundary, not merely a console feature. In Azure Reliability, Global Traffic and Disaster Recovery, the team must document ownership, trust assumptions, dependency direction, failure impact and the evidence used to prove the control. The recommended implementation uses Availability Zones, Azure Front Door, Traffic Manager, Azure Site Recovery only where they satisfy an explicit requirement; equivalent services are not automatically interchangeable.</w:t>
      </w:r>
    </w:p>
    <w:p>
      <w:pPr>
        <w:pStyle w:val="Heading3"/>
        <w:keepNext/>
      </w:pPr>
      <w:r>
        <w:t>Azure Front Door, Traffic Manager and global routing</w:t>
      </w:r>
    </w:p>
    <w:p>
      <w:pPr>
        <w:keepNext w:val="0"/>
      </w:pPr>
      <w:r>
        <w:t>A production implementation of Azure Front Door, Traffic Manager and global routing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Azure Site Recovery and backup-based recovery</w:t>
      </w:r>
    </w:p>
    <w:p>
      <w:pPr>
        <w:keepNext w:val="0"/>
      </w:pPr>
      <w:r>
        <w:t>For Azure Site Recovery and backup-based recovery,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Multi-region data and dependency design</w:t>
      </w:r>
    </w:p>
    <w:p>
      <w:pPr>
        <w:keepNext w:val="0"/>
      </w:pPr>
      <w:r>
        <w:t>The strongest validation for Multi-region data and dependency design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Zonal resilience</w:t>
            </w:r>
          </w:p>
        </w:tc>
        <w:tc>
          <w:tcPr>
            <w:tcW w:type="dxa" w:w="2952"/>
            <w:tcMar>
              <w:top w:w="65" w:type="dxa"/>
              <w:start w:w="85" w:type="dxa"/>
              <w:bottom w:w="65" w:type="dxa"/>
              <w:end w:w="85" w:type="dxa"/>
            </w:tcMar>
            <w:vAlign w:val="top"/>
          </w:tcPr>
          <w:p>
            <w:r>
              <w:rPr>
                <w:sz w:val="14"/>
              </w:rPr>
              <w:t>Availability Zones</w:t>
            </w:r>
          </w:p>
        </w:tc>
        <w:tc>
          <w:tcPr>
            <w:tcW w:type="dxa" w:w="4824"/>
            <w:tcMar>
              <w:top w:w="65" w:type="dxa"/>
              <w:start w:w="85" w:type="dxa"/>
              <w:bottom w:w="65" w:type="dxa"/>
              <w:end w:w="85" w:type="dxa"/>
            </w:tcMar>
            <w:vAlign w:val="top"/>
          </w:tcPr>
          <w:p>
            <w:r>
              <w:rPr>
                <w:sz w:val="14"/>
              </w:rPr>
              <w:t>Distribute supported resources across datacenter zones.</w:t>
            </w:r>
          </w:p>
        </w:tc>
      </w:tr>
      <w:tr>
        <w:trPr>
          <w:cantSplit/>
        </w:trPr>
        <w:tc>
          <w:tcPr>
            <w:tcW w:type="dxa" w:w="2232"/>
            <w:tcMar>
              <w:top w:w="65" w:type="dxa"/>
              <w:start w:w="85" w:type="dxa"/>
              <w:bottom w:w="65" w:type="dxa"/>
              <w:end w:w="85" w:type="dxa"/>
            </w:tcMar>
            <w:vAlign w:val="top"/>
          </w:tcPr>
          <w:p>
            <w:r>
              <w:rPr>
                <w:sz w:val="14"/>
              </w:rPr>
              <w:t>Global HTTP</w:t>
            </w:r>
          </w:p>
        </w:tc>
        <w:tc>
          <w:tcPr>
            <w:tcW w:type="dxa" w:w="2952"/>
            <w:tcMar>
              <w:top w:w="65" w:type="dxa"/>
              <w:start w:w="85" w:type="dxa"/>
              <w:bottom w:w="65" w:type="dxa"/>
              <w:end w:w="85" w:type="dxa"/>
            </w:tcMar>
            <w:vAlign w:val="top"/>
          </w:tcPr>
          <w:p>
            <w:r>
              <w:rPr>
                <w:sz w:val="14"/>
              </w:rPr>
              <w:t>Azure Front Door</w:t>
            </w:r>
          </w:p>
        </w:tc>
        <w:tc>
          <w:tcPr>
            <w:tcW w:type="dxa" w:w="4824"/>
            <w:tcMar>
              <w:top w:w="65" w:type="dxa"/>
              <w:start w:w="85" w:type="dxa"/>
              <w:bottom w:w="65" w:type="dxa"/>
              <w:end w:w="85" w:type="dxa"/>
            </w:tcMar>
            <w:vAlign w:val="top"/>
          </w:tcPr>
          <w:p>
            <w:r>
              <w:rPr>
                <w:sz w:val="14"/>
              </w:rPr>
              <w:t>Provide global routing, acceleration and web protection.</w:t>
            </w:r>
          </w:p>
        </w:tc>
      </w:tr>
      <w:tr>
        <w:trPr>
          <w:cantSplit/>
        </w:trPr>
        <w:tc>
          <w:tcPr>
            <w:tcW w:type="dxa" w:w="2232"/>
            <w:tcMar>
              <w:top w:w="65" w:type="dxa"/>
              <w:start w:w="85" w:type="dxa"/>
              <w:bottom w:w="65" w:type="dxa"/>
              <w:end w:w="85" w:type="dxa"/>
            </w:tcMar>
            <w:vAlign w:val="top"/>
          </w:tcPr>
          <w:p>
            <w:r>
              <w:rPr>
                <w:sz w:val="14"/>
              </w:rPr>
              <w:t>DNS traffic</w:t>
            </w:r>
          </w:p>
        </w:tc>
        <w:tc>
          <w:tcPr>
            <w:tcW w:type="dxa" w:w="2952"/>
            <w:tcMar>
              <w:top w:w="65" w:type="dxa"/>
              <w:start w:w="85" w:type="dxa"/>
              <w:bottom w:w="65" w:type="dxa"/>
              <w:end w:w="85" w:type="dxa"/>
            </w:tcMar>
            <w:vAlign w:val="top"/>
          </w:tcPr>
          <w:p>
            <w:r>
              <w:rPr>
                <w:sz w:val="14"/>
              </w:rPr>
              <w:t>Traffic Manager</w:t>
            </w:r>
          </w:p>
        </w:tc>
        <w:tc>
          <w:tcPr>
            <w:tcW w:type="dxa" w:w="4824"/>
            <w:tcMar>
              <w:top w:w="65" w:type="dxa"/>
              <w:start w:w="85" w:type="dxa"/>
              <w:bottom w:w="65" w:type="dxa"/>
              <w:end w:w="85" w:type="dxa"/>
            </w:tcMar>
            <w:vAlign w:val="top"/>
          </w:tcPr>
          <w:p>
            <w:r>
              <w:rPr>
                <w:sz w:val="14"/>
              </w:rPr>
              <w:t>Route endpoints using DNS-based policies.</w:t>
            </w:r>
          </w:p>
        </w:tc>
      </w:tr>
      <w:tr>
        <w:trPr>
          <w:cantSplit/>
        </w:trPr>
        <w:tc>
          <w:tcPr>
            <w:tcW w:type="dxa" w:w="2232"/>
            <w:tcMar>
              <w:top w:w="65" w:type="dxa"/>
              <w:start w:w="85" w:type="dxa"/>
              <w:bottom w:w="65" w:type="dxa"/>
              <w:end w:w="85" w:type="dxa"/>
            </w:tcMar>
            <w:vAlign w:val="top"/>
          </w:tcPr>
          <w:p>
            <w:r>
              <w:rPr>
                <w:sz w:val="14"/>
              </w:rPr>
              <w:t>VM recovery</w:t>
            </w:r>
          </w:p>
        </w:tc>
        <w:tc>
          <w:tcPr>
            <w:tcW w:type="dxa" w:w="2952"/>
            <w:tcMar>
              <w:top w:w="65" w:type="dxa"/>
              <w:start w:w="85" w:type="dxa"/>
              <w:bottom w:w="65" w:type="dxa"/>
              <w:end w:w="85" w:type="dxa"/>
            </w:tcMar>
            <w:vAlign w:val="top"/>
          </w:tcPr>
          <w:p>
            <w:r>
              <w:rPr>
                <w:sz w:val="14"/>
              </w:rPr>
              <w:t>Azure Site Recovery</w:t>
            </w:r>
          </w:p>
        </w:tc>
        <w:tc>
          <w:tcPr>
            <w:tcW w:type="dxa" w:w="4824"/>
            <w:tcMar>
              <w:top w:w="65" w:type="dxa"/>
              <w:start w:w="85" w:type="dxa"/>
              <w:bottom w:w="65" w:type="dxa"/>
              <w:end w:w="85" w:type="dxa"/>
            </w:tcMar>
            <w:vAlign w:val="top"/>
          </w:tcPr>
          <w:p>
            <w:r>
              <w:rPr>
                <w:sz w:val="14"/>
              </w:rPr>
              <w:t>Replicate and orchestrate supported server failover.</w:t>
            </w:r>
          </w:p>
        </w:tc>
      </w:tr>
      <w:tr>
        <w:trPr>
          <w:cantSplit/>
        </w:trPr>
        <w:tc>
          <w:tcPr>
            <w:tcW w:type="dxa" w:w="2232"/>
            <w:tcMar>
              <w:top w:w="65" w:type="dxa"/>
              <w:start w:w="85" w:type="dxa"/>
              <w:bottom w:w="65" w:type="dxa"/>
              <w:end w:w="85" w:type="dxa"/>
            </w:tcMar>
            <w:vAlign w:val="top"/>
          </w:tcPr>
          <w:p>
            <w:r>
              <w:rPr>
                <w:sz w:val="14"/>
              </w:rPr>
              <w:t>Backup</w:t>
            </w:r>
          </w:p>
        </w:tc>
        <w:tc>
          <w:tcPr>
            <w:tcW w:type="dxa" w:w="2952"/>
            <w:tcMar>
              <w:top w:w="65" w:type="dxa"/>
              <w:start w:w="85" w:type="dxa"/>
              <w:bottom w:w="65" w:type="dxa"/>
              <w:end w:w="85" w:type="dxa"/>
            </w:tcMar>
            <w:vAlign w:val="top"/>
          </w:tcPr>
          <w:p>
            <w:r>
              <w:rPr>
                <w:sz w:val="14"/>
              </w:rPr>
              <w:t>Recovery Services vault / Backup vault</w:t>
            </w:r>
          </w:p>
        </w:tc>
        <w:tc>
          <w:tcPr>
            <w:tcW w:type="dxa" w:w="4824"/>
            <w:tcMar>
              <w:top w:w="65" w:type="dxa"/>
              <w:start w:w="85" w:type="dxa"/>
              <w:bottom w:w="65" w:type="dxa"/>
              <w:end w:w="85" w:type="dxa"/>
            </w:tcMar>
            <w:vAlign w:val="top"/>
          </w:tcPr>
          <w:p>
            <w:r>
              <w:rPr>
                <w:sz w:val="14"/>
              </w:rPr>
              <w:t>Retain and restore protected data.</w:t>
            </w:r>
          </w:p>
        </w:tc>
      </w:tr>
      <w:tr>
        <w:trPr>
          <w:cantSplit/>
        </w:trPr>
        <w:tc>
          <w:tcPr>
            <w:tcW w:type="dxa" w:w="2232"/>
            <w:tcMar>
              <w:top w:w="65" w:type="dxa"/>
              <w:start w:w="85" w:type="dxa"/>
              <w:bottom w:w="65" w:type="dxa"/>
              <w:end w:w="85" w:type="dxa"/>
            </w:tcMar>
            <w:vAlign w:val="top"/>
          </w:tcPr>
          <w:p>
            <w:r>
              <w:rPr>
                <w:sz w:val="14"/>
              </w:rPr>
              <w:t>Database continuity</w:t>
            </w:r>
          </w:p>
        </w:tc>
        <w:tc>
          <w:tcPr>
            <w:tcW w:type="dxa" w:w="2952"/>
            <w:tcMar>
              <w:top w:w="65" w:type="dxa"/>
              <w:start w:w="85" w:type="dxa"/>
              <w:bottom w:w="65" w:type="dxa"/>
              <w:end w:w="85" w:type="dxa"/>
            </w:tcMar>
            <w:vAlign w:val="top"/>
          </w:tcPr>
          <w:p>
            <w:r>
              <w:rPr>
                <w:sz w:val="14"/>
              </w:rPr>
              <w:t>Geo-replication / failover groups</w:t>
            </w:r>
          </w:p>
        </w:tc>
        <w:tc>
          <w:tcPr>
            <w:tcW w:type="dxa" w:w="4824"/>
            <w:tcMar>
              <w:top w:w="65" w:type="dxa"/>
              <w:start w:w="85" w:type="dxa"/>
              <w:bottom w:w="65" w:type="dxa"/>
              <w:end w:w="85" w:type="dxa"/>
            </w:tcMar>
            <w:vAlign w:val="top"/>
          </w:tcPr>
          <w:p>
            <w:r>
              <w:rPr>
                <w:sz w:val="14"/>
              </w:rPr>
              <w:t>Recover supported data services across regions.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azure site recovery and backup-based recovery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recovery_tiers:</w:t>
              <w:br/>
              <w:t xml:space="preserve">  mission_critical: active_active_or_active_passive_multi_region</w:t>
              <w:br/>
              <w:t xml:space="preserve">  business_critical: warm_standby_with_geo_replication</w:t>
              <w:br/>
              <w:t xml:space="preserve">  standard: backup_restore</w:t>
              <w:br/>
              <w:t>runbook:</w:t>
              <w:br/>
              <w:t xml:space="preserve">  - declare_incident</w:t>
              <w:br/>
              <w:t xml:space="preserve">  - validate_secondary_dependencies</w:t>
              <w:br/>
              <w:t xml:space="preserve">  - fail_data_then_application_then_traffic</w:t>
              <w:br/>
              <w:t xml:space="preserve">  - verify_integrity</w:t>
              <w:br/>
              <w:t xml:space="preserve">  - controlled_failback</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reliability, global traffic and disaster recovery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27: Run an Azure Regional Failover and Failback Exercise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reliability, global traffic and disaster recovery using fictional enterprise requirements.</w:t>
      </w:r>
    </w:p>
    <w:p>
      <w:pPr>
        <w:ind w:left="360" w:hanging="360"/>
      </w:pPr>
      <w:r>
        <w:rPr>
          <w:b/>
        </w:rPr>
        <w:t xml:space="preserve">2. </w:t>
      </w:r>
      <w:r>
        <w:t>Implement the smallest safe sandbox using Availability Zones, Azure Front Door, Traffic Manager;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Reliability, Global Traffic and Disaster Recovery?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Availability zones and zone-redundant services defines a key architecture boundary.</w:t>
      </w:r>
    </w:p>
    <w:p>
      <w:pPr>
        <w:pStyle w:val="ListBullet"/>
      </w:pPr>
      <w:r>
        <w:t>Azure Front Door, Traffic Manager and global routing must be automated and least-privileged.</w:t>
      </w:r>
    </w:p>
    <w:p>
      <w:pPr>
        <w:pStyle w:val="ListBullet"/>
      </w:pPr>
      <w:r>
        <w:t>Azure Site Recovery and backup-based recovery requires policy, telemetry and recovery evidence.</w:t>
      </w:r>
    </w:p>
    <w:p>
      <w:pPr>
        <w:pStyle w:val="ListBullet"/>
      </w:pPr>
      <w:r>
        <w:t>Multi-region data and dependency design should be tested before production and after material change.</w:t>
      </w:r>
    </w:p>
    <w:p>
      <w:r>
        <w:br w:type="page"/>
      </w:r>
    </w:p>
    <w:p>
      <w:pPr>
        <w:jc w:val="center"/>
      </w:pPr>
      <w:r>
        <w:rPr>
          <w:b/>
          <w:color w:val="14919B"/>
          <w:sz w:val="17"/>
        </w:rPr>
        <w:t>VOLUME 12C  |  CHAPTER 28</w:t>
      </w:r>
    </w:p>
    <w:p>
      <w:pPr>
        <w:pStyle w:val="Heading1"/>
        <w:jc w:val="center"/>
      </w:pPr>
      <w:r>
        <w:t>Chapter 28: Azure Monitor, Application Insights and Hybrid Operations</w:t>
      </w:r>
    </w:p>
    <w:p>
      <w:pPr>
        <w:jc w:val="center"/>
      </w:pPr>
      <w:r>
        <w:rPr>
          <w:i/>
          <w:color w:val="4B5563"/>
          <w:sz w:val="20"/>
        </w:rPr>
        <w:t>Building operational visibility across Azure and connected infrastructure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Logs, metrics, traces, resource health and change data must be correlated into actionable operational views. Collection design also needs retention and cost governance.</w:t>
            </w:r>
          </w:p>
        </w:tc>
      </w:tr>
    </w:tbl>
    <w:p>
      <w:pPr>
        <w:spacing w:after="0"/>
      </w:pPr>
    </w:p>
    <w:p>
      <w:pPr>
        <w:pStyle w:val="Heading2"/>
        <w:keepNext/>
      </w:pPr>
      <w:r>
        <w:t>Learning Objectives</w:t>
      </w:r>
    </w:p>
    <w:p>
      <w:pPr>
        <w:pStyle w:val="ListBullet"/>
      </w:pPr>
      <w:r>
        <w:t>Explain the architecture, responsibility boundaries and major trade-offs of azure monitor metrics and log analytics.</w:t>
      </w:r>
    </w:p>
    <w:p>
      <w:pPr>
        <w:pStyle w:val="ListBullet"/>
      </w:pPr>
      <w:r>
        <w:t>Design application insights and opentelemetry for enterprise scale, least privilege and bounded failure.</w:t>
      </w:r>
    </w:p>
    <w:p>
      <w:pPr>
        <w:pStyle w:val="ListBullet"/>
      </w:pPr>
      <w:r>
        <w:t>Implement azure arc and hybrid inventory through version-controlled automation and policy checks.</w:t>
      </w:r>
    </w:p>
    <w:p>
      <w:pPr>
        <w:pStyle w:val="ListBullet"/>
      </w:pPr>
      <w:r>
        <w:t>Troubleshoot automation, update management and incident evidence using provider-native telemetry and repeatable evidence.</w:t>
      </w:r>
    </w:p>
    <w:p>
      <w:pPr>
        <w:pStyle w:val="ListBullet"/>
      </w:pPr>
      <w:r>
        <w:t>Deliver a sanitized portfolio artifact for create an azure operations workbook and incident investigation.</w:t>
      </w:r>
    </w:p>
    <w:p>
      <w:pPr>
        <w:pStyle w:val="Heading2"/>
        <w:keepNext/>
      </w:pPr>
      <w:r>
        <w:t>Core Concepts</w:t>
      </w:r>
    </w:p>
    <w:p>
      <w:pPr>
        <w:pStyle w:val="Heading3"/>
        <w:keepNext/>
      </w:pPr>
      <w:r>
        <w:t>Azure Monitor metrics and Log Analytics</w:t>
      </w:r>
    </w:p>
    <w:p>
      <w:pPr>
        <w:keepNext w:val="0"/>
      </w:pPr>
      <w:r>
        <w:t>Azure Monitor metrics and Log Analytics is a design boundary, not merely a console feature. In Azure Monitor, Application Insights and Hybrid Operations, the team must document ownership, trust assumptions, dependency direction, failure impact and the evidence used to prove the control. The recommended implementation uses Azure Monitor Metrics, Log Analytics workspaces, Application Insights, Azure Arc-enabled servers / Kubernetes only where they satisfy an explicit requirement; equivalent services are not automatically interchangeable.</w:t>
      </w:r>
    </w:p>
    <w:p>
      <w:pPr>
        <w:pStyle w:val="Heading3"/>
        <w:keepNext/>
      </w:pPr>
      <w:r>
        <w:t>Application Insights and OpenTelemetry</w:t>
      </w:r>
    </w:p>
    <w:p>
      <w:pPr>
        <w:keepNext w:val="0"/>
      </w:pPr>
      <w:r>
        <w:t>A production implementation of Application Insights and OpenTelemetry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Azure Arc and hybrid inventory</w:t>
      </w:r>
    </w:p>
    <w:p>
      <w:pPr>
        <w:keepNext w:val="0"/>
      </w:pPr>
      <w:r>
        <w:t>For Azure Arc and hybrid inventory,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Automation, update management and incident evidence</w:t>
      </w:r>
    </w:p>
    <w:p>
      <w:pPr>
        <w:keepNext w:val="0"/>
      </w:pPr>
      <w:r>
        <w:t>The strongest validation for Automation, update management and incident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Metrics</w:t>
            </w:r>
          </w:p>
        </w:tc>
        <w:tc>
          <w:tcPr>
            <w:tcW w:type="dxa" w:w="2952"/>
            <w:tcMar>
              <w:top w:w="65" w:type="dxa"/>
              <w:start w:w="85" w:type="dxa"/>
              <w:bottom w:w="65" w:type="dxa"/>
              <w:end w:w="85" w:type="dxa"/>
            </w:tcMar>
            <w:vAlign w:val="top"/>
          </w:tcPr>
          <w:p>
            <w:r>
              <w:rPr>
                <w:sz w:val="14"/>
              </w:rPr>
              <w:t>Azure Monitor Metrics</w:t>
            </w:r>
          </w:p>
        </w:tc>
        <w:tc>
          <w:tcPr>
            <w:tcW w:type="dxa" w:w="4824"/>
            <w:tcMar>
              <w:top w:w="65" w:type="dxa"/>
              <w:start w:w="85" w:type="dxa"/>
              <w:bottom w:w="65" w:type="dxa"/>
              <w:end w:w="85" w:type="dxa"/>
            </w:tcMar>
            <w:vAlign w:val="top"/>
          </w:tcPr>
          <w:p>
            <w:r>
              <w:rPr>
                <w:sz w:val="14"/>
              </w:rPr>
              <w:t>Collect platform and custom metrics.</w:t>
            </w:r>
          </w:p>
        </w:tc>
      </w:tr>
      <w:tr>
        <w:trPr>
          <w:cantSplit/>
        </w:trPr>
        <w:tc>
          <w:tcPr>
            <w:tcW w:type="dxa" w:w="2232"/>
            <w:tcMar>
              <w:top w:w="65" w:type="dxa"/>
              <w:start w:w="85" w:type="dxa"/>
              <w:bottom w:w="65" w:type="dxa"/>
              <w:end w:w="85" w:type="dxa"/>
            </w:tcMar>
            <w:vAlign w:val="top"/>
          </w:tcPr>
          <w:p>
            <w:r>
              <w:rPr>
                <w:sz w:val="14"/>
              </w:rPr>
              <w:t>Logs</w:t>
            </w:r>
          </w:p>
        </w:tc>
        <w:tc>
          <w:tcPr>
            <w:tcW w:type="dxa" w:w="2952"/>
            <w:tcMar>
              <w:top w:w="65" w:type="dxa"/>
              <w:start w:w="85" w:type="dxa"/>
              <w:bottom w:w="65" w:type="dxa"/>
              <w:end w:w="85" w:type="dxa"/>
            </w:tcMar>
            <w:vAlign w:val="top"/>
          </w:tcPr>
          <w:p>
            <w:r>
              <w:rPr>
                <w:sz w:val="14"/>
              </w:rPr>
              <w:t>Log Analytics workspaces</w:t>
            </w:r>
          </w:p>
        </w:tc>
        <w:tc>
          <w:tcPr>
            <w:tcW w:type="dxa" w:w="4824"/>
            <w:tcMar>
              <w:top w:w="65" w:type="dxa"/>
              <w:start w:w="85" w:type="dxa"/>
              <w:bottom w:w="65" w:type="dxa"/>
              <w:end w:w="85" w:type="dxa"/>
            </w:tcMar>
            <w:vAlign w:val="top"/>
          </w:tcPr>
          <w:p>
            <w:r>
              <w:rPr>
                <w:sz w:val="14"/>
              </w:rPr>
              <w:t>Query resource and application logs.</w:t>
            </w:r>
          </w:p>
        </w:tc>
      </w:tr>
      <w:tr>
        <w:trPr>
          <w:cantSplit/>
        </w:trPr>
        <w:tc>
          <w:tcPr>
            <w:tcW w:type="dxa" w:w="2232"/>
            <w:tcMar>
              <w:top w:w="65" w:type="dxa"/>
              <w:start w:w="85" w:type="dxa"/>
              <w:bottom w:w="65" w:type="dxa"/>
              <w:end w:w="85" w:type="dxa"/>
            </w:tcMar>
            <w:vAlign w:val="top"/>
          </w:tcPr>
          <w:p>
            <w:r>
              <w:rPr>
                <w:sz w:val="14"/>
              </w:rPr>
              <w:t>APM</w:t>
            </w:r>
          </w:p>
        </w:tc>
        <w:tc>
          <w:tcPr>
            <w:tcW w:type="dxa" w:w="2952"/>
            <w:tcMar>
              <w:top w:w="65" w:type="dxa"/>
              <w:start w:w="85" w:type="dxa"/>
              <w:bottom w:w="65" w:type="dxa"/>
              <w:end w:w="85" w:type="dxa"/>
            </w:tcMar>
            <w:vAlign w:val="top"/>
          </w:tcPr>
          <w:p>
            <w:r>
              <w:rPr>
                <w:sz w:val="14"/>
              </w:rPr>
              <w:t>Application Insights</w:t>
            </w:r>
          </w:p>
        </w:tc>
        <w:tc>
          <w:tcPr>
            <w:tcW w:type="dxa" w:w="4824"/>
            <w:tcMar>
              <w:top w:w="65" w:type="dxa"/>
              <w:start w:w="85" w:type="dxa"/>
              <w:bottom w:w="65" w:type="dxa"/>
              <w:end w:w="85" w:type="dxa"/>
            </w:tcMar>
            <w:vAlign w:val="top"/>
          </w:tcPr>
          <w:p>
            <w:r>
              <w:rPr>
                <w:sz w:val="14"/>
              </w:rPr>
              <w:t>Monitor application dependencies, traces and failures.</w:t>
            </w:r>
          </w:p>
        </w:tc>
      </w:tr>
      <w:tr>
        <w:trPr>
          <w:cantSplit/>
        </w:trPr>
        <w:tc>
          <w:tcPr>
            <w:tcW w:type="dxa" w:w="2232"/>
            <w:tcMar>
              <w:top w:w="65" w:type="dxa"/>
              <w:start w:w="85" w:type="dxa"/>
              <w:bottom w:w="65" w:type="dxa"/>
              <w:end w:w="85" w:type="dxa"/>
            </w:tcMar>
            <w:vAlign w:val="top"/>
          </w:tcPr>
          <w:p>
            <w:r>
              <w:rPr>
                <w:sz w:val="14"/>
              </w:rPr>
              <w:t>Hybrid</w:t>
            </w:r>
          </w:p>
        </w:tc>
        <w:tc>
          <w:tcPr>
            <w:tcW w:type="dxa" w:w="2952"/>
            <w:tcMar>
              <w:top w:w="65" w:type="dxa"/>
              <w:start w:w="85" w:type="dxa"/>
              <w:bottom w:w="65" w:type="dxa"/>
              <w:end w:w="85" w:type="dxa"/>
            </w:tcMar>
            <w:vAlign w:val="top"/>
          </w:tcPr>
          <w:p>
            <w:r>
              <w:rPr>
                <w:sz w:val="14"/>
              </w:rPr>
              <w:t>Azure Arc-enabled servers / Kubernetes</w:t>
            </w:r>
          </w:p>
        </w:tc>
        <w:tc>
          <w:tcPr>
            <w:tcW w:type="dxa" w:w="4824"/>
            <w:tcMar>
              <w:top w:w="65" w:type="dxa"/>
              <w:start w:w="85" w:type="dxa"/>
              <w:bottom w:w="65" w:type="dxa"/>
              <w:end w:w="85" w:type="dxa"/>
            </w:tcMar>
            <w:vAlign w:val="top"/>
          </w:tcPr>
          <w:p>
            <w:r>
              <w:rPr>
                <w:sz w:val="14"/>
              </w:rPr>
              <w:t>Project external resources into Azure management.</w:t>
            </w:r>
          </w:p>
        </w:tc>
      </w:tr>
      <w:tr>
        <w:trPr>
          <w:cantSplit/>
        </w:trPr>
        <w:tc>
          <w:tcPr>
            <w:tcW w:type="dxa" w:w="2232"/>
            <w:tcMar>
              <w:top w:w="65" w:type="dxa"/>
              <w:start w:w="85" w:type="dxa"/>
              <w:bottom w:w="65" w:type="dxa"/>
              <w:end w:w="85" w:type="dxa"/>
            </w:tcMar>
            <w:vAlign w:val="top"/>
          </w:tcPr>
          <w:p>
            <w:r>
              <w:rPr>
                <w:sz w:val="14"/>
              </w:rPr>
              <w:t>Change</w:t>
            </w:r>
          </w:p>
        </w:tc>
        <w:tc>
          <w:tcPr>
            <w:tcW w:type="dxa" w:w="2952"/>
            <w:tcMar>
              <w:top w:w="65" w:type="dxa"/>
              <w:start w:w="85" w:type="dxa"/>
              <w:bottom w:w="65" w:type="dxa"/>
              <w:end w:w="85" w:type="dxa"/>
            </w:tcMar>
            <w:vAlign w:val="top"/>
          </w:tcPr>
          <w:p>
            <w:r>
              <w:rPr>
                <w:sz w:val="14"/>
              </w:rPr>
              <w:t>Azure Update Manager / Automation</w:t>
            </w:r>
          </w:p>
        </w:tc>
        <w:tc>
          <w:tcPr>
            <w:tcW w:type="dxa" w:w="4824"/>
            <w:tcMar>
              <w:top w:w="65" w:type="dxa"/>
              <w:start w:w="85" w:type="dxa"/>
              <w:bottom w:w="65" w:type="dxa"/>
              <w:end w:w="85" w:type="dxa"/>
            </w:tcMar>
            <w:vAlign w:val="top"/>
          </w:tcPr>
          <w:p>
            <w:r>
              <w:rPr>
                <w:sz w:val="14"/>
              </w:rPr>
              <w:t>Assess and orchestrate supported operational changes.</w:t>
            </w:r>
          </w:p>
        </w:tc>
      </w:tr>
      <w:tr>
        <w:trPr>
          <w:cantSplit/>
        </w:trPr>
        <w:tc>
          <w:tcPr>
            <w:tcW w:type="dxa" w:w="2232"/>
            <w:tcMar>
              <w:top w:w="65" w:type="dxa"/>
              <w:start w:w="85" w:type="dxa"/>
              <w:bottom w:w="65" w:type="dxa"/>
              <w:end w:w="85" w:type="dxa"/>
            </w:tcMar>
            <w:vAlign w:val="top"/>
          </w:tcPr>
          <w:p>
            <w:r>
              <w:rPr>
                <w:sz w:val="14"/>
              </w:rPr>
              <w:t>Health</w:t>
            </w:r>
          </w:p>
        </w:tc>
        <w:tc>
          <w:tcPr>
            <w:tcW w:type="dxa" w:w="2952"/>
            <w:tcMar>
              <w:top w:w="65" w:type="dxa"/>
              <w:start w:w="85" w:type="dxa"/>
              <w:bottom w:w="65" w:type="dxa"/>
              <w:end w:w="85" w:type="dxa"/>
            </w:tcMar>
            <w:vAlign w:val="top"/>
          </w:tcPr>
          <w:p>
            <w:r>
              <w:rPr>
                <w:sz w:val="14"/>
              </w:rPr>
              <w:t>Azure Resource Health / Service Health</w:t>
            </w:r>
          </w:p>
        </w:tc>
        <w:tc>
          <w:tcPr>
            <w:tcW w:type="dxa" w:w="4824"/>
            <w:tcMar>
              <w:top w:w="65" w:type="dxa"/>
              <w:start w:w="85" w:type="dxa"/>
              <w:bottom w:w="65" w:type="dxa"/>
              <w:end w:w="85" w:type="dxa"/>
            </w:tcMar>
            <w:vAlign w:val="top"/>
          </w:tcPr>
          <w:p>
            <w:r>
              <w:rPr>
                <w:sz w:val="14"/>
              </w:rPr>
              <w:t>Detect resource and provider incidents.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azure arc and hybrid inventory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observability:</w:t>
              <w:br/>
              <w:t xml:space="preserve">  workspace_strategy: region_data_residency_and_access</w:t>
              <w:br/>
              <w:t xml:space="preserve">  telemetry: [metrics, logs, traces, activity_logs]</w:t>
              <w:br/>
              <w:t xml:space="preserve">  application: opentelemetry_to_application_insights</w:t>
              <w:br/>
              <w:t xml:space="preserve">  alerts: symptom_based_action_groups</w:t>
              <w:br/>
              <w:t xml:space="preserve">  hybrid_inventory: azure_arc</w:t>
              <w:br/>
              <w:t xml:space="preserve">  retention: per_data_class_and_cost_model</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monitor, application insights and hybrid operations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28: Create an Azure Operations Workbook and Incident Investigation</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monitor, application insights and hybrid operations using fictional enterprise requirements.</w:t>
      </w:r>
    </w:p>
    <w:p>
      <w:pPr>
        <w:ind w:left="360" w:hanging="360"/>
      </w:pPr>
      <w:r>
        <w:rPr>
          <w:b/>
        </w:rPr>
        <w:t xml:space="preserve">2. </w:t>
      </w:r>
      <w:r>
        <w:t>Implement the smallest safe sandbox using Azure Monitor Metrics, Log Analytics workspaces, Application Insights;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Monitor, Application Insights and Hybrid Operations?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Azure Monitor metrics and Log Analytics defines a key architecture boundary.</w:t>
      </w:r>
    </w:p>
    <w:p>
      <w:pPr>
        <w:pStyle w:val="ListBullet"/>
      </w:pPr>
      <w:r>
        <w:t>Application Insights and OpenTelemetry must be automated and least-privileged.</w:t>
      </w:r>
    </w:p>
    <w:p>
      <w:pPr>
        <w:pStyle w:val="ListBullet"/>
      </w:pPr>
      <w:r>
        <w:t>Azure Arc and hybrid inventory requires policy, telemetry and recovery evidence.</w:t>
      </w:r>
    </w:p>
    <w:p>
      <w:pPr>
        <w:pStyle w:val="ListBullet"/>
      </w:pPr>
      <w:r>
        <w:t>Automation, update management and incident evidence should be tested before production and after material change.</w:t>
      </w:r>
    </w:p>
    <w:p>
      <w:r>
        <w:br w:type="page"/>
      </w:r>
    </w:p>
    <w:p>
      <w:pPr>
        <w:jc w:val="center"/>
      </w:pPr>
      <w:r>
        <w:rPr>
          <w:b/>
          <w:color w:val="14919B"/>
          <w:sz w:val="17"/>
        </w:rPr>
        <w:t>VOLUME 12C  |  CHAPTER 29</w:t>
      </w:r>
    </w:p>
    <w:p>
      <w:pPr>
        <w:pStyle w:val="Heading1"/>
        <w:jc w:val="center"/>
      </w:pPr>
      <w:r>
        <w:t>Chapter 29: Azure Cost Management, Governance and FinOps</w:t>
      </w:r>
    </w:p>
    <w:p>
      <w:pPr>
        <w:jc w:val="center"/>
      </w:pPr>
      <w:r>
        <w:rPr>
          <w:i/>
          <w:color w:val="4B5563"/>
          <w:sz w:val="20"/>
        </w:rPr>
        <w:t>Governing subscriptions, commitments and unit cost</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Azure cost management must connect subscription ownership and resource metadata to budgets, anomalies, reservations, savings plans and architecture decisions.</w:t>
            </w:r>
          </w:p>
        </w:tc>
      </w:tr>
    </w:tbl>
    <w:p>
      <w:pPr>
        <w:spacing w:after="0"/>
      </w:pPr>
    </w:p>
    <w:p>
      <w:pPr>
        <w:pStyle w:val="Heading2"/>
        <w:keepNext/>
      </w:pPr>
      <w:r>
        <w:t>Learning Objectives</w:t>
      </w:r>
    </w:p>
    <w:p>
      <w:pPr>
        <w:pStyle w:val="ListBullet"/>
      </w:pPr>
      <w:r>
        <w:t>Explain the architecture, responsibility boundaries and major trade-offs of cost analysis, exports and allocation.</w:t>
      </w:r>
    </w:p>
    <w:p>
      <w:pPr>
        <w:pStyle w:val="ListBullet"/>
      </w:pPr>
      <w:r>
        <w:t>Design budgets, anomaly review and ownership for enterprise scale, least privilege and bounded failure.</w:t>
      </w:r>
    </w:p>
    <w:p>
      <w:pPr>
        <w:pStyle w:val="ListBullet"/>
      </w:pPr>
      <w:r>
        <w:t>Implement reservations and azure savings plan through version-controlled automation and policy checks.</w:t>
      </w:r>
    </w:p>
    <w:p>
      <w:pPr>
        <w:pStyle w:val="ListBullet"/>
      </w:pPr>
      <w:r>
        <w:t>Troubleshoot advisor recommendations and unit economics using provider-native telemetry and repeatable evidence.</w:t>
      </w:r>
    </w:p>
    <w:p>
      <w:pPr>
        <w:pStyle w:val="ListBullet"/>
      </w:pPr>
      <w:r>
        <w:t>Deliver a sanitized portfolio artifact for build an azure cost allocation and commitment review.</w:t>
      </w:r>
    </w:p>
    <w:p>
      <w:pPr>
        <w:pStyle w:val="Heading2"/>
        <w:keepNext/>
      </w:pPr>
      <w:r>
        <w:t>Core Concepts</w:t>
      </w:r>
    </w:p>
    <w:p>
      <w:pPr>
        <w:pStyle w:val="Heading3"/>
        <w:keepNext/>
      </w:pPr>
      <w:r>
        <w:t>Cost analysis, exports and allocation</w:t>
      </w:r>
    </w:p>
    <w:p>
      <w:pPr>
        <w:keepNext w:val="0"/>
      </w:pPr>
      <w:r>
        <w:t>Cost analysis, exports and allocation is a design boundary, not merely a console feature. In Azure Cost Management, Governance and FinOps, the team must document ownership, trust assumptions, dependency direction, failure impact and the evidence used to prove the control. The recommended implementation uses Cost Management + Billing, Budgets / cost alerts, Azure Advisor, Reservations / Azure savings plan for compute only where they satisfy an explicit requirement; equivalent services are not automatically interchangeable.</w:t>
      </w:r>
    </w:p>
    <w:p>
      <w:pPr>
        <w:pStyle w:val="Heading3"/>
        <w:keepNext/>
      </w:pPr>
      <w:r>
        <w:t>Budgets, anomaly review and ownership</w:t>
      </w:r>
    </w:p>
    <w:p>
      <w:pPr>
        <w:keepNext w:val="0"/>
      </w:pPr>
      <w:r>
        <w:t>A production implementation of Budgets, anomaly review and ownership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Reservations and Azure savings plan</w:t>
      </w:r>
    </w:p>
    <w:p>
      <w:pPr>
        <w:keepNext w:val="0"/>
      </w:pPr>
      <w:r>
        <w:t>For Reservations and Azure savings plan,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Advisor recommendations and unit economics</w:t>
      </w:r>
    </w:p>
    <w:p>
      <w:pPr>
        <w:keepNext w:val="0"/>
      </w:pPr>
      <w:r>
        <w:t>The strongest validation for Advisor recommendations and unit economics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Analysis</w:t>
            </w:r>
          </w:p>
        </w:tc>
        <w:tc>
          <w:tcPr>
            <w:tcW w:type="dxa" w:w="2952"/>
            <w:tcMar>
              <w:top w:w="65" w:type="dxa"/>
              <w:start w:w="85" w:type="dxa"/>
              <w:bottom w:w="65" w:type="dxa"/>
              <w:end w:w="85" w:type="dxa"/>
            </w:tcMar>
            <w:vAlign w:val="top"/>
          </w:tcPr>
          <w:p>
            <w:r>
              <w:rPr>
                <w:sz w:val="14"/>
              </w:rPr>
              <w:t>Cost Management + Billing</w:t>
            </w:r>
          </w:p>
        </w:tc>
        <w:tc>
          <w:tcPr>
            <w:tcW w:type="dxa" w:w="4824"/>
            <w:tcMar>
              <w:top w:w="65" w:type="dxa"/>
              <w:start w:w="85" w:type="dxa"/>
              <w:bottom w:w="65" w:type="dxa"/>
              <w:end w:w="85" w:type="dxa"/>
            </w:tcMar>
            <w:vAlign w:val="top"/>
          </w:tcPr>
          <w:p>
            <w:r>
              <w:rPr>
                <w:sz w:val="14"/>
              </w:rPr>
              <w:t>Analyze, export and allocate Azure spend.</w:t>
            </w:r>
          </w:p>
        </w:tc>
      </w:tr>
      <w:tr>
        <w:trPr>
          <w:cantSplit/>
        </w:trPr>
        <w:tc>
          <w:tcPr>
            <w:tcW w:type="dxa" w:w="2232"/>
            <w:tcMar>
              <w:top w:w="65" w:type="dxa"/>
              <w:start w:w="85" w:type="dxa"/>
              <w:bottom w:w="65" w:type="dxa"/>
              <w:end w:w="85" w:type="dxa"/>
            </w:tcMar>
            <w:vAlign w:val="top"/>
          </w:tcPr>
          <w:p>
            <w:r>
              <w:rPr>
                <w:sz w:val="14"/>
              </w:rPr>
              <w:t>Control</w:t>
            </w:r>
          </w:p>
        </w:tc>
        <w:tc>
          <w:tcPr>
            <w:tcW w:type="dxa" w:w="2952"/>
            <w:tcMar>
              <w:top w:w="65" w:type="dxa"/>
              <w:start w:w="85" w:type="dxa"/>
              <w:bottom w:w="65" w:type="dxa"/>
              <w:end w:w="85" w:type="dxa"/>
            </w:tcMar>
            <w:vAlign w:val="top"/>
          </w:tcPr>
          <w:p>
            <w:r>
              <w:rPr>
                <w:sz w:val="14"/>
              </w:rPr>
              <w:t>Budgets / cost alerts</w:t>
            </w:r>
          </w:p>
        </w:tc>
        <w:tc>
          <w:tcPr>
            <w:tcW w:type="dxa" w:w="4824"/>
            <w:tcMar>
              <w:top w:w="65" w:type="dxa"/>
              <w:start w:w="85" w:type="dxa"/>
              <w:bottom w:w="65" w:type="dxa"/>
              <w:end w:w="85" w:type="dxa"/>
            </w:tcMar>
            <w:vAlign w:val="top"/>
          </w:tcPr>
          <w:p>
            <w:r>
              <w:rPr>
                <w:sz w:val="14"/>
              </w:rPr>
              <w:t>Notify accountable owners before thresholds are exceeded.</w:t>
            </w:r>
          </w:p>
        </w:tc>
      </w:tr>
      <w:tr>
        <w:trPr>
          <w:cantSplit/>
        </w:trPr>
        <w:tc>
          <w:tcPr>
            <w:tcW w:type="dxa" w:w="2232"/>
            <w:tcMar>
              <w:top w:w="65" w:type="dxa"/>
              <w:start w:w="85" w:type="dxa"/>
              <w:bottom w:w="65" w:type="dxa"/>
              <w:end w:w="85" w:type="dxa"/>
            </w:tcMar>
            <w:vAlign w:val="top"/>
          </w:tcPr>
          <w:p>
            <w:r>
              <w:rPr>
                <w:sz w:val="14"/>
              </w:rPr>
              <w:t>Optimization</w:t>
            </w:r>
          </w:p>
        </w:tc>
        <w:tc>
          <w:tcPr>
            <w:tcW w:type="dxa" w:w="2952"/>
            <w:tcMar>
              <w:top w:w="65" w:type="dxa"/>
              <w:start w:w="85" w:type="dxa"/>
              <w:bottom w:w="65" w:type="dxa"/>
              <w:end w:w="85" w:type="dxa"/>
            </w:tcMar>
            <w:vAlign w:val="top"/>
          </w:tcPr>
          <w:p>
            <w:r>
              <w:rPr>
                <w:sz w:val="14"/>
              </w:rPr>
              <w:t>Azure Advisor</w:t>
            </w:r>
          </w:p>
        </w:tc>
        <w:tc>
          <w:tcPr>
            <w:tcW w:type="dxa" w:w="4824"/>
            <w:tcMar>
              <w:top w:w="65" w:type="dxa"/>
              <w:start w:w="85" w:type="dxa"/>
              <w:bottom w:w="65" w:type="dxa"/>
              <w:end w:w="85" w:type="dxa"/>
            </w:tcMar>
            <w:vAlign w:val="top"/>
          </w:tcPr>
          <w:p>
            <w:r>
              <w:rPr>
                <w:sz w:val="14"/>
              </w:rPr>
              <w:t>Identify rightsizing, reliability and cost opportunities.</w:t>
            </w:r>
          </w:p>
        </w:tc>
      </w:tr>
      <w:tr>
        <w:trPr>
          <w:cantSplit/>
        </w:trPr>
        <w:tc>
          <w:tcPr>
            <w:tcW w:type="dxa" w:w="2232"/>
            <w:tcMar>
              <w:top w:w="65" w:type="dxa"/>
              <w:start w:w="85" w:type="dxa"/>
              <w:bottom w:w="65" w:type="dxa"/>
              <w:end w:w="85" w:type="dxa"/>
            </w:tcMar>
            <w:vAlign w:val="top"/>
          </w:tcPr>
          <w:p>
            <w:r>
              <w:rPr>
                <w:sz w:val="14"/>
              </w:rPr>
              <w:t>Commitments</w:t>
            </w:r>
          </w:p>
        </w:tc>
        <w:tc>
          <w:tcPr>
            <w:tcW w:type="dxa" w:w="2952"/>
            <w:tcMar>
              <w:top w:w="65" w:type="dxa"/>
              <w:start w:w="85" w:type="dxa"/>
              <w:bottom w:w="65" w:type="dxa"/>
              <w:end w:w="85" w:type="dxa"/>
            </w:tcMar>
            <w:vAlign w:val="top"/>
          </w:tcPr>
          <w:p>
            <w:r>
              <w:rPr>
                <w:sz w:val="14"/>
              </w:rPr>
              <w:t>Reservations / Azure savings plan for compute</w:t>
            </w:r>
          </w:p>
        </w:tc>
        <w:tc>
          <w:tcPr>
            <w:tcW w:type="dxa" w:w="4824"/>
            <w:tcMar>
              <w:top w:w="65" w:type="dxa"/>
              <w:start w:w="85" w:type="dxa"/>
              <w:bottom w:w="65" w:type="dxa"/>
              <w:end w:w="85" w:type="dxa"/>
            </w:tcMar>
            <w:vAlign w:val="top"/>
          </w:tcPr>
          <w:p>
            <w:r>
              <w:rPr>
                <w:sz w:val="14"/>
              </w:rPr>
              <w:t>Discount stable eligible usage.</w:t>
            </w:r>
          </w:p>
        </w:tc>
      </w:tr>
      <w:tr>
        <w:trPr>
          <w:cantSplit/>
        </w:trPr>
        <w:tc>
          <w:tcPr>
            <w:tcW w:type="dxa" w:w="2232"/>
            <w:tcMar>
              <w:top w:w="65" w:type="dxa"/>
              <w:start w:w="85" w:type="dxa"/>
              <w:bottom w:w="65" w:type="dxa"/>
              <w:end w:w="85" w:type="dxa"/>
            </w:tcMar>
            <w:vAlign w:val="top"/>
          </w:tcPr>
          <w:p>
            <w:r>
              <w:rPr>
                <w:sz w:val="14"/>
              </w:rPr>
              <w:t>Metadata</w:t>
            </w:r>
          </w:p>
        </w:tc>
        <w:tc>
          <w:tcPr>
            <w:tcW w:type="dxa" w:w="2952"/>
            <w:tcMar>
              <w:top w:w="65" w:type="dxa"/>
              <w:start w:w="85" w:type="dxa"/>
              <w:bottom w:w="65" w:type="dxa"/>
              <w:end w:w="85" w:type="dxa"/>
            </w:tcMar>
            <w:vAlign w:val="top"/>
          </w:tcPr>
          <w:p>
            <w:r>
              <w:rPr>
                <w:sz w:val="14"/>
              </w:rPr>
              <w:t>Tags / subscription hierarchy</w:t>
            </w:r>
          </w:p>
        </w:tc>
        <w:tc>
          <w:tcPr>
            <w:tcW w:type="dxa" w:w="4824"/>
            <w:tcMar>
              <w:top w:w="65" w:type="dxa"/>
              <w:start w:w="85" w:type="dxa"/>
              <w:bottom w:w="65" w:type="dxa"/>
              <w:end w:w="85" w:type="dxa"/>
            </w:tcMar>
            <w:vAlign w:val="top"/>
          </w:tcPr>
          <w:p>
            <w:r>
              <w:rPr>
                <w:sz w:val="14"/>
              </w:rPr>
              <w:t>Allocate cost and automate governance.</w:t>
            </w:r>
          </w:p>
        </w:tc>
      </w:tr>
      <w:tr>
        <w:trPr>
          <w:cantSplit/>
        </w:trPr>
        <w:tc>
          <w:tcPr>
            <w:tcW w:type="dxa" w:w="2232"/>
            <w:tcMar>
              <w:top w:w="65" w:type="dxa"/>
              <w:start w:w="85" w:type="dxa"/>
              <w:bottom w:w="65" w:type="dxa"/>
              <w:end w:w="85" w:type="dxa"/>
            </w:tcMar>
            <w:vAlign w:val="top"/>
          </w:tcPr>
          <w:p>
            <w:r>
              <w:rPr>
                <w:sz w:val="14"/>
              </w:rPr>
              <w:t>Chargeback</w:t>
            </w:r>
          </w:p>
        </w:tc>
        <w:tc>
          <w:tcPr>
            <w:tcW w:type="dxa" w:w="2952"/>
            <w:tcMar>
              <w:top w:w="65" w:type="dxa"/>
              <w:start w:w="85" w:type="dxa"/>
              <w:bottom w:w="65" w:type="dxa"/>
              <w:end w:w="85" w:type="dxa"/>
            </w:tcMar>
            <w:vAlign w:val="top"/>
          </w:tcPr>
          <w:p>
            <w:r>
              <w:rPr>
                <w:sz w:val="14"/>
              </w:rPr>
              <w:t>Cost allocation rules</w:t>
            </w:r>
          </w:p>
        </w:tc>
        <w:tc>
          <w:tcPr>
            <w:tcW w:type="dxa" w:w="4824"/>
            <w:tcMar>
              <w:top w:w="65" w:type="dxa"/>
              <w:start w:w="85" w:type="dxa"/>
              <w:bottom w:w="65" w:type="dxa"/>
              <w:end w:w="85" w:type="dxa"/>
            </w:tcMar>
            <w:vAlign w:val="top"/>
          </w:tcPr>
          <w:p>
            <w:r>
              <w:rPr>
                <w:sz w:val="14"/>
              </w:rPr>
              <w:t>Distribute shared costs to consuming units.</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reservations and azure savings plan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finops:</w:t>
              <w:br/>
              <w:t xml:space="preserve">  allocation: subscription_plus_required_tags</w:t>
              <w:br/>
              <w:t xml:space="preserve">  exports: daily_to_governed_storage</w:t>
              <w:br/>
              <w:t xml:space="preserve">  budgets: owner_and_product_routing</w:t>
              <w:br/>
              <w:t xml:space="preserve">  anomaly_review: weekly</w:t>
              <w:br/>
              <w:t xml:space="preserve">  commitments: baseline_demand_only</w:t>
              <w:br/>
              <w:t xml:space="preserve">  unit_metrics: [cost_per_transaction, cost_per_active_user]</w:t>
              <w:br/>
              <w:t xml:space="preserve">  guardrail: optimization_must_preserve_slo_and_recovery</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cost management, governance and finops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29: Build an Azure Cost Allocation and Commitment Review</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cost management, governance and finops using fictional enterprise requirements.</w:t>
      </w:r>
    </w:p>
    <w:p>
      <w:pPr>
        <w:ind w:left="360" w:hanging="360"/>
      </w:pPr>
      <w:r>
        <w:rPr>
          <w:b/>
        </w:rPr>
        <w:t xml:space="preserve">2. </w:t>
      </w:r>
      <w:r>
        <w:t>Implement the smallest safe sandbox using Cost Management + Billing, Budgets / cost alerts, Azure Advisor;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Cost Management, Governance and FinOps?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Cost analysis, exports and allocation defines a key architecture boundary.</w:t>
      </w:r>
    </w:p>
    <w:p>
      <w:pPr>
        <w:pStyle w:val="ListBullet"/>
      </w:pPr>
      <w:r>
        <w:t>Budgets, anomaly review and ownership must be automated and least-privileged.</w:t>
      </w:r>
    </w:p>
    <w:p>
      <w:pPr>
        <w:pStyle w:val="ListBullet"/>
      </w:pPr>
      <w:r>
        <w:t>Reservations and Azure savings plan requires policy, telemetry and recovery evidence.</w:t>
      </w:r>
    </w:p>
    <w:p>
      <w:pPr>
        <w:pStyle w:val="ListBullet"/>
      </w:pPr>
      <w:r>
        <w:t>Advisor recommendations and unit economics should be tested before production and after material change.</w:t>
      </w:r>
    </w:p>
    <w:p>
      <w:r>
        <w:br w:type="page"/>
      </w:r>
    </w:p>
    <w:p>
      <w:pPr>
        <w:jc w:val="center"/>
      </w:pPr>
      <w:r>
        <w:rPr>
          <w:b/>
          <w:color w:val="14919B"/>
          <w:sz w:val="17"/>
        </w:rPr>
        <w:t>VOLUME 12C  |  CHAPTER 30</w:t>
      </w:r>
    </w:p>
    <w:p>
      <w:pPr>
        <w:pStyle w:val="Heading1"/>
        <w:jc w:val="center"/>
      </w:pPr>
      <w:r>
        <w:t>Chapter 30: Azure Enterprise Landing-Zone Capstone</w:t>
      </w:r>
    </w:p>
    <w:p>
      <w:pPr>
        <w:jc w:val="center"/>
      </w:pPr>
      <w:r>
        <w:rPr>
          <w:i/>
          <w:color w:val="4B5563"/>
          <w:sz w:val="20"/>
        </w:rPr>
        <w:t>Delivering a governed subscription from request through recovery and closure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An Azure landing zone is successful when the platform team can safely deliver application subscriptions with policy, identity, network, monitoring, security, cost and lifecycle controls.</w:t>
            </w:r>
          </w:p>
        </w:tc>
      </w:tr>
    </w:tbl>
    <w:p>
      <w:pPr>
        <w:spacing w:after="0"/>
      </w:pPr>
    </w:p>
    <w:p>
      <w:pPr>
        <w:pStyle w:val="Heading2"/>
        <w:keepNext/>
      </w:pPr>
      <w:r>
        <w:t>Learning Objectives</w:t>
      </w:r>
    </w:p>
    <w:p>
      <w:pPr>
        <w:pStyle w:val="ListBullet"/>
      </w:pPr>
      <w:r>
        <w:t>Explain the architecture, responsibility boundaries and major trade-offs of platform landing-zone services.</w:t>
      </w:r>
    </w:p>
    <w:p>
      <w:pPr>
        <w:pStyle w:val="ListBullet"/>
      </w:pPr>
      <w:r>
        <w:t>Design application subscription vending for enterprise scale, least privilege and bounded failure.</w:t>
      </w:r>
    </w:p>
    <w:p>
      <w:pPr>
        <w:pStyle w:val="ListBullet"/>
      </w:pPr>
      <w:r>
        <w:t>Implement workload deployment and reliability tests through version-controlled automation and policy checks.</w:t>
      </w:r>
    </w:p>
    <w:p>
      <w:pPr>
        <w:pStyle w:val="ListBullet"/>
      </w:pPr>
      <w:r>
        <w:t>Troubleshoot governance, operations and decommissioning evidence using provider-native telemetry and repeatable evidence.</w:t>
      </w:r>
    </w:p>
    <w:p>
      <w:pPr>
        <w:pStyle w:val="ListBullet"/>
      </w:pPr>
      <w:r>
        <w:t>Deliver a sanitized portfolio artifact for deliver the azure enterprise foundation capstone.</w:t>
      </w:r>
    </w:p>
    <w:p>
      <w:pPr>
        <w:pStyle w:val="Heading2"/>
        <w:keepNext/>
      </w:pPr>
      <w:r>
        <w:t>Core Concepts</w:t>
      </w:r>
    </w:p>
    <w:p>
      <w:pPr>
        <w:pStyle w:val="Heading3"/>
        <w:keepNext/>
      </w:pPr>
      <w:r>
        <w:t>Platform landing-zone services</w:t>
      </w:r>
    </w:p>
    <w:p>
      <w:pPr>
        <w:keepNext w:val="0"/>
      </w:pPr>
      <w:r>
        <w:t>Platform landing-zone services is a design boundary, not merely a console feature. In Azure Enterprise Landing-Zone Capstone, the team must document ownership, trust assumptions, dependency direction, failure impact and the evidence used to prove the control. The recommended implementation uses Management groups / subscriptions, Entra ID / PIM / managed identities, Virtual WAN or hub-spoke / Private Link, Policy / Defender / Sentinel only where they satisfy an explicit requirement; equivalent services are not automatically interchangeable.</w:t>
      </w:r>
    </w:p>
    <w:p>
      <w:pPr>
        <w:pStyle w:val="Heading3"/>
        <w:keepNext/>
      </w:pPr>
      <w:r>
        <w:t>Application subscription vending</w:t>
      </w:r>
    </w:p>
    <w:p>
      <w:pPr>
        <w:keepNext w:val="0"/>
      </w:pPr>
      <w:r>
        <w:t>A production implementation of Application subscription vending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Workload deployment and reliability tests</w:t>
      </w:r>
    </w:p>
    <w:p>
      <w:pPr>
        <w:keepNext w:val="0"/>
      </w:pPr>
      <w:r>
        <w:t>For Workload deployment and reliability tests,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Governance, operations and decommissioning evidence</w:t>
      </w:r>
    </w:p>
    <w:p>
      <w:pPr>
        <w:keepNext w:val="0"/>
      </w:pPr>
      <w:r>
        <w:t>The strongest validation for Governance, operations and decommissioning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Hierarchy</w:t>
            </w:r>
          </w:p>
        </w:tc>
        <w:tc>
          <w:tcPr>
            <w:tcW w:type="dxa" w:w="2952"/>
            <w:tcMar>
              <w:top w:w="65" w:type="dxa"/>
              <w:start w:w="85" w:type="dxa"/>
              <w:bottom w:w="65" w:type="dxa"/>
              <w:end w:w="85" w:type="dxa"/>
            </w:tcMar>
            <w:vAlign w:val="top"/>
          </w:tcPr>
          <w:p>
            <w:r>
              <w:rPr>
                <w:sz w:val="14"/>
              </w:rPr>
              <w:t>Management groups / subscriptions</w:t>
            </w:r>
          </w:p>
        </w:tc>
        <w:tc>
          <w:tcPr>
            <w:tcW w:type="dxa" w:w="4824"/>
            <w:tcMar>
              <w:top w:w="65" w:type="dxa"/>
              <w:start w:w="85" w:type="dxa"/>
              <w:bottom w:w="65" w:type="dxa"/>
              <w:end w:w="85" w:type="dxa"/>
            </w:tcMar>
            <w:vAlign w:val="top"/>
          </w:tcPr>
          <w:p>
            <w:r>
              <w:rPr>
                <w:sz w:val="14"/>
              </w:rPr>
              <w:t>Establish durable governance and workload boundaries.</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Entra ID / PIM / managed identities</w:t>
            </w:r>
          </w:p>
        </w:tc>
        <w:tc>
          <w:tcPr>
            <w:tcW w:type="dxa" w:w="4824"/>
            <w:tcMar>
              <w:top w:w="65" w:type="dxa"/>
              <w:start w:w="85" w:type="dxa"/>
              <w:bottom w:w="65" w:type="dxa"/>
              <w:end w:w="85" w:type="dxa"/>
            </w:tcMar>
            <w:vAlign w:val="top"/>
          </w:tcPr>
          <w:p>
            <w:r>
              <w:rPr>
                <w:sz w:val="14"/>
              </w:rPr>
              <w:t>Control humans and workloads.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Virtual WAN or hub-spoke / Private Link</w:t>
            </w:r>
          </w:p>
        </w:tc>
        <w:tc>
          <w:tcPr>
            <w:tcW w:type="dxa" w:w="4824"/>
            <w:tcMar>
              <w:top w:w="65" w:type="dxa"/>
              <w:start w:w="85" w:type="dxa"/>
              <w:bottom w:w="65" w:type="dxa"/>
              <w:end w:w="85" w:type="dxa"/>
            </w:tcMar>
            <w:vAlign w:val="top"/>
          </w:tcPr>
          <w:p>
            <w:r>
              <w:rPr>
                <w:sz w:val="14"/>
              </w:rPr>
              <w:t>Provide governed connectivity.</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Policy / Defender / Sentinel</w:t>
            </w:r>
          </w:p>
        </w:tc>
        <w:tc>
          <w:tcPr>
            <w:tcW w:type="dxa" w:w="4824"/>
            <w:tcMar>
              <w:top w:w="65" w:type="dxa"/>
              <w:start w:w="85" w:type="dxa"/>
              <w:bottom w:w="65" w:type="dxa"/>
              <w:end w:w="85" w:type="dxa"/>
            </w:tcMar>
            <w:vAlign w:val="top"/>
          </w:tcPr>
          <w:p>
            <w:r>
              <w:rPr>
                <w:sz w:val="14"/>
              </w:rPr>
              <w:t>Enforce baseline and central response.</w:t>
            </w:r>
          </w:p>
        </w:tc>
      </w:tr>
      <w:tr>
        <w:trPr>
          <w:cantSplit/>
        </w:trPr>
        <w:tc>
          <w:tcPr>
            <w:tcW w:type="dxa" w:w="2232"/>
            <w:tcMar>
              <w:top w:w="65" w:type="dxa"/>
              <w:start w:w="85" w:type="dxa"/>
              <w:bottom w:w="65" w:type="dxa"/>
              <w:end w:w="85" w:type="dxa"/>
            </w:tcMar>
            <w:vAlign w:val="top"/>
          </w:tcPr>
          <w:p>
            <w:r>
              <w:rPr>
                <w:sz w:val="14"/>
              </w:rPr>
              <w:t>Operations</w:t>
            </w:r>
          </w:p>
        </w:tc>
        <w:tc>
          <w:tcPr>
            <w:tcW w:type="dxa" w:w="2952"/>
            <w:tcMar>
              <w:top w:w="65" w:type="dxa"/>
              <w:start w:w="85" w:type="dxa"/>
              <w:bottom w:w="65" w:type="dxa"/>
              <w:end w:w="85" w:type="dxa"/>
            </w:tcMar>
            <w:vAlign w:val="top"/>
          </w:tcPr>
          <w:p>
            <w:r>
              <w:rPr>
                <w:sz w:val="14"/>
              </w:rPr>
              <w:t>Azure Monitor / Arc</w:t>
            </w:r>
          </w:p>
        </w:tc>
        <w:tc>
          <w:tcPr>
            <w:tcW w:type="dxa" w:w="4824"/>
            <w:tcMar>
              <w:top w:w="65" w:type="dxa"/>
              <w:start w:w="85" w:type="dxa"/>
              <w:bottom w:w="65" w:type="dxa"/>
              <w:end w:w="85" w:type="dxa"/>
            </w:tcMar>
            <w:vAlign w:val="top"/>
          </w:tcPr>
          <w:p>
            <w:r>
              <w:rPr>
                <w:sz w:val="14"/>
              </w:rPr>
              <w:t>Monitor Azure and hybrid resources.</w:t>
            </w:r>
          </w:p>
        </w:tc>
      </w:tr>
      <w:tr>
        <w:trPr>
          <w:cantSplit/>
        </w:trPr>
        <w:tc>
          <w:tcPr>
            <w:tcW w:type="dxa" w:w="2232"/>
            <w:tcMar>
              <w:top w:w="65" w:type="dxa"/>
              <w:start w:w="85" w:type="dxa"/>
              <w:bottom w:w="65" w:type="dxa"/>
              <w:end w:w="85" w:type="dxa"/>
            </w:tcMar>
            <w:vAlign w:val="top"/>
          </w:tcPr>
          <w:p>
            <w:r>
              <w:rPr>
                <w:sz w:val="14"/>
              </w:rPr>
              <w:t>Cost</w:t>
            </w:r>
          </w:p>
        </w:tc>
        <w:tc>
          <w:tcPr>
            <w:tcW w:type="dxa" w:w="2952"/>
            <w:tcMar>
              <w:top w:w="65" w:type="dxa"/>
              <w:start w:w="85" w:type="dxa"/>
              <w:bottom w:w="65" w:type="dxa"/>
              <w:end w:w="85" w:type="dxa"/>
            </w:tcMar>
            <w:vAlign w:val="top"/>
          </w:tcPr>
          <w:p>
            <w:r>
              <w:rPr>
                <w:sz w:val="14"/>
              </w:rPr>
              <w:t>Cost Management / budgets</w:t>
            </w:r>
          </w:p>
        </w:tc>
        <w:tc>
          <w:tcPr>
            <w:tcW w:type="dxa" w:w="4824"/>
            <w:tcMar>
              <w:top w:w="65" w:type="dxa"/>
              <w:start w:w="85" w:type="dxa"/>
              <w:bottom w:w="65" w:type="dxa"/>
              <w:end w:w="85" w:type="dxa"/>
            </w:tcMar>
            <w:vAlign w:val="top"/>
          </w:tcPr>
          <w:p>
            <w:r>
              <w:rPr>
                <w:sz w:val="14"/>
              </w:rPr>
              <w:t>Allocate and control spend.</w:t>
            </w:r>
          </w:p>
        </w:tc>
      </w:tr>
    </w:tbl>
    <w:p>
      <w:pPr>
        <w:pStyle w:val="Heading2"/>
        <w:keepNext/>
      </w:pPr>
      <w:r>
        <w:t>Architecture and Operating Decisions</w:t>
      </w:r>
    </w:p>
    <w:p>
      <w:pPr>
        <w:pStyle w:val="ListBullet"/>
      </w:pPr>
      <w:r>
        <w:t>Use Azure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workload deployment and reliability tests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acceptance:</w:t>
              <w:br/>
              <w:t xml:space="preserve">  subscription_vending_minutes: 30</w:t>
              <w:br/>
              <w:t xml:space="preserve">  permanent_global_admins: 0</w:t>
              <w:br/>
              <w:t xml:space="preserve">  public_paas_access_denied: true</w:t>
              <w:br/>
              <w:t xml:space="preserve">  required_diagnostics_coverage_percent: 100</w:t>
              <w:br/>
              <w:t xml:space="preserve">  regional_recovery_tested: true</w:t>
              <w:br/>
              <w:t xml:space="preserve">  cost_owner_coverage_percent: 100</w:t>
              <w:br/>
              <w:t xml:space="preserve">  decommission_residual_resources: 0</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azure enterprise landing-zone capstone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30: Deliver the Azure Enterprise Foundation Capstone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azure enterprise landing-zone capstone using fictional enterprise requirements.</w:t>
      </w:r>
    </w:p>
    <w:p>
      <w:pPr>
        <w:ind w:left="360" w:hanging="360"/>
      </w:pPr>
      <w:r>
        <w:rPr>
          <w:b/>
        </w:rPr>
        <w:t xml:space="preserve">2. </w:t>
      </w:r>
      <w:r>
        <w:t>Implement the smallest safe sandbox using Management groups / subscriptions, Entra ID / PIM / managed identities, Virtual WAN or hub-spoke / Private Link;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Azure Enterprise Landing-Zone Capstone?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Azure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Platform landing-zone services defines a key architecture boundary.</w:t>
      </w:r>
    </w:p>
    <w:p>
      <w:pPr>
        <w:pStyle w:val="ListBullet"/>
      </w:pPr>
      <w:r>
        <w:t>Application subscription vending must be automated and least-privileged.</w:t>
      </w:r>
    </w:p>
    <w:p>
      <w:pPr>
        <w:pStyle w:val="ListBullet"/>
      </w:pPr>
      <w:r>
        <w:t>Workload deployment and reliability tests requires policy, telemetry and recovery evidence.</w:t>
      </w:r>
    </w:p>
    <w:p>
      <w:pPr>
        <w:pStyle w:val="ListBullet"/>
      </w:pPr>
      <w:r>
        <w:t>Governance, operations and decommissioning evidence should be tested before production and after material change.</w:t>
      </w:r>
    </w:p>
    <w:p>
      <w:r>
        <w:br w:type="page"/>
      </w:r>
    </w:p>
    <w:p>
      <w:pPr>
        <w:pStyle w:val="Heading1"/>
        <w:keepNext w:val="0"/>
      </w:pPr>
      <w:r>
        <w:t>Azure Enterprise Architecture and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Use this reference to review architecture outcomes, implementation controls and the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76B87"/>
            <w:tcMar>
              <w:top w:w="65" w:type="dxa"/>
              <w:start w:w="85" w:type="dxa"/>
              <w:bottom w:w="65" w:type="dxa"/>
              <w:end w:w="85" w:type="dxa"/>
            </w:tcMar>
            <w:vAlign w:val="center"/>
          </w:tcPr>
          <w:p>
            <w:r>
              <w:rPr>
                <w:b/>
                <w:color w:val="FFFFFF"/>
                <w:sz w:val="14"/>
              </w:rPr>
              <w:t>Domain</w:t>
            </w:r>
          </w:p>
        </w:tc>
        <w:tc>
          <w:tcPr>
            <w:tcW w:type="dxa" w:w="4104"/>
            <w:shd w:fill="176B87"/>
            <w:tcMar>
              <w:top w:w="65" w:type="dxa"/>
              <w:start w:w="85" w:type="dxa"/>
              <w:bottom w:w="65" w:type="dxa"/>
              <w:end w:w="85" w:type="dxa"/>
            </w:tcMar>
            <w:vAlign w:val="center"/>
          </w:tcPr>
          <w:p>
            <w:r>
              <w:rPr>
                <w:b/>
                <w:color w:val="FFFFFF"/>
                <w:sz w:val="14"/>
              </w:rPr>
              <w:t>Required outcome</w:t>
            </w:r>
          </w:p>
        </w:tc>
        <w:tc>
          <w:tcPr>
            <w:tcW w:type="dxa" w:w="4464"/>
            <w:shd w:fill="176B87"/>
            <w:tcMar>
              <w:top w:w="65" w:type="dxa"/>
              <w:start w:w="85" w:type="dxa"/>
              <w:bottom w:w="65" w:type="dxa"/>
              <w:end w:w="85" w:type="dxa"/>
            </w:tcMar>
            <w:vAlign w:val="center"/>
          </w:tcPr>
          <w:p>
            <w:r>
              <w:rPr>
                <w:b/>
                <w:color w:val="FFFFFF"/>
                <w:sz w:val="14"/>
              </w:rPr>
              <w:t>Validation evidence</w:t>
            </w:r>
          </w:p>
        </w:tc>
      </w:tr>
      <w:tr>
        <w:trPr>
          <w:cantSplit/>
        </w:trPr>
        <w:tc>
          <w:tcPr>
            <w:tcW w:type="dxa" w:w="1512"/>
            <w:tcMar>
              <w:top w:w="65" w:type="dxa"/>
              <w:start w:w="85" w:type="dxa"/>
              <w:bottom w:w="65" w:type="dxa"/>
              <w:end w:w="85" w:type="dxa"/>
            </w:tcMar>
            <w:vAlign w:val="top"/>
          </w:tcPr>
          <w:p>
            <w:r>
              <w:rPr>
                <w:sz w:val="14"/>
              </w:rPr>
              <w:t>Hierarchy and ownership</w:t>
            </w:r>
          </w:p>
        </w:tc>
        <w:tc>
          <w:tcPr>
            <w:tcW w:type="dxa" w:w="4104"/>
            <w:tcMar>
              <w:top w:w="65" w:type="dxa"/>
              <w:start w:w="85" w:type="dxa"/>
              <w:bottom w:w="65" w:type="dxa"/>
              <w:end w:w="85" w:type="dxa"/>
            </w:tcMar>
            <w:vAlign w:val="top"/>
          </w:tcPr>
          <w:p>
            <w:r>
              <w:rPr>
                <w:sz w:val="14"/>
              </w:rPr>
              <w:t>Durable resource boundaries with accountable owners</w:t>
            </w:r>
          </w:p>
        </w:tc>
        <w:tc>
          <w:tcPr>
            <w:tcW w:type="dxa" w:w="4464"/>
            <w:tcMar>
              <w:top w:w="65" w:type="dxa"/>
              <w:start w:w="85" w:type="dxa"/>
              <w:bottom w:w="65" w:type="dxa"/>
              <w:end w:w="85" w:type="dxa"/>
            </w:tcMar>
            <w:vAlign w:val="top"/>
          </w:tcPr>
          <w:p>
            <w:r>
              <w:rPr>
                <w:sz w:val="14"/>
              </w:rPr>
              <w:t>Inventory, effective policy and lifecycle tests</w:t>
            </w:r>
          </w:p>
        </w:tc>
      </w:tr>
      <w:tr>
        <w:trPr>
          <w:cantSplit/>
        </w:trPr>
        <w:tc>
          <w:tcPr>
            <w:tcW w:type="dxa" w:w="1512"/>
            <w:tcMar>
              <w:top w:w="65" w:type="dxa"/>
              <w:start w:w="85" w:type="dxa"/>
              <w:bottom w:w="65" w:type="dxa"/>
              <w:end w:w="85" w:type="dxa"/>
            </w:tcMar>
            <w:vAlign w:val="top"/>
          </w:tcPr>
          <w:p>
            <w:r>
              <w:rPr>
                <w:sz w:val="14"/>
              </w:rPr>
              <w:t>Identity</w:t>
            </w:r>
          </w:p>
        </w:tc>
        <w:tc>
          <w:tcPr>
            <w:tcW w:type="dxa" w:w="4104"/>
            <w:tcMar>
              <w:top w:w="65" w:type="dxa"/>
              <w:start w:w="85" w:type="dxa"/>
              <w:bottom w:w="65" w:type="dxa"/>
              <w:end w:w="85" w:type="dxa"/>
            </w:tcMar>
            <w:vAlign w:val="top"/>
          </w:tcPr>
          <w:p>
            <w:r>
              <w:rPr>
                <w:sz w:val="14"/>
              </w:rPr>
              <w:t>Federated humans and keyless workloads</w:t>
            </w:r>
          </w:p>
        </w:tc>
        <w:tc>
          <w:tcPr>
            <w:tcW w:type="dxa" w:w="4464"/>
            <w:tcMar>
              <w:top w:w="65" w:type="dxa"/>
              <w:start w:w="85" w:type="dxa"/>
              <w:bottom w:w="65" w:type="dxa"/>
              <w:end w:w="85" w:type="dxa"/>
            </w:tcMar>
            <w:vAlign w:val="top"/>
          </w:tcPr>
          <w:p>
            <w:r>
              <w:rPr>
                <w:sz w:val="14"/>
              </w:rPr>
              <w:t>Token, role, access-review and denied-action evidence</w:t>
            </w:r>
          </w:p>
        </w:tc>
      </w:tr>
      <w:tr>
        <w:trPr>
          <w:cantSplit/>
        </w:trPr>
        <w:tc>
          <w:tcPr>
            <w:tcW w:type="dxa" w:w="1512"/>
            <w:tcMar>
              <w:top w:w="65" w:type="dxa"/>
              <w:start w:w="85" w:type="dxa"/>
              <w:bottom w:w="65" w:type="dxa"/>
              <w:end w:w="85" w:type="dxa"/>
            </w:tcMar>
            <w:vAlign w:val="top"/>
          </w:tcPr>
          <w:p>
            <w:r>
              <w:rPr>
                <w:sz w:val="14"/>
              </w:rPr>
              <w:t>Network</w:t>
            </w:r>
          </w:p>
        </w:tc>
        <w:tc>
          <w:tcPr>
            <w:tcW w:type="dxa" w:w="4104"/>
            <w:tcMar>
              <w:top w:w="65" w:type="dxa"/>
              <w:start w:w="85" w:type="dxa"/>
              <w:bottom w:w="65" w:type="dxa"/>
              <w:end w:w="85" w:type="dxa"/>
            </w:tcMar>
            <w:vAlign w:val="top"/>
          </w:tcPr>
          <w:p>
            <w:r>
              <w:rPr>
                <w:sz w:val="14"/>
              </w:rPr>
              <w:t>Approved routes, DNS, private access and egress</w:t>
            </w:r>
          </w:p>
        </w:tc>
        <w:tc>
          <w:tcPr>
            <w:tcW w:type="dxa" w:w="4464"/>
            <w:tcMar>
              <w:top w:w="65" w:type="dxa"/>
              <w:start w:w="85" w:type="dxa"/>
              <w:bottom w:w="65" w:type="dxa"/>
              <w:end w:w="85" w:type="dxa"/>
            </w:tcMar>
            <w:vAlign w:val="top"/>
          </w:tcPr>
          <w:p>
            <w:r>
              <w:rPr>
                <w:sz w:val="14"/>
              </w:rPr>
              <w:t>Reachability, flow, DNS, latency and failover tests</w:t>
            </w:r>
          </w:p>
        </w:tc>
      </w:tr>
      <w:tr>
        <w:trPr>
          <w:cantSplit/>
        </w:trPr>
        <w:tc>
          <w:tcPr>
            <w:tcW w:type="dxa" w:w="1512"/>
            <w:tcMar>
              <w:top w:w="65" w:type="dxa"/>
              <w:start w:w="85" w:type="dxa"/>
              <w:bottom w:w="65" w:type="dxa"/>
              <w:end w:w="85" w:type="dxa"/>
            </w:tcMar>
            <w:vAlign w:val="top"/>
          </w:tcPr>
          <w:p>
            <w:r>
              <w:rPr>
                <w:sz w:val="14"/>
              </w:rPr>
              <w:t>Data</w:t>
            </w:r>
          </w:p>
        </w:tc>
        <w:tc>
          <w:tcPr>
            <w:tcW w:type="dxa" w:w="4104"/>
            <w:tcMar>
              <w:top w:w="65" w:type="dxa"/>
              <w:start w:w="85" w:type="dxa"/>
              <w:bottom w:w="65" w:type="dxa"/>
              <w:end w:w="85" w:type="dxa"/>
            </w:tcMar>
            <w:vAlign w:val="top"/>
          </w:tcPr>
          <w:p>
            <w:r>
              <w:rPr>
                <w:sz w:val="14"/>
              </w:rPr>
              <w:t>Classified, encrypted and recoverable state</w:t>
            </w:r>
          </w:p>
        </w:tc>
        <w:tc>
          <w:tcPr>
            <w:tcW w:type="dxa" w:w="4464"/>
            <w:tcMar>
              <w:top w:w="65" w:type="dxa"/>
              <w:start w:w="85" w:type="dxa"/>
              <w:bottom w:w="65" w:type="dxa"/>
              <w:end w:w="85" w:type="dxa"/>
            </w:tcMar>
            <w:vAlign w:val="top"/>
          </w:tcPr>
          <w:p>
            <w:r>
              <w:rPr>
                <w:sz w:val="14"/>
              </w:rPr>
              <w:t>Backup, restore, reconciliation and exit evidence</w:t>
            </w:r>
          </w:p>
        </w:tc>
      </w:tr>
      <w:tr>
        <w:trPr>
          <w:cantSplit/>
        </w:trPr>
        <w:tc>
          <w:tcPr>
            <w:tcW w:type="dxa" w:w="1512"/>
            <w:tcMar>
              <w:top w:w="65" w:type="dxa"/>
              <w:start w:w="85" w:type="dxa"/>
              <w:bottom w:w="65" w:type="dxa"/>
              <w:end w:w="85" w:type="dxa"/>
            </w:tcMar>
            <w:vAlign w:val="top"/>
          </w:tcPr>
          <w:p>
            <w:r>
              <w:rPr>
                <w:sz w:val="14"/>
              </w:rPr>
              <w:t>Security</w:t>
            </w:r>
          </w:p>
        </w:tc>
        <w:tc>
          <w:tcPr>
            <w:tcW w:type="dxa" w:w="4104"/>
            <w:tcMar>
              <w:top w:w="65" w:type="dxa"/>
              <w:start w:w="85" w:type="dxa"/>
              <w:bottom w:w="65" w:type="dxa"/>
              <w:end w:w="85" w:type="dxa"/>
            </w:tcMar>
            <w:vAlign w:val="top"/>
          </w:tcPr>
          <w:p>
            <w:r>
              <w:rPr>
                <w:sz w:val="14"/>
              </w:rPr>
              <w:t>Preventive, detective and recovery controls</w:t>
            </w:r>
          </w:p>
        </w:tc>
        <w:tc>
          <w:tcPr>
            <w:tcW w:type="dxa" w:w="4464"/>
            <w:tcMar>
              <w:top w:w="65" w:type="dxa"/>
              <w:start w:w="85" w:type="dxa"/>
              <w:bottom w:w="65" w:type="dxa"/>
              <w:end w:w="85" w:type="dxa"/>
            </w:tcMar>
            <w:vAlign w:val="top"/>
          </w:tcPr>
          <w:p>
            <w:r>
              <w:rPr>
                <w:sz w:val="14"/>
              </w:rPr>
              <w:t>Policy results, findings, containment and audit timeline</w:t>
            </w:r>
          </w:p>
        </w:tc>
      </w:tr>
      <w:tr>
        <w:trPr>
          <w:cantSplit/>
        </w:trPr>
        <w:tc>
          <w:tcPr>
            <w:tcW w:type="dxa" w:w="1512"/>
            <w:tcMar>
              <w:top w:w="65" w:type="dxa"/>
              <w:start w:w="85" w:type="dxa"/>
              <w:bottom w:w="65" w:type="dxa"/>
              <w:end w:w="85" w:type="dxa"/>
            </w:tcMar>
            <w:vAlign w:val="top"/>
          </w:tcPr>
          <w:p>
            <w:r>
              <w:rPr>
                <w:sz w:val="14"/>
              </w:rPr>
              <w:t>Operations</w:t>
            </w:r>
          </w:p>
        </w:tc>
        <w:tc>
          <w:tcPr>
            <w:tcW w:type="dxa" w:w="4104"/>
            <w:tcMar>
              <w:top w:w="65" w:type="dxa"/>
              <w:start w:w="85" w:type="dxa"/>
              <w:bottom w:w="65" w:type="dxa"/>
              <w:end w:w="85" w:type="dxa"/>
            </w:tcMar>
            <w:vAlign w:val="top"/>
          </w:tcPr>
          <w:p>
            <w:r>
              <w:rPr>
                <w:sz w:val="14"/>
              </w:rPr>
              <w:t>SLOs, telemetry, runbooks and incident process</w:t>
            </w:r>
          </w:p>
        </w:tc>
        <w:tc>
          <w:tcPr>
            <w:tcW w:type="dxa" w:w="4464"/>
            <w:tcMar>
              <w:top w:w="65" w:type="dxa"/>
              <w:start w:w="85" w:type="dxa"/>
              <w:bottom w:w="65" w:type="dxa"/>
              <w:end w:w="85" w:type="dxa"/>
            </w:tcMar>
            <w:vAlign w:val="top"/>
          </w:tcPr>
          <w:p>
            <w:r>
              <w:rPr>
                <w:sz w:val="14"/>
              </w:rPr>
              <w:t>Dashboards, alerts, drill timeline and postmortem</w:t>
            </w:r>
          </w:p>
        </w:tc>
      </w:tr>
      <w:tr>
        <w:trPr>
          <w:cantSplit/>
        </w:trPr>
        <w:tc>
          <w:tcPr>
            <w:tcW w:type="dxa" w:w="1512"/>
            <w:tcMar>
              <w:top w:w="65" w:type="dxa"/>
              <w:start w:w="85" w:type="dxa"/>
              <w:bottom w:w="65" w:type="dxa"/>
              <w:end w:w="85" w:type="dxa"/>
            </w:tcMar>
            <w:vAlign w:val="top"/>
          </w:tcPr>
          <w:p>
            <w:r>
              <w:rPr>
                <w:sz w:val="14"/>
              </w:rPr>
              <w:t>FinOps</w:t>
            </w:r>
          </w:p>
        </w:tc>
        <w:tc>
          <w:tcPr>
            <w:tcW w:type="dxa" w:w="4104"/>
            <w:tcMar>
              <w:top w:w="65" w:type="dxa"/>
              <w:start w:w="85" w:type="dxa"/>
              <w:bottom w:w="65" w:type="dxa"/>
              <w:end w:w="85" w:type="dxa"/>
            </w:tcMar>
            <w:vAlign w:val="top"/>
          </w:tcPr>
          <w:p>
            <w:r>
              <w:rPr>
                <w:sz w:val="14"/>
              </w:rPr>
              <w:t>Allocation, budgets, unit economics and commitment governance</w:t>
            </w:r>
          </w:p>
        </w:tc>
        <w:tc>
          <w:tcPr>
            <w:tcW w:type="dxa" w:w="4464"/>
            <w:tcMar>
              <w:top w:w="65" w:type="dxa"/>
              <w:start w:w="85" w:type="dxa"/>
              <w:bottom w:w="65" w:type="dxa"/>
              <w:end w:w="85" w:type="dxa"/>
            </w:tcMar>
            <w:vAlign w:val="top"/>
          </w:tcPr>
          <w:p>
            <w:r>
              <w:rPr>
                <w:sz w:val="14"/>
              </w:rPr>
              <w:t>Billing export, owner coverage and optimization record</w:t>
            </w:r>
          </w:p>
        </w:tc>
      </w:tr>
      <w:tr>
        <w:trPr>
          <w:cantSplit/>
        </w:trPr>
        <w:tc>
          <w:tcPr>
            <w:tcW w:type="dxa" w:w="1512"/>
            <w:tcMar>
              <w:top w:w="65" w:type="dxa"/>
              <w:start w:w="85" w:type="dxa"/>
              <w:bottom w:w="65" w:type="dxa"/>
              <w:end w:w="85" w:type="dxa"/>
            </w:tcMar>
            <w:vAlign w:val="top"/>
          </w:tcPr>
          <w:p>
            <w:r>
              <w:rPr>
                <w:sz w:val="14"/>
              </w:rPr>
              <w:t>Delivery</w:t>
            </w:r>
          </w:p>
        </w:tc>
        <w:tc>
          <w:tcPr>
            <w:tcW w:type="dxa" w:w="4104"/>
            <w:tcMar>
              <w:top w:w="65" w:type="dxa"/>
              <w:start w:w="85" w:type="dxa"/>
              <w:bottom w:w="65" w:type="dxa"/>
              <w:end w:w="85" w:type="dxa"/>
            </w:tcMar>
            <w:vAlign w:val="top"/>
          </w:tcPr>
          <w:p>
            <w:r>
              <w:rPr>
                <w:sz w:val="14"/>
              </w:rPr>
              <w:t>Reviewed IaC and immutable artifact promotion</w:t>
            </w:r>
          </w:p>
        </w:tc>
        <w:tc>
          <w:tcPr>
            <w:tcW w:type="dxa" w:w="4464"/>
            <w:tcMar>
              <w:top w:w="65" w:type="dxa"/>
              <w:start w:w="85" w:type="dxa"/>
              <w:bottom w:w="65" w:type="dxa"/>
              <w:end w:w="85" w:type="dxa"/>
            </w:tcMar>
            <w:vAlign w:val="top"/>
          </w:tcPr>
          <w:p>
            <w:r>
              <w:rPr>
                <w:sz w:val="14"/>
              </w:rPr>
              <w:t>Plan, policy, signature, deployment and rollback chain</w:t>
            </w:r>
          </w:p>
        </w:tc>
      </w:tr>
      <w:tr>
        <w:trPr>
          <w:cantSplit/>
        </w:trPr>
        <w:tc>
          <w:tcPr>
            <w:tcW w:type="dxa" w:w="1512"/>
            <w:tcMar>
              <w:top w:w="65" w:type="dxa"/>
              <w:start w:w="85" w:type="dxa"/>
              <w:bottom w:w="65" w:type="dxa"/>
              <w:end w:w="85" w:type="dxa"/>
            </w:tcMar>
            <w:vAlign w:val="top"/>
          </w:tcPr>
          <w:p>
            <w:r>
              <w:rPr>
                <w:sz w:val="14"/>
              </w:rPr>
              <w:t>Reliability</w:t>
            </w:r>
          </w:p>
        </w:tc>
        <w:tc>
          <w:tcPr>
            <w:tcW w:type="dxa" w:w="4104"/>
            <w:tcMar>
              <w:top w:w="65" w:type="dxa"/>
              <w:start w:w="85" w:type="dxa"/>
              <w:bottom w:w="65" w:type="dxa"/>
              <w:end w:w="85" w:type="dxa"/>
            </w:tcMar>
            <w:vAlign w:val="top"/>
          </w:tcPr>
          <w:p>
            <w:r>
              <w:rPr>
                <w:sz w:val="14"/>
              </w:rPr>
              <w:t>Measured capacity, RTO/RPO and failback</w:t>
            </w:r>
          </w:p>
        </w:tc>
        <w:tc>
          <w:tcPr>
            <w:tcW w:type="dxa" w:w="4464"/>
            <w:tcMar>
              <w:top w:w="65" w:type="dxa"/>
              <w:start w:w="85" w:type="dxa"/>
              <w:bottom w:w="65" w:type="dxa"/>
              <w:end w:w="85" w:type="dxa"/>
            </w:tcMar>
            <w:vAlign w:val="top"/>
          </w:tcPr>
          <w:p>
            <w:r>
              <w:rPr>
                <w:sz w:val="14"/>
              </w:rPr>
              <w:t>Load, failure, recovery and integrity tests</w:t>
            </w:r>
          </w:p>
        </w:tc>
      </w:tr>
      <w:tr>
        <w:trPr>
          <w:cantSplit/>
        </w:trPr>
        <w:tc>
          <w:tcPr>
            <w:tcW w:type="dxa" w:w="1512"/>
            <w:tcMar>
              <w:top w:w="65" w:type="dxa"/>
              <w:start w:w="85" w:type="dxa"/>
              <w:bottom w:w="65" w:type="dxa"/>
              <w:end w:w="85" w:type="dxa"/>
            </w:tcMar>
            <w:vAlign w:val="top"/>
          </w:tcPr>
          <w:p>
            <w:r>
              <w:rPr>
                <w:sz w:val="14"/>
              </w:rPr>
              <w:t>Lifecycle</w:t>
            </w:r>
          </w:p>
        </w:tc>
        <w:tc>
          <w:tcPr>
            <w:tcW w:type="dxa" w:w="4104"/>
            <w:tcMar>
              <w:top w:w="65" w:type="dxa"/>
              <w:start w:w="85" w:type="dxa"/>
              <w:bottom w:w="65" w:type="dxa"/>
              <w:end w:w="85" w:type="dxa"/>
            </w:tcMar>
            <w:vAlign w:val="top"/>
          </w:tcPr>
          <w:p>
            <w:r>
              <w:rPr>
                <w:sz w:val="14"/>
              </w:rPr>
              <w:t>Vending, upgrade, exception and closure</w:t>
            </w:r>
          </w:p>
        </w:tc>
        <w:tc>
          <w:tcPr>
            <w:tcW w:type="dxa" w:w="4464"/>
            <w:tcMar>
              <w:top w:w="65" w:type="dxa"/>
              <w:start w:w="85" w:type="dxa"/>
              <w:bottom w:w="65" w:type="dxa"/>
              <w:end w:w="85" w:type="dxa"/>
            </w:tcMar>
            <w:vAlign w:val="top"/>
          </w:tcPr>
          <w:p>
            <w:r>
              <w:rPr>
                <w:sz w:val="14"/>
              </w:rPr>
              <w:t>Fresh deployment, drift and zero-residual teardown</w:t>
            </w:r>
          </w:p>
        </w:tc>
      </w:tr>
    </w:tbl>
    <w:p>
      <w:pPr>
        <w:pStyle w:val="Heading1"/>
        <w:keepNext w:val="0"/>
      </w:pPr>
      <w:r>
        <w:t>Completion Checklist</w:t>
      </w:r>
    </w:p>
    <w:p>
      <w:pPr>
        <w:ind w:left="259" w:hanging="259"/>
      </w:pPr>
      <w:r>
        <w:t>☐ I can explain the architecture and trade-offs in every chapter of 12C.</w:t>
      </w:r>
    </w:p>
    <w:p>
      <w:pPr>
        <w:ind w:left="259" w:hanging="259"/>
      </w:pPr>
      <w:r>
        <w:t>☐ I can implement at least one sandbox pattern through IaC and short-lived identity.</w:t>
      </w:r>
    </w:p>
    <w:p>
      <w:pPr>
        <w:ind w:left="259" w:hanging="259"/>
      </w:pPr>
      <w:r>
        <w:t>☐ I can demonstrate approved, denied and failure behavior with provider-native evidence.</w:t>
      </w:r>
    </w:p>
    <w:p>
      <w:pPr>
        <w:ind w:left="259" w:hanging="259"/>
      </w:pPr>
      <w:r>
        <w:t>☐ I can design private connectivity, data protection, recovery and cost governance.</w:t>
      </w:r>
    </w:p>
    <w:p>
      <w:pPr>
        <w:ind w:left="259" w:hanging="259"/>
      </w:pPr>
      <w:r>
        <w:t>☐ I can produce architecture diagrams, ADRs, runbooks and troubleshooting timelines.</w:t>
      </w:r>
    </w:p>
    <w:p>
      <w:pPr>
        <w:ind w:left="259" w:hanging="259"/>
      </w:pPr>
      <w:r>
        <w:t>☐ I can destroy the lab safely and prove that no unexpected billable resource remains.</w:t>
      </w:r>
    </w:p>
    <w:p>
      <w:pPr>
        <w:pStyle w:val="Heading1"/>
        <w:keepNext w:val="0"/>
      </w:pPr>
      <w:r>
        <w:t>Additional Portfolio Projects</w:t>
      </w:r>
    </w:p>
    <w:p>
      <w:r>
        <w:rPr>
          <w:b/>
        </w:rPr>
        <w:t xml:space="preserve">1. </w:t>
      </w:r>
      <w:r>
        <w:t>Resource vending workflow with ownership, policy, budget and closure automation.</w:t>
      </w:r>
    </w:p>
    <w:p>
      <w:r>
        <w:rPr>
          <w:b/>
        </w:rPr>
        <w:t xml:space="preserve">2. </w:t>
      </w:r>
      <w:r>
        <w:t>Keyless CI/CD identity module and effective-access test harness.</w:t>
      </w:r>
    </w:p>
    <w:p>
      <w:r>
        <w:rPr>
          <w:b/>
        </w:rPr>
        <w:t xml:space="preserve">3. </w:t>
      </w:r>
      <w:r>
        <w:t>Private network and DNS validation pack with route and failure scenarios.</w:t>
      </w:r>
    </w:p>
    <w:p>
      <w:r>
        <w:rPr>
          <w:b/>
        </w:rPr>
        <w:t xml:space="preserve">4. </w:t>
      </w:r>
      <w:r>
        <w:t>Managed data backup, restore and reconciliation project.</w:t>
      </w:r>
    </w:p>
    <w:p>
      <w:r>
        <w:rPr>
          <w:b/>
        </w:rPr>
        <w:t xml:space="preserve">5. </w:t>
      </w:r>
      <w:r>
        <w:t>Security finding triage and automated containment simulation.</w:t>
      </w:r>
    </w:p>
    <w:p>
      <w:r>
        <w:rPr>
          <w:b/>
        </w:rPr>
        <w:t xml:space="preserve">6. </w:t>
      </w:r>
      <w:r>
        <w:t>SLO dashboard and incident-command game day.</w:t>
      </w:r>
    </w:p>
    <w:p>
      <w:r>
        <w:rPr>
          <w:b/>
        </w:rPr>
        <w:t xml:space="preserve">7. </w:t>
      </w:r>
      <w:r>
        <w:t>Billing export, allocation coverage and unit-cost dashboard.</w:t>
      </w:r>
    </w:p>
    <w:p>
      <w:r>
        <w:rPr>
          <w:b/>
        </w:rPr>
        <w:t xml:space="preserve">8. </w:t>
      </w:r>
      <w:r>
        <w:t>IaC provider-upgrade and drift-remediation pipeline.</w:t>
      </w:r>
    </w:p>
    <w:p>
      <w:r>
        <w:rPr>
          <w:b/>
        </w:rPr>
        <w:t xml:space="preserve">9. </w:t>
      </w:r>
      <w:r>
        <w:t>Regional or cross-provider disaster-recovery exercise.</w:t>
      </w:r>
    </w:p>
    <w:p>
      <w:r>
        <w:rPr>
          <w:b/>
        </w:rPr>
        <w:t xml:space="preserve">10. </w:t>
      </w:r>
      <w:r>
        <w:t>Executive architecture brief with decisions, risks, roadmap and measured outcomes.</w:t>
      </w:r>
    </w:p>
    <w:p>
      <w:pPr>
        <w:pStyle w:val="Heading1"/>
        <w:keepNext w:val="0"/>
      </w:pPr>
      <w:r>
        <w:t>30-Day 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65" w:type="dxa"/>
              <w:start w:w="85" w:type="dxa"/>
              <w:bottom w:w="65" w:type="dxa"/>
              <w:end w:w="85" w:type="dxa"/>
            </w:tcMar>
            <w:vAlign w:val="center"/>
          </w:tcPr>
          <w:p>
            <w:r>
              <w:rPr>
                <w:b/>
                <w:color w:val="FFFFFF"/>
                <w:sz w:val="14"/>
              </w:rPr>
              <w:t>Days</w:t>
            </w:r>
          </w:p>
        </w:tc>
        <w:tc>
          <w:tcPr>
            <w:tcW w:type="dxa" w:w="2952"/>
            <w:shd w:fill="176B87"/>
            <w:tcMar>
              <w:top w:w="65" w:type="dxa"/>
              <w:start w:w="85" w:type="dxa"/>
              <w:bottom w:w="65" w:type="dxa"/>
              <w:end w:w="85" w:type="dxa"/>
            </w:tcMar>
            <w:vAlign w:val="center"/>
          </w:tcPr>
          <w:p>
            <w:r>
              <w:rPr>
                <w:b/>
                <w:color w:val="FFFFFF"/>
                <w:sz w:val="14"/>
              </w:rPr>
              <w:t>Focus</w:t>
            </w:r>
          </w:p>
        </w:tc>
        <w:tc>
          <w:tcPr>
            <w:tcW w:type="dxa" w:w="5904"/>
            <w:shd w:fill="176B87"/>
            <w:tcMar>
              <w:top w:w="65" w:type="dxa"/>
              <w:start w:w="85" w:type="dxa"/>
              <w:bottom w:w="65" w:type="dxa"/>
              <w:end w:w="85" w:type="dxa"/>
            </w:tcMar>
            <w:vAlign w:val="center"/>
          </w:tcPr>
          <w:p>
            <w:r>
              <w:rPr>
                <w:b/>
                <w:color w:val="FFFFFF"/>
                <w:sz w:val="14"/>
              </w:rPr>
              <w:t>Required output</w:t>
            </w:r>
          </w:p>
        </w:tc>
      </w:tr>
      <w:tr>
        <w:trPr>
          <w:cantSplit/>
        </w:trPr>
        <w:tc>
          <w:tcPr>
            <w:tcW w:type="dxa" w:w="1080"/>
            <w:tcMar>
              <w:top w:w="65" w:type="dxa"/>
              <w:start w:w="85" w:type="dxa"/>
              <w:bottom w:w="65" w:type="dxa"/>
              <w:end w:w="85" w:type="dxa"/>
            </w:tcMar>
            <w:vAlign w:val="top"/>
          </w:tcPr>
          <w:p>
            <w:r>
              <w:rPr>
                <w:sz w:val="14"/>
              </w:rPr>
              <w:t>1-4</w:t>
            </w:r>
          </w:p>
        </w:tc>
        <w:tc>
          <w:tcPr>
            <w:tcW w:type="dxa" w:w="2952"/>
            <w:tcMar>
              <w:top w:w="65" w:type="dxa"/>
              <w:start w:w="85" w:type="dxa"/>
              <w:bottom w:w="65" w:type="dxa"/>
              <w:end w:w="85" w:type="dxa"/>
            </w:tcMar>
            <w:vAlign w:val="top"/>
          </w:tcPr>
          <w:p>
            <w:r>
              <w:rPr>
                <w:sz w:val="14"/>
              </w:rPr>
              <w:t>Hierarchy, ownership and identity</w:t>
            </w:r>
          </w:p>
        </w:tc>
        <w:tc>
          <w:tcPr>
            <w:tcW w:type="dxa" w:w="5904"/>
            <w:tcMar>
              <w:top w:w="65" w:type="dxa"/>
              <w:start w:w="85" w:type="dxa"/>
              <w:bottom w:w="65" w:type="dxa"/>
              <w:end w:w="85" w:type="dxa"/>
            </w:tcMar>
            <w:vAlign w:val="top"/>
          </w:tcPr>
          <w:p>
            <w:r>
              <w:rPr>
                <w:sz w:val="14"/>
              </w:rPr>
              <w:t>Architecture diagram, RACI and access tests</w:t>
            </w:r>
          </w:p>
        </w:tc>
      </w:tr>
      <w:tr>
        <w:trPr>
          <w:cantSplit/>
        </w:trPr>
        <w:tc>
          <w:tcPr>
            <w:tcW w:type="dxa" w:w="1080"/>
            <w:tcMar>
              <w:top w:w="65" w:type="dxa"/>
              <w:start w:w="85" w:type="dxa"/>
              <w:bottom w:w="65" w:type="dxa"/>
              <w:end w:w="85" w:type="dxa"/>
            </w:tcMar>
            <w:vAlign w:val="top"/>
          </w:tcPr>
          <w:p>
            <w:r>
              <w:rPr>
                <w:sz w:val="14"/>
              </w:rPr>
              <w:t>5-8</w:t>
            </w:r>
          </w:p>
        </w:tc>
        <w:tc>
          <w:tcPr>
            <w:tcW w:type="dxa" w:w="2952"/>
            <w:tcMar>
              <w:top w:w="65" w:type="dxa"/>
              <w:start w:w="85" w:type="dxa"/>
              <w:bottom w:w="65" w:type="dxa"/>
              <w:end w:w="85" w:type="dxa"/>
            </w:tcMar>
            <w:vAlign w:val="top"/>
          </w:tcPr>
          <w:p>
            <w:r>
              <w:rPr>
                <w:sz w:val="14"/>
              </w:rPr>
              <w:t>Networking and private services</w:t>
            </w:r>
          </w:p>
        </w:tc>
        <w:tc>
          <w:tcPr>
            <w:tcW w:type="dxa" w:w="5904"/>
            <w:tcMar>
              <w:top w:w="65" w:type="dxa"/>
              <w:start w:w="85" w:type="dxa"/>
              <w:bottom w:w="65" w:type="dxa"/>
              <w:end w:w="85" w:type="dxa"/>
            </w:tcMar>
            <w:vAlign w:val="top"/>
          </w:tcPr>
          <w:p>
            <w:r>
              <w:rPr>
                <w:sz w:val="14"/>
              </w:rPr>
              <w:t>IP plan, flow matrix and reachability evidence</w:t>
            </w:r>
          </w:p>
        </w:tc>
      </w:tr>
      <w:tr>
        <w:trPr>
          <w:cantSplit/>
        </w:trPr>
        <w:tc>
          <w:tcPr>
            <w:tcW w:type="dxa" w:w="1080"/>
            <w:tcMar>
              <w:top w:w="65" w:type="dxa"/>
              <w:start w:w="85" w:type="dxa"/>
              <w:bottom w:w="65" w:type="dxa"/>
              <w:end w:w="85" w:type="dxa"/>
            </w:tcMar>
            <w:vAlign w:val="top"/>
          </w:tcPr>
          <w:p>
            <w:r>
              <w:rPr>
                <w:sz w:val="14"/>
              </w:rPr>
              <w:t>9-12</w:t>
            </w:r>
          </w:p>
        </w:tc>
        <w:tc>
          <w:tcPr>
            <w:tcW w:type="dxa" w:w="2952"/>
            <w:tcMar>
              <w:top w:w="65" w:type="dxa"/>
              <w:start w:w="85" w:type="dxa"/>
              <w:bottom w:w="65" w:type="dxa"/>
              <w:end w:w="85" w:type="dxa"/>
            </w:tcMar>
            <w:vAlign w:val="top"/>
          </w:tcPr>
          <w:p>
            <w:r>
              <w:rPr>
                <w:sz w:val="14"/>
              </w:rPr>
              <w:t>Compute and delivery</w:t>
            </w:r>
          </w:p>
        </w:tc>
        <w:tc>
          <w:tcPr>
            <w:tcW w:type="dxa" w:w="5904"/>
            <w:tcMar>
              <w:top w:w="65" w:type="dxa"/>
              <w:start w:w="85" w:type="dxa"/>
              <w:bottom w:w="65" w:type="dxa"/>
              <w:end w:w="85" w:type="dxa"/>
            </w:tcMar>
            <w:vAlign w:val="top"/>
          </w:tcPr>
          <w:p>
            <w:r>
              <w:rPr>
                <w:sz w:val="14"/>
              </w:rPr>
              <w:t>Workload deployment, autoscaling and rollback</w:t>
            </w:r>
          </w:p>
        </w:tc>
      </w:tr>
      <w:tr>
        <w:trPr>
          <w:cantSplit/>
        </w:trPr>
        <w:tc>
          <w:tcPr>
            <w:tcW w:type="dxa" w:w="1080"/>
            <w:tcMar>
              <w:top w:w="65" w:type="dxa"/>
              <w:start w:w="85" w:type="dxa"/>
              <w:bottom w:w="65" w:type="dxa"/>
              <w:end w:w="85" w:type="dxa"/>
            </w:tcMar>
            <w:vAlign w:val="top"/>
          </w:tcPr>
          <w:p>
            <w:r>
              <w:rPr>
                <w:sz w:val="14"/>
              </w:rPr>
              <w:t>13-16</w:t>
            </w:r>
          </w:p>
        </w:tc>
        <w:tc>
          <w:tcPr>
            <w:tcW w:type="dxa" w:w="2952"/>
            <w:tcMar>
              <w:top w:w="65" w:type="dxa"/>
              <w:start w:w="85" w:type="dxa"/>
              <w:bottom w:w="65" w:type="dxa"/>
              <w:end w:w="85" w:type="dxa"/>
            </w:tcMar>
            <w:vAlign w:val="top"/>
          </w:tcPr>
          <w:p>
            <w:r>
              <w:rPr>
                <w:sz w:val="14"/>
              </w:rPr>
              <w:t>Data and recovery</w:t>
            </w:r>
          </w:p>
        </w:tc>
        <w:tc>
          <w:tcPr>
            <w:tcW w:type="dxa" w:w="5904"/>
            <w:tcMar>
              <w:top w:w="65" w:type="dxa"/>
              <w:start w:w="85" w:type="dxa"/>
              <w:bottom w:w="65" w:type="dxa"/>
              <w:end w:w="85" w:type="dxa"/>
            </w:tcMar>
            <w:vAlign w:val="top"/>
          </w:tcPr>
          <w:p>
            <w:r>
              <w:rPr>
                <w:sz w:val="14"/>
              </w:rPr>
              <w:t>Backup, restore and integrity report</w:t>
            </w:r>
          </w:p>
        </w:tc>
      </w:tr>
      <w:tr>
        <w:trPr>
          <w:cantSplit/>
        </w:trPr>
        <w:tc>
          <w:tcPr>
            <w:tcW w:type="dxa" w:w="1080"/>
            <w:tcMar>
              <w:top w:w="65" w:type="dxa"/>
              <w:start w:w="85" w:type="dxa"/>
              <w:bottom w:w="65" w:type="dxa"/>
              <w:end w:w="85" w:type="dxa"/>
            </w:tcMar>
            <w:vAlign w:val="top"/>
          </w:tcPr>
          <w:p>
            <w:r>
              <w:rPr>
                <w:sz w:val="14"/>
              </w:rPr>
              <w:t>17-20</w:t>
            </w:r>
          </w:p>
        </w:tc>
        <w:tc>
          <w:tcPr>
            <w:tcW w:type="dxa" w:w="2952"/>
            <w:tcMar>
              <w:top w:w="65" w:type="dxa"/>
              <w:start w:w="85" w:type="dxa"/>
              <w:bottom w:w="65" w:type="dxa"/>
              <w:end w:w="85" w:type="dxa"/>
            </w:tcMar>
            <w:vAlign w:val="top"/>
          </w:tcPr>
          <w:p>
            <w:r>
              <w:rPr>
                <w:sz w:val="14"/>
              </w:rPr>
              <w:t>Security and audit</w:t>
            </w:r>
          </w:p>
        </w:tc>
        <w:tc>
          <w:tcPr>
            <w:tcW w:type="dxa" w:w="5904"/>
            <w:tcMar>
              <w:top w:w="65" w:type="dxa"/>
              <w:start w:w="85" w:type="dxa"/>
              <w:bottom w:w="65" w:type="dxa"/>
              <w:end w:w="85" w:type="dxa"/>
            </w:tcMar>
            <w:vAlign w:val="top"/>
          </w:tcPr>
          <w:p>
            <w:r>
              <w:rPr>
                <w:sz w:val="14"/>
              </w:rPr>
              <w:t>Threat model, policy tests and finding workflow</w:t>
            </w:r>
          </w:p>
        </w:tc>
      </w:tr>
      <w:tr>
        <w:trPr>
          <w:cantSplit/>
        </w:trPr>
        <w:tc>
          <w:tcPr>
            <w:tcW w:type="dxa" w:w="1080"/>
            <w:tcMar>
              <w:top w:w="65" w:type="dxa"/>
              <w:start w:w="85" w:type="dxa"/>
              <w:bottom w:w="65" w:type="dxa"/>
              <w:end w:w="85" w:type="dxa"/>
            </w:tcMar>
            <w:vAlign w:val="top"/>
          </w:tcPr>
          <w:p>
            <w:r>
              <w:rPr>
                <w:sz w:val="14"/>
              </w:rPr>
              <w:t>21-23</w:t>
            </w:r>
          </w:p>
        </w:tc>
        <w:tc>
          <w:tcPr>
            <w:tcW w:type="dxa" w:w="2952"/>
            <w:tcMar>
              <w:top w:w="65" w:type="dxa"/>
              <w:start w:w="85" w:type="dxa"/>
              <w:bottom w:w="65" w:type="dxa"/>
              <w:end w:w="85" w:type="dxa"/>
            </w:tcMar>
            <w:vAlign w:val="top"/>
          </w:tcPr>
          <w:p>
            <w:r>
              <w:rPr>
                <w:sz w:val="14"/>
              </w:rPr>
              <w:t>Observability and incidents</w:t>
            </w:r>
          </w:p>
        </w:tc>
        <w:tc>
          <w:tcPr>
            <w:tcW w:type="dxa" w:w="5904"/>
            <w:tcMar>
              <w:top w:w="65" w:type="dxa"/>
              <w:start w:w="85" w:type="dxa"/>
              <w:bottom w:w="65" w:type="dxa"/>
              <w:end w:w="85" w:type="dxa"/>
            </w:tcMar>
            <w:vAlign w:val="top"/>
          </w:tcPr>
          <w:p>
            <w:r>
              <w:rPr>
                <w:sz w:val="14"/>
              </w:rPr>
              <w:t>SLO, dashboard and incident timeline</w:t>
            </w:r>
          </w:p>
        </w:tc>
      </w:tr>
      <w:tr>
        <w:trPr>
          <w:cantSplit/>
        </w:trPr>
        <w:tc>
          <w:tcPr>
            <w:tcW w:type="dxa" w:w="1080"/>
            <w:tcMar>
              <w:top w:w="65" w:type="dxa"/>
              <w:start w:w="85" w:type="dxa"/>
              <w:bottom w:w="65" w:type="dxa"/>
              <w:end w:w="85" w:type="dxa"/>
            </w:tcMar>
            <w:vAlign w:val="top"/>
          </w:tcPr>
          <w:p>
            <w:r>
              <w:rPr>
                <w:sz w:val="14"/>
              </w:rPr>
              <w:t>24-26</w:t>
            </w:r>
          </w:p>
        </w:tc>
        <w:tc>
          <w:tcPr>
            <w:tcW w:type="dxa" w:w="2952"/>
            <w:tcMar>
              <w:top w:w="65" w:type="dxa"/>
              <w:start w:w="85" w:type="dxa"/>
              <w:bottom w:w="65" w:type="dxa"/>
              <w:end w:w="85" w:type="dxa"/>
            </w:tcMar>
            <w:vAlign w:val="top"/>
          </w:tcPr>
          <w:p>
            <w:r>
              <w:rPr>
                <w:sz w:val="14"/>
              </w:rPr>
              <w:t>FinOps and governance</w:t>
            </w:r>
          </w:p>
        </w:tc>
        <w:tc>
          <w:tcPr>
            <w:tcW w:type="dxa" w:w="5904"/>
            <w:tcMar>
              <w:top w:w="65" w:type="dxa"/>
              <w:start w:w="85" w:type="dxa"/>
              <w:bottom w:w="65" w:type="dxa"/>
              <w:end w:w="85" w:type="dxa"/>
            </w:tcMar>
            <w:vAlign w:val="top"/>
          </w:tcPr>
          <w:p>
            <w:r>
              <w:rPr>
                <w:sz w:val="14"/>
              </w:rPr>
              <w:t>Allocation, budget and unit-cost review</w:t>
            </w:r>
          </w:p>
        </w:tc>
      </w:tr>
      <w:tr>
        <w:trPr>
          <w:cantSplit/>
        </w:trPr>
        <w:tc>
          <w:tcPr>
            <w:tcW w:type="dxa" w:w="1080"/>
            <w:tcMar>
              <w:top w:w="65" w:type="dxa"/>
              <w:start w:w="85" w:type="dxa"/>
              <w:bottom w:w="65" w:type="dxa"/>
              <w:end w:w="85" w:type="dxa"/>
            </w:tcMar>
            <w:vAlign w:val="top"/>
          </w:tcPr>
          <w:p>
            <w:r>
              <w:rPr>
                <w:sz w:val="14"/>
              </w:rPr>
              <w:t>27-28</w:t>
            </w:r>
          </w:p>
        </w:tc>
        <w:tc>
          <w:tcPr>
            <w:tcW w:type="dxa" w:w="2952"/>
            <w:tcMar>
              <w:top w:w="65" w:type="dxa"/>
              <w:start w:w="85" w:type="dxa"/>
              <w:bottom w:w="65" w:type="dxa"/>
              <w:end w:w="85" w:type="dxa"/>
            </w:tcMar>
            <w:vAlign w:val="top"/>
          </w:tcPr>
          <w:p>
            <w:r>
              <w:rPr>
                <w:sz w:val="14"/>
              </w:rPr>
              <w:t>Failure drills</w:t>
            </w:r>
          </w:p>
        </w:tc>
        <w:tc>
          <w:tcPr>
            <w:tcW w:type="dxa" w:w="5904"/>
            <w:tcMar>
              <w:top w:w="65" w:type="dxa"/>
              <w:start w:w="85" w:type="dxa"/>
              <w:bottom w:w="65" w:type="dxa"/>
              <w:end w:w="85" w:type="dxa"/>
            </w:tcMar>
            <w:vAlign w:val="top"/>
          </w:tcPr>
          <w:p>
            <w:r>
              <w:rPr>
                <w:sz w:val="14"/>
              </w:rPr>
              <w:t>Bounded outage and recovery evidence</w:t>
            </w:r>
          </w:p>
        </w:tc>
      </w:tr>
      <w:tr>
        <w:trPr>
          <w:cantSplit/>
        </w:trPr>
        <w:tc>
          <w:tcPr>
            <w:tcW w:type="dxa" w:w="1080"/>
            <w:tcMar>
              <w:top w:w="65" w:type="dxa"/>
              <w:start w:w="85" w:type="dxa"/>
              <w:bottom w:w="65" w:type="dxa"/>
              <w:end w:w="85" w:type="dxa"/>
            </w:tcMar>
            <w:vAlign w:val="top"/>
          </w:tcPr>
          <w:p>
            <w:r>
              <w:rPr>
                <w:sz w:val="14"/>
              </w:rPr>
              <w:t>29-30</w:t>
            </w:r>
          </w:p>
        </w:tc>
        <w:tc>
          <w:tcPr>
            <w:tcW w:type="dxa" w:w="2952"/>
            <w:tcMar>
              <w:top w:w="65" w:type="dxa"/>
              <w:start w:w="85" w:type="dxa"/>
              <w:bottom w:w="65" w:type="dxa"/>
              <w:end w:w="85" w:type="dxa"/>
            </w:tcMar>
            <w:vAlign w:val="top"/>
          </w:tcPr>
          <w:p>
            <w:r>
              <w:rPr>
                <w:sz w:val="14"/>
              </w:rPr>
              <w:t>Capstone and portfolio</w:t>
            </w:r>
          </w:p>
        </w:tc>
        <w:tc>
          <w:tcPr>
            <w:tcW w:type="dxa" w:w="5904"/>
            <w:tcMar>
              <w:top w:w="65" w:type="dxa"/>
              <w:start w:w="85" w:type="dxa"/>
              <w:bottom w:w="65" w:type="dxa"/>
              <w:end w:w="85" w:type="dxa"/>
            </w:tcMar>
            <w:vAlign w:val="top"/>
          </w:tcPr>
          <w:p>
            <w:r>
              <w:rPr>
                <w:sz w:val="14"/>
              </w:rPr>
              <w:t>Architecture defense, cleanup and sanitized report</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65" w:type="dxa"/>
              <w:start w:w="85" w:type="dxa"/>
              <w:bottom w:w="65" w:type="dxa"/>
              <w:end w:w="85" w:type="dxa"/>
            </w:tcMar>
            <w:vAlign w:val="center"/>
          </w:tcPr>
          <w:p>
            <w:r>
              <w:rPr>
                <w:b/>
                <w:color w:val="FFFFFF"/>
                <w:sz w:val="15"/>
              </w:rPr>
              <w:t>Term</w:t>
            </w:r>
          </w:p>
        </w:tc>
        <w:tc>
          <w:tcPr>
            <w:tcW w:type="dxa" w:w="7848"/>
            <w:shd w:fill="176B87"/>
            <w:tcMar>
              <w:top w:w="65" w:type="dxa"/>
              <w:start w:w="85" w:type="dxa"/>
              <w:bottom w:w="65" w:type="dxa"/>
              <w:end w:w="85" w:type="dxa"/>
            </w:tcMar>
            <w:vAlign w:val="center"/>
          </w:tcPr>
          <w:p>
            <w:r>
              <w:rPr>
                <w:b/>
                <w:color w:val="FFFFFF"/>
                <w:sz w:val="15"/>
              </w:rPr>
              <w:t>Definition</w:t>
            </w:r>
          </w:p>
        </w:tc>
      </w:tr>
      <w:tr>
        <w:trPr>
          <w:cantSplit/>
        </w:trPr>
        <w:tc>
          <w:tcPr>
            <w:tcW w:type="dxa" w:w="2088"/>
            <w:tcMar>
              <w:top w:w="65" w:type="dxa"/>
              <w:start w:w="85" w:type="dxa"/>
              <w:bottom w:w="65" w:type="dxa"/>
              <w:end w:w="85" w:type="dxa"/>
            </w:tcMar>
            <w:vAlign w:val="top"/>
          </w:tcPr>
          <w:p>
            <w:r>
              <w:rPr>
                <w:sz w:val="15"/>
              </w:rPr>
              <w:t>Application landing zone</w:t>
            </w:r>
          </w:p>
        </w:tc>
        <w:tc>
          <w:tcPr>
            <w:tcW w:type="dxa" w:w="7848"/>
            <w:tcMar>
              <w:top w:w="65" w:type="dxa"/>
              <w:start w:w="85" w:type="dxa"/>
              <w:bottom w:w="65" w:type="dxa"/>
              <w:end w:w="85" w:type="dxa"/>
            </w:tcMar>
            <w:vAlign w:val="top"/>
          </w:tcPr>
          <w:p>
            <w:r>
              <w:rPr>
                <w:sz w:val="15"/>
              </w:rPr>
              <w:t>A governed environment in which a workload team deploys and operates applications.</w:t>
            </w:r>
          </w:p>
        </w:tc>
      </w:tr>
      <w:tr>
        <w:trPr>
          <w:cantSplit/>
        </w:trPr>
        <w:tc>
          <w:tcPr>
            <w:tcW w:type="dxa" w:w="2088"/>
            <w:tcMar>
              <w:top w:w="65" w:type="dxa"/>
              <w:start w:w="85" w:type="dxa"/>
              <w:bottom w:w="65" w:type="dxa"/>
              <w:end w:w="85" w:type="dxa"/>
            </w:tcMar>
            <w:vAlign w:val="top"/>
          </w:tcPr>
          <w:p>
            <w:r>
              <w:rPr>
                <w:sz w:val="15"/>
              </w:rPr>
              <w:t>Blast radius</w:t>
            </w:r>
          </w:p>
        </w:tc>
        <w:tc>
          <w:tcPr>
            <w:tcW w:type="dxa" w:w="7848"/>
            <w:tcMar>
              <w:top w:w="65" w:type="dxa"/>
              <w:start w:w="85" w:type="dxa"/>
              <w:bottom w:w="65" w:type="dxa"/>
              <w:end w:w="85" w:type="dxa"/>
            </w:tcMar>
            <w:vAlign w:val="top"/>
          </w:tcPr>
          <w:p>
            <w:r>
              <w:rPr>
                <w:sz w:val="15"/>
              </w:rPr>
              <w:t>The maximum scope of impact from a failure, credential or change.</w:t>
            </w:r>
          </w:p>
        </w:tc>
      </w:tr>
      <w:tr>
        <w:trPr>
          <w:cantSplit/>
        </w:trPr>
        <w:tc>
          <w:tcPr>
            <w:tcW w:type="dxa" w:w="2088"/>
            <w:tcMar>
              <w:top w:w="65" w:type="dxa"/>
              <w:start w:w="85" w:type="dxa"/>
              <w:bottom w:w="65" w:type="dxa"/>
              <w:end w:w="85" w:type="dxa"/>
            </w:tcMar>
            <w:vAlign w:val="top"/>
          </w:tcPr>
          <w:p>
            <w:r>
              <w:rPr>
                <w:sz w:val="15"/>
              </w:rPr>
              <w:t>Control plane</w:t>
            </w:r>
          </w:p>
        </w:tc>
        <w:tc>
          <w:tcPr>
            <w:tcW w:type="dxa" w:w="7848"/>
            <w:tcMar>
              <w:top w:w="65" w:type="dxa"/>
              <w:start w:w="85" w:type="dxa"/>
              <w:bottom w:w="65" w:type="dxa"/>
              <w:end w:w="85" w:type="dxa"/>
            </w:tcMar>
            <w:vAlign w:val="top"/>
          </w:tcPr>
          <w:p>
            <w:r>
              <w:rPr>
                <w:sz w:val="15"/>
              </w:rPr>
              <w:t>Interfaces and services used to administer a cloud or platform.</w:t>
            </w:r>
          </w:p>
        </w:tc>
      </w:tr>
      <w:tr>
        <w:trPr>
          <w:cantSplit/>
        </w:trPr>
        <w:tc>
          <w:tcPr>
            <w:tcW w:type="dxa" w:w="2088"/>
            <w:tcMar>
              <w:top w:w="65" w:type="dxa"/>
              <w:start w:w="85" w:type="dxa"/>
              <w:bottom w:w="65" w:type="dxa"/>
              <w:end w:w="85" w:type="dxa"/>
            </w:tcMar>
            <w:vAlign w:val="top"/>
          </w:tcPr>
          <w:p>
            <w:r>
              <w:rPr>
                <w:sz w:val="15"/>
              </w:rPr>
              <w:t>Data plane</w:t>
            </w:r>
          </w:p>
        </w:tc>
        <w:tc>
          <w:tcPr>
            <w:tcW w:type="dxa" w:w="7848"/>
            <w:tcMar>
              <w:top w:w="65" w:type="dxa"/>
              <w:start w:w="85" w:type="dxa"/>
              <w:bottom w:w="65" w:type="dxa"/>
              <w:end w:w="85" w:type="dxa"/>
            </w:tcMar>
            <w:vAlign w:val="top"/>
          </w:tcPr>
          <w:p>
            <w:r>
              <w:rPr>
                <w:sz w:val="15"/>
              </w:rPr>
              <w:t>The runtime path that processes application traffic and data.</w:t>
            </w:r>
          </w:p>
        </w:tc>
      </w:tr>
      <w:tr>
        <w:trPr>
          <w:cantSplit/>
        </w:trPr>
        <w:tc>
          <w:tcPr>
            <w:tcW w:type="dxa" w:w="2088"/>
            <w:tcMar>
              <w:top w:w="65" w:type="dxa"/>
              <w:start w:w="85" w:type="dxa"/>
              <w:bottom w:w="65" w:type="dxa"/>
              <w:end w:w="85" w:type="dxa"/>
            </w:tcMar>
            <w:vAlign w:val="top"/>
          </w:tcPr>
          <w:p>
            <w:r>
              <w:rPr>
                <w:sz w:val="15"/>
              </w:rPr>
              <w:t>Federation</w:t>
            </w:r>
          </w:p>
        </w:tc>
        <w:tc>
          <w:tcPr>
            <w:tcW w:type="dxa" w:w="7848"/>
            <w:tcMar>
              <w:top w:w="65" w:type="dxa"/>
              <w:start w:w="85" w:type="dxa"/>
              <w:bottom w:w="65" w:type="dxa"/>
              <w:end w:w="85" w:type="dxa"/>
            </w:tcMar>
            <w:vAlign w:val="top"/>
          </w:tcPr>
          <w:p>
            <w:r>
              <w:rPr>
                <w:sz w:val="15"/>
              </w:rPr>
              <w:t>Trust that allows an external identity source to authenticate without duplicate long-lived credentials.</w:t>
            </w:r>
          </w:p>
        </w:tc>
      </w:tr>
      <w:tr>
        <w:trPr>
          <w:cantSplit/>
        </w:trPr>
        <w:tc>
          <w:tcPr>
            <w:tcW w:type="dxa" w:w="2088"/>
            <w:tcMar>
              <w:top w:w="65" w:type="dxa"/>
              <w:start w:w="85" w:type="dxa"/>
              <w:bottom w:w="65" w:type="dxa"/>
              <w:end w:w="85" w:type="dxa"/>
            </w:tcMar>
            <w:vAlign w:val="top"/>
          </w:tcPr>
          <w:p>
            <w:r>
              <w:rPr>
                <w:sz w:val="15"/>
              </w:rPr>
              <w:t>Guardrail</w:t>
            </w:r>
          </w:p>
        </w:tc>
        <w:tc>
          <w:tcPr>
            <w:tcW w:type="dxa" w:w="7848"/>
            <w:tcMar>
              <w:top w:w="65" w:type="dxa"/>
              <w:start w:w="85" w:type="dxa"/>
              <w:bottom w:w="65" w:type="dxa"/>
              <w:end w:w="85" w:type="dxa"/>
            </w:tcMar>
            <w:vAlign w:val="top"/>
          </w:tcPr>
          <w:p>
            <w:r>
              <w:rPr>
                <w:sz w:val="15"/>
              </w:rPr>
              <w:t>A preventive, detective or corrective control that constrains activity.</w:t>
            </w:r>
          </w:p>
        </w:tc>
      </w:tr>
      <w:tr>
        <w:trPr>
          <w:cantSplit/>
        </w:trPr>
        <w:tc>
          <w:tcPr>
            <w:tcW w:type="dxa" w:w="2088"/>
            <w:tcMar>
              <w:top w:w="65" w:type="dxa"/>
              <w:start w:w="85" w:type="dxa"/>
              <w:bottom w:w="65" w:type="dxa"/>
              <w:end w:w="85" w:type="dxa"/>
            </w:tcMar>
            <w:vAlign w:val="top"/>
          </w:tcPr>
          <w:p>
            <w:r>
              <w:rPr>
                <w:sz w:val="15"/>
              </w:rPr>
              <w:t>Landing zone</w:t>
            </w:r>
          </w:p>
        </w:tc>
        <w:tc>
          <w:tcPr>
            <w:tcW w:type="dxa" w:w="7848"/>
            <w:tcMar>
              <w:top w:w="65" w:type="dxa"/>
              <w:start w:w="85" w:type="dxa"/>
              <w:bottom w:w="65" w:type="dxa"/>
              <w:end w:w="85" w:type="dxa"/>
            </w:tcMar>
            <w:vAlign w:val="top"/>
          </w:tcPr>
          <w:p>
            <w:r>
              <w:rPr>
                <w:sz w:val="15"/>
              </w:rPr>
              <w:t>A scalable cloud foundation for hierarchy, identity, network, security, logging and cost.</w:t>
            </w:r>
          </w:p>
        </w:tc>
      </w:tr>
      <w:tr>
        <w:trPr>
          <w:cantSplit/>
        </w:trPr>
        <w:tc>
          <w:tcPr>
            <w:tcW w:type="dxa" w:w="2088"/>
            <w:tcMar>
              <w:top w:w="65" w:type="dxa"/>
              <w:start w:w="85" w:type="dxa"/>
              <w:bottom w:w="65" w:type="dxa"/>
              <w:end w:w="85" w:type="dxa"/>
            </w:tcMar>
            <w:vAlign w:val="top"/>
          </w:tcPr>
          <w:p>
            <w:r>
              <w:rPr>
                <w:sz w:val="15"/>
              </w:rPr>
              <w:t>Private endpoint</w:t>
            </w:r>
          </w:p>
        </w:tc>
        <w:tc>
          <w:tcPr>
            <w:tcW w:type="dxa" w:w="7848"/>
            <w:tcMar>
              <w:top w:w="65" w:type="dxa"/>
              <w:start w:w="85" w:type="dxa"/>
              <w:bottom w:w="65" w:type="dxa"/>
              <w:end w:w="85" w:type="dxa"/>
            </w:tcMar>
            <w:vAlign w:val="top"/>
          </w:tcPr>
          <w:p>
            <w:r>
              <w:rPr>
                <w:sz w:val="15"/>
              </w:rPr>
              <w:t>A private network interface used to access a managed service without a public path.</w:t>
            </w:r>
          </w:p>
        </w:tc>
      </w:tr>
      <w:tr>
        <w:trPr>
          <w:cantSplit/>
        </w:trPr>
        <w:tc>
          <w:tcPr>
            <w:tcW w:type="dxa" w:w="2088"/>
            <w:tcMar>
              <w:top w:w="65" w:type="dxa"/>
              <w:start w:w="85" w:type="dxa"/>
              <w:bottom w:w="65" w:type="dxa"/>
              <w:end w:w="85" w:type="dxa"/>
            </w:tcMar>
            <w:vAlign w:val="top"/>
          </w:tcPr>
          <w:p>
            <w:r>
              <w:rPr>
                <w:sz w:val="15"/>
              </w:rPr>
              <w:t>RPO</w:t>
            </w:r>
          </w:p>
        </w:tc>
        <w:tc>
          <w:tcPr>
            <w:tcW w:type="dxa" w:w="7848"/>
            <w:tcMar>
              <w:top w:w="65" w:type="dxa"/>
              <w:start w:w="85" w:type="dxa"/>
              <w:bottom w:w="65" w:type="dxa"/>
              <w:end w:w="85" w:type="dxa"/>
            </w:tcMar>
            <w:vAlign w:val="top"/>
          </w:tcPr>
          <w:p>
            <w:r>
              <w:rPr>
                <w:sz w:val="15"/>
              </w:rPr>
              <w:t>Maximum acceptable data loss measured in time.</w:t>
            </w:r>
          </w:p>
        </w:tc>
      </w:tr>
      <w:tr>
        <w:trPr>
          <w:cantSplit/>
        </w:trPr>
        <w:tc>
          <w:tcPr>
            <w:tcW w:type="dxa" w:w="2088"/>
            <w:tcMar>
              <w:top w:w="65" w:type="dxa"/>
              <w:start w:w="85" w:type="dxa"/>
              <w:bottom w:w="65" w:type="dxa"/>
              <w:end w:w="85" w:type="dxa"/>
            </w:tcMar>
            <w:vAlign w:val="top"/>
          </w:tcPr>
          <w:p>
            <w:r>
              <w:rPr>
                <w:sz w:val="15"/>
              </w:rPr>
              <w:t>RTO</w:t>
            </w:r>
          </w:p>
        </w:tc>
        <w:tc>
          <w:tcPr>
            <w:tcW w:type="dxa" w:w="7848"/>
            <w:tcMar>
              <w:top w:w="65" w:type="dxa"/>
              <w:start w:w="85" w:type="dxa"/>
              <w:bottom w:w="65" w:type="dxa"/>
              <w:end w:w="85" w:type="dxa"/>
            </w:tcMar>
            <w:vAlign w:val="top"/>
          </w:tcPr>
          <w:p>
            <w:r>
              <w:rPr>
                <w:sz w:val="15"/>
              </w:rPr>
              <w:t>Target time to restore a service after disruption.</w:t>
            </w:r>
          </w:p>
        </w:tc>
      </w:tr>
      <w:tr>
        <w:trPr>
          <w:cantSplit/>
        </w:trPr>
        <w:tc>
          <w:tcPr>
            <w:tcW w:type="dxa" w:w="2088"/>
            <w:tcMar>
              <w:top w:w="65" w:type="dxa"/>
              <w:start w:w="85" w:type="dxa"/>
              <w:bottom w:w="65" w:type="dxa"/>
              <w:end w:w="85" w:type="dxa"/>
            </w:tcMar>
            <w:vAlign w:val="top"/>
          </w:tcPr>
          <w:p>
            <w:r>
              <w:rPr>
                <w:sz w:val="15"/>
              </w:rPr>
              <w:t>Unit cost</w:t>
            </w:r>
          </w:p>
        </w:tc>
        <w:tc>
          <w:tcPr>
            <w:tcW w:type="dxa" w:w="7848"/>
            <w:tcMar>
              <w:top w:w="65" w:type="dxa"/>
              <w:start w:w="85" w:type="dxa"/>
              <w:bottom w:w="65" w:type="dxa"/>
              <w:end w:w="85" w:type="dxa"/>
            </w:tcMar>
            <w:vAlign w:val="top"/>
          </w:tcPr>
          <w:p>
            <w:r>
              <w:rPr>
                <w:sz w:val="15"/>
              </w:rPr>
              <w:t>Technology cost per useful business or technical output.</w:t>
            </w:r>
          </w:p>
        </w:tc>
      </w:tr>
      <w:tr>
        <w:trPr>
          <w:cantSplit/>
        </w:trPr>
        <w:tc>
          <w:tcPr>
            <w:tcW w:type="dxa" w:w="2088"/>
            <w:tcMar>
              <w:top w:w="65" w:type="dxa"/>
              <w:start w:w="85" w:type="dxa"/>
              <w:bottom w:w="65" w:type="dxa"/>
              <w:end w:w="85" w:type="dxa"/>
            </w:tcMar>
            <w:vAlign w:val="top"/>
          </w:tcPr>
          <w:p>
            <w:r>
              <w:rPr>
                <w:sz w:val="15"/>
              </w:rPr>
              <w:t>Workload identity</w:t>
            </w:r>
          </w:p>
        </w:tc>
        <w:tc>
          <w:tcPr>
            <w:tcW w:type="dxa" w:w="7848"/>
            <w:tcMar>
              <w:top w:w="65" w:type="dxa"/>
              <w:start w:w="85" w:type="dxa"/>
              <w:bottom w:w="65" w:type="dxa"/>
              <w:end w:w="85" w:type="dxa"/>
            </w:tcMar>
            <w:vAlign w:val="top"/>
          </w:tcPr>
          <w:p>
            <w:r>
              <w:rPr>
                <w:sz w:val="15"/>
              </w:rPr>
              <w:t>A short-lived identity issued to software based on trusted runtime context.</w:t>
            </w:r>
          </w:p>
        </w:tc>
      </w:tr>
    </w:tbl>
    <w:p>
      <w:pPr>
        <w:pStyle w:val="Heading1"/>
        <w:keepNext w:val="0"/>
      </w:pPr>
      <w:r>
        <w:t>Official Documentation Index</w:t>
      </w:r>
    </w:p>
    <w:p>
      <w:pPr>
        <w:keepNext w:val="0"/>
      </w:pPr>
      <w:r>
        <w:t>The following official sources were checked for this 2026 edition. Verify current service behavior, quotas, prices and certification requirements before production use or exam registration.</w:t>
      </w:r>
    </w:p>
    <w:p>
      <w:pPr>
        <w:pStyle w:val="ListBullet"/>
      </w:pPr>
      <w:hyperlink r:id="rId64">
        <w:r>
          <w:rPr>
            <w:color w:val="176B87"/>
            <w:u w:val="single"/>
          </w:rPr>
          <w:t>Azure Landing Zones</w:t>
        </w:r>
      </w:hyperlink>
    </w:p>
    <w:p>
      <w:pPr>
        <w:pStyle w:val="ListBullet"/>
      </w:pPr>
      <w:hyperlink r:id="rId62">
        <w:r>
          <w:rPr>
            <w:color w:val="176B87"/>
            <w:u w:val="single"/>
          </w:rPr>
          <w:t>Azure Well-Architected Framework</w:t>
        </w:r>
      </w:hyperlink>
    </w:p>
    <w:p>
      <w:pPr>
        <w:pStyle w:val="ListBullet"/>
      </w:pPr>
      <w:hyperlink r:id="rId72">
        <w:r>
          <w:rPr>
            <w:color w:val="176B87"/>
            <w:u w:val="single"/>
          </w:rPr>
          <w:t>Microsoft Entra Architecture</w:t>
        </w:r>
      </w:hyperlink>
    </w:p>
    <w:p>
      <w:pPr>
        <w:pStyle w:val="ListBullet"/>
      </w:pPr>
      <w:hyperlink r:id="rId73">
        <w:r>
          <w:rPr>
            <w:color w:val="176B87"/>
            <w:u w:val="single"/>
          </w:rPr>
          <w:t>Azure Hub-Spoke Architecture</w:t>
        </w:r>
      </w:hyperlink>
    </w:p>
    <w:p>
      <w:pPr>
        <w:pStyle w:val="ListBullet"/>
      </w:pPr>
      <w:hyperlink r:id="rId74">
        <w:r>
          <w:rPr>
            <w:color w:val="176B87"/>
            <w:u w:val="single"/>
          </w:rPr>
          <w:t>Azure Private Link</w:t>
        </w:r>
      </w:hyperlink>
    </w:p>
    <w:p>
      <w:pPr>
        <w:pStyle w:val="ListBullet"/>
      </w:pPr>
      <w:hyperlink r:id="rId75">
        <w:r>
          <w:rPr>
            <w:color w:val="176B87"/>
            <w:u w:val="single"/>
          </w:rPr>
          <w:t>Microsoft Defender for Cloud</w:t>
        </w:r>
      </w:hyperlink>
    </w:p>
    <w:p>
      <w:pPr>
        <w:pStyle w:val="ListBullet"/>
      </w:pPr>
      <w:hyperlink r:id="rId76">
        <w:r>
          <w:rPr>
            <w:color w:val="176B87"/>
            <w:u w:val="single"/>
          </w:rPr>
          <w:t>Azure Monitor Overview</w:t>
        </w:r>
      </w:hyperlink>
    </w:p>
    <w:p>
      <w:pPr>
        <w:pStyle w:val="ListBullet"/>
      </w:pPr>
      <w:hyperlink r:id="rId77">
        <w:r>
          <w:rPr>
            <w:color w:val="176B87"/>
            <w:u w:val="single"/>
          </w:rPr>
          <w:t>Azure Cost Management</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324D"/>
              </w:rPr>
              <w:t>Volume 12C completion: preserve your architecture, code, test evidence, recovery timeline, cost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12C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12C - MICROSOFT AZURE ENTERPRISE CLOUD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learn.microsoft.com/en-us/entra/architecture/architecture" TargetMode="External"/><Relationship Id="rId73" Type="http://schemas.openxmlformats.org/officeDocument/2006/relationships/hyperlink" Target="https://learn.microsoft.com/en-us/azure/architecture/networking/architecture/hub-spoke" TargetMode="External"/><Relationship Id="rId74" Type="http://schemas.openxmlformats.org/officeDocument/2006/relationships/hyperlink" Target="https://learn.microsoft.com/en-us/azure/private-link/private-link-overview" TargetMode="External"/><Relationship Id="rId75" Type="http://schemas.openxmlformats.org/officeDocument/2006/relationships/hyperlink" Target="https://learn.microsoft.com/en-us/azure/defender-for-cloud/defender-for-cloud-introduction" TargetMode="External"/><Relationship Id="rId76" Type="http://schemas.openxmlformats.org/officeDocument/2006/relationships/hyperlink" Target="https://learn.microsoft.com/en-us/azure/azure-monitor/fundamentals/overview" TargetMode="External"/><Relationship Id="rId77" Type="http://schemas.openxmlformats.org/officeDocument/2006/relationships/hyperlink" Target="https://learn.microsoft.com/en-us/azure/cost-management-billing/cost-management-bill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12C - Microsoft Azure Enterprise Cloud Engineering</dc:title>
  <dc:subject>Landing Zones • Entra • Networking • Compute • Data • Security • Reliability • Operations • FinOps</dc:subject>
  <dc:creator>OpenAI</dc:creator>
  <cp:keywords>DevOps, Cloud, AWS, Azure, Google Cloud, Multi-Cloud, Terraform, Architecture, FinOps, Security, Reliability</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