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12D</w:t>
      </w:r>
    </w:p>
    <w:p>
      <w:pPr>
        <w:jc w:val="center"/>
      </w:pPr>
      <w:r>
        <w:rPr>
          <w:b/>
          <w:color w:val="17324D"/>
          <w:sz w:val="40"/>
        </w:rPr>
        <w:t>Google Cloud Enterprise Engineering</w:t>
      </w:r>
    </w:p>
    <w:p>
      <w:pPr>
        <w:pStyle w:val="Subtitle"/>
        <w:jc w:val="center"/>
      </w:pPr>
      <w:r>
        <w:t>Organization • IAM • Shared VPC • Compute • Data • Security • Reliability • Operations • FinOps</w:t>
      </w:r>
    </w:p>
    <w:p>
      <w:pPr>
        <w:keepNext w:val="0"/>
        <w:jc w:val="center"/>
      </w:pPr>
      <w:r>
        <w:t>Chapters 31-40  |  2026 Edition</w:t>
      </w:r>
    </w:p>
    <w:p/>
    <w:p>
      <w:pPr>
        <w:keepNext w:val="0"/>
        <w:jc w:val="center"/>
      </w:pPr>
      <w:r>
        <w:t>Beginner to Enterprise Cloud Architecture and Operations</w:t>
      </w:r>
    </w:p>
    <w:p>
      <w:r>
        <w:br w:type="page"/>
      </w:r>
    </w:p>
    <w:p>
      <w:pPr>
        <w:pStyle w:val="Heading1"/>
        <w:keepNext w:val="0"/>
      </w:pPr>
      <w:r>
        <w:t>About This Part</w:t>
      </w:r>
    </w:p>
    <w:p>
      <w:pPr>
        <w:keepNext w:val="0"/>
      </w:pPr>
      <w:r>
        <w:t>Part D develops provider-depth in Google Cloud. It uses the organization-folder-project hierarchy, keyless identity, Shared VPC, managed compute and data services, Security Command Center, the Operations suite and billing exports to build an enterprise foundation.</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2026 platform note: The 2026 edition follows Google Cloud landing-zone design guidance, enterprise foundation blueprints, Workload Identity Federation, Shared VPC and organization-policy controls rather than persistent service-account keys.</w:t>
            </w:r>
          </w:p>
        </w:tc>
      </w:tr>
    </w:tbl>
    <w:p>
      <w:pPr>
        <w:spacing w:after="0"/>
      </w:pPr>
    </w:p>
    <w:p>
      <w:pPr>
        <w:pStyle w:val="Heading2"/>
        <w:keepNext w:val="0"/>
      </w:pPr>
      <w:r>
        <w:t>Volume 12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864"/>
            <w:shd w:fill="176B87"/>
            <w:tcMar>
              <w:top w:w="65" w:type="dxa"/>
              <w:start w:w="85" w:type="dxa"/>
              <w:bottom w:w="65" w:type="dxa"/>
              <w:end w:w="85" w:type="dxa"/>
            </w:tcMar>
            <w:vAlign w:val="center"/>
          </w:tcPr>
          <w:p>
            <w:r>
              <w:rPr>
                <w:b/>
                <w:color w:val="FFFFFF"/>
                <w:sz w:val="14"/>
              </w:rPr>
              <w:t>Part</w:t>
            </w:r>
          </w:p>
        </w:tc>
        <w:tc>
          <w:tcPr>
            <w:tcW w:type="dxa" w:w="6984"/>
            <w:shd w:fill="176B87"/>
            <w:tcMar>
              <w:top w:w="65" w:type="dxa"/>
              <w:start w:w="85" w:type="dxa"/>
              <w:bottom w:w="65" w:type="dxa"/>
              <w:end w:w="85" w:type="dxa"/>
            </w:tcMar>
            <w:vAlign w:val="center"/>
          </w:tcPr>
          <w:p>
            <w:r>
              <w:rPr>
                <w:b/>
                <w:color w:val="FFFFFF"/>
                <w:sz w:val="14"/>
              </w:rPr>
              <w:t>Coverage</w:t>
            </w:r>
          </w:p>
        </w:tc>
        <w:tc>
          <w:tcPr>
            <w:tcW w:type="dxa" w:w="2088"/>
            <w:shd w:fill="176B87"/>
            <w:tcMar>
              <w:top w:w="65" w:type="dxa"/>
              <w:start w:w="85" w:type="dxa"/>
              <w:bottom w:w="65" w:type="dxa"/>
              <w:end w:w="85" w:type="dxa"/>
            </w:tcMar>
            <w:vAlign w:val="center"/>
          </w:tcPr>
          <w:p>
            <w:r>
              <w:rPr>
                <w:b/>
                <w:color w:val="FFFFFF"/>
                <w:sz w:val="14"/>
              </w:rPr>
              <w:t>Status</w:t>
            </w:r>
          </w:p>
        </w:tc>
      </w:tr>
      <w:tr>
        <w:trPr>
          <w:cantSplit/>
        </w:trPr>
        <w:tc>
          <w:tcPr>
            <w:tcW w:type="dxa" w:w="864"/>
            <w:tcMar>
              <w:top w:w="65" w:type="dxa"/>
              <w:start w:w="85" w:type="dxa"/>
              <w:bottom w:w="65" w:type="dxa"/>
              <w:end w:w="85" w:type="dxa"/>
            </w:tcMar>
            <w:vAlign w:val="top"/>
          </w:tcPr>
          <w:p>
            <w:r>
              <w:rPr>
                <w:sz w:val="14"/>
              </w:rPr>
              <w:t>12A</w:t>
            </w:r>
          </w:p>
        </w:tc>
        <w:tc>
          <w:tcPr>
            <w:tcW w:type="dxa" w:w="6984"/>
            <w:tcMar>
              <w:top w:w="65" w:type="dxa"/>
              <w:start w:w="85" w:type="dxa"/>
              <w:bottom w:w="65" w:type="dxa"/>
              <w:end w:w="85" w:type="dxa"/>
            </w:tcMar>
            <w:vAlign w:val="top"/>
          </w:tcPr>
          <w:p>
            <w:r>
              <w:rPr>
                <w:sz w:val="14"/>
              </w:rPr>
              <w:t>Multi-cloud architecture and landing-zone foundations</w:t>
            </w:r>
          </w:p>
        </w:tc>
        <w:tc>
          <w:tcPr>
            <w:tcW w:type="dxa" w:w="2088"/>
            <w:tcMar>
              <w:top w:w="65" w:type="dxa"/>
              <w:start w:w="85" w:type="dxa"/>
              <w:bottom w:w="65" w:type="dxa"/>
              <w:end w:w="85" w:type="dxa"/>
            </w:tcMar>
            <w:vAlign w:val="top"/>
          </w:tcPr>
          <w:p>
            <w:r>
              <w:rPr>
                <w:sz w:val="14"/>
              </w:rPr>
              <w:t>Completed</w:t>
            </w:r>
          </w:p>
        </w:tc>
      </w:tr>
      <w:tr>
        <w:trPr>
          <w:cantSplit/>
        </w:trPr>
        <w:tc>
          <w:tcPr>
            <w:tcW w:type="dxa" w:w="864"/>
            <w:tcMar>
              <w:top w:w="65" w:type="dxa"/>
              <w:start w:w="85" w:type="dxa"/>
              <w:bottom w:w="65" w:type="dxa"/>
              <w:end w:w="85" w:type="dxa"/>
            </w:tcMar>
            <w:vAlign w:val="top"/>
          </w:tcPr>
          <w:p>
            <w:r>
              <w:rPr>
                <w:sz w:val="14"/>
              </w:rPr>
              <w:t>12B</w:t>
            </w:r>
          </w:p>
        </w:tc>
        <w:tc>
          <w:tcPr>
            <w:tcW w:type="dxa" w:w="6984"/>
            <w:tcMar>
              <w:top w:w="65" w:type="dxa"/>
              <w:start w:w="85" w:type="dxa"/>
              <w:bottom w:w="65" w:type="dxa"/>
              <w:end w:w="85" w:type="dxa"/>
            </w:tcMar>
            <w:vAlign w:val="top"/>
          </w:tcPr>
          <w:p>
            <w:r>
              <w:rPr>
                <w:sz w:val="14"/>
              </w:rPr>
              <w:t>AWS enterprise cloud engineering</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12C</w:t>
            </w:r>
          </w:p>
        </w:tc>
        <w:tc>
          <w:tcPr>
            <w:tcW w:type="dxa" w:w="6984"/>
            <w:tcMar>
              <w:top w:w="65" w:type="dxa"/>
              <w:start w:w="85" w:type="dxa"/>
              <w:bottom w:w="65" w:type="dxa"/>
              <w:end w:w="85" w:type="dxa"/>
            </w:tcMar>
            <w:vAlign w:val="top"/>
          </w:tcPr>
          <w:p>
            <w:r>
              <w:rPr>
                <w:sz w:val="14"/>
              </w:rPr>
              <w:t>Azure enterprise cloud engineering</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12D</w:t>
            </w:r>
          </w:p>
        </w:tc>
        <w:tc>
          <w:tcPr>
            <w:tcW w:type="dxa" w:w="6984"/>
            <w:tcMar>
              <w:top w:w="65" w:type="dxa"/>
              <w:start w:w="85" w:type="dxa"/>
              <w:bottom w:w="65" w:type="dxa"/>
              <w:end w:w="85" w:type="dxa"/>
            </w:tcMar>
            <w:vAlign w:val="top"/>
          </w:tcPr>
          <w:p>
            <w:r>
              <w:rPr>
                <w:sz w:val="14"/>
              </w:rPr>
              <w:t>Google Cloud enterprise engineering</w:t>
            </w:r>
          </w:p>
        </w:tc>
        <w:tc>
          <w:tcPr>
            <w:tcW w:type="dxa" w:w="2088"/>
            <w:tcMar>
              <w:top w:w="65" w:type="dxa"/>
              <w:start w:w="85" w:type="dxa"/>
              <w:bottom w:w="65" w:type="dxa"/>
              <w:end w:w="85" w:type="dxa"/>
            </w:tcMar>
            <w:vAlign w:val="top"/>
          </w:tcPr>
          <w:p>
            <w:r>
              <w:rPr>
                <w:sz w:val="14"/>
              </w:rPr>
              <w:t>Completed in this package</w:t>
            </w:r>
          </w:p>
        </w:tc>
      </w:tr>
      <w:tr>
        <w:trPr>
          <w:cantSplit/>
        </w:trPr>
        <w:tc>
          <w:tcPr>
            <w:tcW w:type="dxa" w:w="864"/>
            <w:tcMar>
              <w:top w:w="65" w:type="dxa"/>
              <w:start w:w="85" w:type="dxa"/>
              <w:bottom w:w="65" w:type="dxa"/>
              <w:end w:w="85" w:type="dxa"/>
            </w:tcMar>
            <w:vAlign w:val="top"/>
          </w:tcPr>
          <w:p>
            <w:r>
              <w:rPr>
                <w:sz w:val="14"/>
              </w:rPr>
              <w:t>12E</w:t>
            </w:r>
          </w:p>
        </w:tc>
        <w:tc>
          <w:tcPr>
            <w:tcW w:type="dxa" w:w="6984"/>
            <w:tcMar>
              <w:top w:w="65" w:type="dxa"/>
              <w:start w:w="85" w:type="dxa"/>
              <w:bottom w:w="65" w:type="dxa"/>
              <w:end w:w="85" w:type="dxa"/>
            </w:tcMar>
            <w:vAlign w:val="top"/>
          </w:tcPr>
          <w:p>
            <w:r>
              <w:rPr>
                <w:sz w:val="14"/>
              </w:rPr>
              <w:t>Hybrid and multi-cloud operations, migration, DR, security and FinOps</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12F</w:t>
            </w:r>
          </w:p>
        </w:tc>
        <w:tc>
          <w:tcPr>
            <w:tcW w:type="dxa" w:w="6984"/>
            <w:tcMar>
              <w:top w:w="65" w:type="dxa"/>
              <w:start w:w="85" w:type="dxa"/>
              <w:bottom w:w="65" w:type="dxa"/>
              <w:end w:w="85" w:type="dxa"/>
            </w:tcMar>
            <w:vAlign w:val="top"/>
          </w:tcPr>
          <w:p>
            <w:r>
              <w:rPr>
                <w:sz w:val="14"/>
              </w:rPr>
              <w:t>Enterprise projects, certifications, interviews and final capstone</w:t>
            </w:r>
          </w:p>
        </w:tc>
        <w:tc>
          <w:tcPr>
            <w:tcW w:type="dxa" w:w="2088"/>
            <w:tcMar>
              <w:top w:w="65" w:type="dxa"/>
              <w:start w:w="85" w:type="dxa"/>
              <w:bottom w:w="65" w:type="dxa"/>
              <w:end w:w="85" w:type="dxa"/>
            </w:tcMar>
            <w:vAlign w:val="top"/>
          </w:tcPr>
          <w:p>
            <w:r>
              <w:rPr>
                <w:sz w:val="14"/>
              </w:rPr>
              <w:t>Course sequence</w:t>
            </w:r>
          </w:p>
        </w:tc>
      </w:tr>
    </w:tbl>
    <w:p>
      <w:pPr>
        <w:pStyle w:val="Heading2"/>
        <w:keepNext w:val="0"/>
      </w:pPr>
      <w:r>
        <w:t>Scope, Safety and Cost Controls</w:t>
      </w:r>
    </w:p>
    <w:p>
      <w:pPr>
        <w:pStyle w:val="ListBullet"/>
      </w:pPr>
      <w:r>
        <w:t>Use disposable sandboxes, free tiers, local simulations or approved training subscriptions. Configure budgets and expiry before creating resources.</w:t>
      </w:r>
    </w:p>
    <w:p>
      <w:pPr>
        <w:pStyle w:val="ListBullet"/>
      </w:pPr>
      <w:r>
        <w:t>Never use production identities, customer data, employer account structures, internal IP ranges or confidential contracts in course artifacts.</w:t>
      </w:r>
    </w:p>
    <w:p>
      <w:pPr>
        <w:pStyle w:val="ListBullet"/>
      </w:pPr>
      <w:r>
        <w:t>Cloud services, prices, limits, recommendations and certifications change. Verify official documentation before production use or exam registration.</w:t>
      </w:r>
    </w:p>
    <w:p>
      <w:pPr>
        <w:pStyle w:val="ListBullet"/>
      </w:pPr>
      <w:r>
        <w:t>Run failure, security and recovery tests only in approved nonproduction environments with explicit stop conditions.</w:t>
      </w:r>
    </w:p>
    <w:p>
      <w:pPr>
        <w:pStyle w:val="ListBullet"/>
      </w:pPr>
      <w:r>
        <w:t>Destroy resources, revoke credentials, remove local state copies and verify billing inventory after every lab.</w:t>
      </w:r>
    </w:p>
    <w:p>
      <w:pPr>
        <w:pStyle w:val="Heading2"/>
        <w:keepNext w:val="0"/>
      </w:pPr>
      <w:r>
        <w:t>Learning Outcomes</w:t>
      </w:r>
    </w:p>
    <w:p>
      <w:pPr>
        <w:pStyle w:val="ListBullet"/>
      </w:pPr>
      <w:r>
        <w:t>Explain and design the major architecture domains covered by Google Cloud Enterprise Engineering.</w:t>
      </w:r>
    </w:p>
    <w:p>
      <w:pPr>
        <w:pStyle w:val="ListBullet"/>
      </w:pPr>
      <w:r>
        <w:t>Implement provider or cross-cloud controls through version-controlled automation.</w:t>
      </w:r>
    </w:p>
    <w:p>
      <w:pPr>
        <w:pStyle w:val="ListBullet"/>
      </w:pPr>
      <w:r>
        <w:t>Test identity, network, security, reliability, operations and cost behavior.</w:t>
      </w:r>
    </w:p>
    <w:p>
      <w:pPr>
        <w:pStyle w:val="ListBullet"/>
      </w:pPr>
      <w:r>
        <w:t>Troubleshoot failures using effective policy, route, service and telemetry evidence.</w:t>
      </w:r>
    </w:p>
    <w:p>
      <w:pPr>
        <w:pStyle w:val="ListBullet"/>
      </w:pPr>
      <w:r>
        <w:t>Produce sanitized architecture, runbook, laboratory and interview portfolio artifacts.</w:t>
      </w:r>
    </w:p>
    <w:p>
      <w:r>
        <w:br w:type="page"/>
      </w:r>
    </w:p>
    <w:p>
      <w:pPr>
        <w:pStyle w:val="Heading1"/>
        <w:keepNext w:val="0"/>
      </w:pPr>
      <w:r>
        <w:t>Table of Contents</w:t>
      </w:r>
    </w:p>
    <w:p>
      <w:pPr>
        <w:keepNext w:val="0"/>
      </w:pPr>
      <w:r>
        <w:t>Chapter 31  Google Cloud Organization, Folders, Projects and Landing Zones</w:t>
      </w:r>
    </w:p>
    <w:p>
      <w:pPr>
        <w:keepNext w:val="0"/>
      </w:pPr>
      <w:r>
        <w:t>Chapter 32  Google Cloud IAM, Federation and Organization Policy</w:t>
      </w:r>
    </w:p>
    <w:p>
      <w:pPr>
        <w:keepNext w:val="0"/>
      </w:pPr>
      <w:r>
        <w:t>Chapter 33  Google Cloud Networking, Shared VPC and Hybrid Connectivity</w:t>
      </w:r>
    </w:p>
    <w:p>
      <w:pPr>
        <w:keepNext w:val="0"/>
      </w:pPr>
      <w:r>
        <w:t>Chapter 34  Google Cloud Compute, Serverless and GKE Architecture</w:t>
      </w:r>
    </w:p>
    <w:p>
      <w:pPr>
        <w:keepNext w:val="0"/>
      </w:pPr>
      <w:r>
        <w:t>Chapter 35  Google Cloud Storage, Databases and Data Protection</w:t>
      </w:r>
    </w:p>
    <w:p>
      <w:pPr>
        <w:keepNext w:val="0"/>
      </w:pPr>
      <w:r>
        <w:t>Chapter 36  Google Cloud Security Command Center and Data Perimeters</w:t>
      </w:r>
    </w:p>
    <w:p>
      <w:pPr>
        <w:keepNext w:val="0"/>
      </w:pPr>
      <w:r>
        <w:t>Chapter 37  Google Cloud Reliability, Global Load Balancing and Disaster Recovery</w:t>
      </w:r>
    </w:p>
    <w:p>
      <w:pPr>
        <w:keepNext w:val="0"/>
      </w:pPr>
      <w:r>
        <w:t>Chapter 38  Google Cloud Operations Suite and OpenTelemetry</w:t>
      </w:r>
    </w:p>
    <w:p>
      <w:pPr>
        <w:keepNext w:val="0"/>
      </w:pPr>
      <w:r>
        <w:t>Chapter 39  Google Cloud FinOps, Billing Exports and Resource Governance</w:t>
      </w:r>
    </w:p>
    <w:p>
      <w:pPr>
        <w:keepNext w:val="0"/>
      </w:pPr>
      <w:r>
        <w:t>Chapter 40  Google Cloud Enterprise Foundation Capstone</w:t>
      </w:r>
    </w:p>
    <w:p>
      <w:pPr>
        <w:keepNext w:val="0"/>
      </w:pPr>
      <w:r>
        <w:t>Google Cloud Enterprise Architecture and Operations Reference</w:t>
      </w:r>
    </w:p>
    <w:p>
      <w:pPr>
        <w:keepNext w:val="0"/>
      </w:pPr>
      <w:r>
        <w:t>Completion Checklist</w:t>
      </w:r>
    </w:p>
    <w:p>
      <w:pPr>
        <w:keepNext w:val="0"/>
      </w:pPr>
      <w:r>
        <w:t>Additional Portfolio Projects</w:t>
      </w:r>
    </w:p>
    <w:p>
      <w:pPr>
        <w:keepNext w:val="0"/>
      </w:pPr>
      <w:r>
        <w:t>30-Day Practice Plan</w:t>
      </w:r>
    </w:p>
    <w:p>
      <w:pPr>
        <w:keepNext w:val="0"/>
      </w:pPr>
      <w:r>
        <w:t>Glossary</w:t>
      </w:r>
    </w:p>
    <w:p>
      <w:pPr>
        <w:keepNext w:val="0"/>
      </w:pPr>
      <w:r>
        <w:t>Official Documentation Index</w:t>
      </w:r>
    </w:p>
    <w:p>
      <w:r>
        <w:br w:type="page"/>
      </w:r>
    </w:p>
    <w:p>
      <w:pPr>
        <w:jc w:val="center"/>
      </w:pPr>
      <w:r>
        <w:rPr>
          <w:b/>
          <w:color w:val="14919B"/>
          <w:sz w:val="17"/>
        </w:rPr>
        <w:t>VOLUME 12D  |  CHAPTER 31</w:t>
      </w:r>
    </w:p>
    <w:p>
      <w:pPr>
        <w:pStyle w:val="Heading1"/>
        <w:jc w:val="center"/>
      </w:pPr>
      <w:r>
        <w:t>Chapter 31: Google Cloud Organization, Folders, Projects and Landing Zones</w:t>
      </w:r>
    </w:p>
    <w:p>
      <w:pPr>
        <w:jc w:val="center"/>
      </w:pPr>
      <w:r>
        <w:rPr>
          <w:i/>
          <w:color w:val="4B5563"/>
          <w:sz w:val="20"/>
        </w:rPr>
        <w:t>Designing a resource hierarchy and foundation blueprint</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Google Cloud hierarchy determines inherited IAM, organization policies, billing and workload isolation. A durable design uses projects as strong lifecycle boundaries and centralizes foundation capabilities.</w:t>
            </w:r>
          </w:p>
        </w:tc>
      </w:tr>
    </w:tbl>
    <w:p>
      <w:pPr>
        <w:spacing w:after="0"/>
      </w:pPr>
    </w:p>
    <w:p>
      <w:pPr>
        <w:pStyle w:val="Heading2"/>
        <w:keepNext/>
      </w:pPr>
      <w:r>
        <w:t>Learning Objectives</w:t>
      </w:r>
    </w:p>
    <w:p>
      <w:pPr>
        <w:pStyle w:val="ListBullet"/>
      </w:pPr>
      <w:r>
        <w:t>Explain the architecture, responsibility boundaries and major trade-offs of organization, folders and project hierarchy.</w:t>
      </w:r>
    </w:p>
    <w:p>
      <w:pPr>
        <w:pStyle w:val="ListBullet"/>
      </w:pPr>
      <w:r>
        <w:t>Design landing-zone design and enterprise foundation blueprint for enterprise scale, least privilege and bounded failure.</w:t>
      </w:r>
    </w:p>
    <w:p>
      <w:pPr>
        <w:pStyle w:val="ListBullet"/>
      </w:pPr>
      <w:r>
        <w:t>Implement project factory and lifecycle automation through version-controlled automation and policy checks.</w:t>
      </w:r>
    </w:p>
    <w:p>
      <w:pPr>
        <w:pStyle w:val="ListBullet"/>
      </w:pPr>
      <w:r>
        <w:t>Troubleshoot organization policy and centralized evidence using provider-native telemetry and repeatable evidence.</w:t>
      </w:r>
    </w:p>
    <w:p>
      <w:pPr>
        <w:pStyle w:val="ListBullet"/>
      </w:pPr>
      <w:r>
        <w:t>Deliver a sanitized portfolio artifact for design and test a google cloud landing-zone hierarchy.</w:t>
      </w:r>
    </w:p>
    <w:p>
      <w:pPr>
        <w:pStyle w:val="Heading2"/>
        <w:keepNext/>
      </w:pPr>
      <w:r>
        <w:t>Core Concepts</w:t>
      </w:r>
    </w:p>
    <w:p>
      <w:pPr>
        <w:pStyle w:val="Heading3"/>
        <w:keepNext/>
      </w:pPr>
      <w:r>
        <w:t>Organization, folders and project hierarchy</w:t>
      </w:r>
    </w:p>
    <w:p>
      <w:pPr>
        <w:keepNext w:val="0"/>
      </w:pPr>
      <w:r>
        <w:t>Organization, folders and project hierarchy is a design boundary, not merely a console feature. In Google Cloud Organization, Folders, Projects and Landing Zones, the team must document ownership, trust assumptions, dependency direction, failure impact and the evidence used to prove the control. The recommended implementation uses Google Cloud organization, Folders, Projects, Organization Policy Service only where they satisfy an explicit requirement; equivalent services are not automatically interchangeable.</w:t>
      </w:r>
    </w:p>
    <w:p>
      <w:pPr>
        <w:pStyle w:val="Heading3"/>
        <w:keepNext/>
      </w:pPr>
      <w:r>
        <w:t>Landing-zone design and enterprise foundation blueprint</w:t>
      </w:r>
    </w:p>
    <w:p>
      <w:pPr>
        <w:keepNext w:val="0"/>
      </w:pPr>
      <w:r>
        <w:t>A production implementation of Landing-zone design and enterprise foundation blueprint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Project factory and lifecycle automation</w:t>
      </w:r>
    </w:p>
    <w:p>
      <w:pPr>
        <w:keepNext w:val="0"/>
      </w:pPr>
      <w:r>
        <w:t>For Project factory and lifecycle automation,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Organization policy and centralized evidence</w:t>
      </w:r>
    </w:p>
    <w:p>
      <w:pPr>
        <w:keepNext w:val="0"/>
      </w:pPr>
      <w:r>
        <w:t>The strongest validation for Organization policy and centralized evidence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Root</w:t>
            </w:r>
          </w:p>
        </w:tc>
        <w:tc>
          <w:tcPr>
            <w:tcW w:type="dxa" w:w="2952"/>
            <w:tcMar>
              <w:top w:w="65" w:type="dxa"/>
              <w:start w:w="85" w:type="dxa"/>
              <w:bottom w:w="65" w:type="dxa"/>
              <w:end w:w="85" w:type="dxa"/>
            </w:tcMar>
            <w:vAlign w:val="top"/>
          </w:tcPr>
          <w:p>
            <w:r>
              <w:rPr>
                <w:sz w:val="14"/>
              </w:rPr>
              <w:t>Google Cloud organization</w:t>
            </w:r>
          </w:p>
        </w:tc>
        <w:tc>
          <w:tcPr>
            <w:tcW w:type="dxa" w:w="4824"/>
            <w:tcMar>
              <w:top w:w="65" w:type="dxa"/>
              <w:start w:w="85" w:type="dxa"/>
              <w:bottom w:w="65" w:type="dxa"/>
              <w:end w:w="85" w:type="dxa"/>
            </w:tcMar>
            <w:vAlign w:val="top"/>
          </w:tcPr>
          <w:p>
            <w:r>
              <w:rPr>
                <w:sz w:val="14"/>
              </w:rPr>
              <w:t>Anchor enterprise resources and policy.</w:t>
            </w:r>
          </w:p>
        </w:tc>
      </w:tr>
      <w:tr>
        <w:trPr>
          <w:cantSplit/>
        </w:trPr>
        <w:tc>
          <w:tcPr>
            <w:tcW w:type="dxa" w:w="2232"/>
            <w:tcMar>
              <w:top w:w="65" w:type="dxa"/>
              <w:start w:w="85" w:type="dxa"/>
              <w:bottom w:w="65" w:type="dxa"/>
              <w:end w:w="85" w:type="dxa"/>
            </w:tcMar>
            <w:vAlign w:val="top"/>
          </w:tcPr>
          <w:p>
            <w:r>
              <w:rPr>
                <w:sz w:val="14"/>
              </w:rPr>
              <w:t>Hierarchy</w:t>
            </w:r>
          </w:p>
        </w:tc>
        <w:tc>
          <w:tcPr>
            <w:tcW w:type="dxa" w:w="2952"/>
            <w:tcMar>
              <w:top w:w="65" w:type="dxa"/>
              <w:start w:w="85" w:type="dxa"/>
              <w:bottom w:w="65" w:type="dxa"/>
              <w:end w:w="85" w:type="dxa"/>
            </w:tcMar>
            <w:vAlign w:val="top"/>
          </w:tcPr>
          <w:p>
            <w:r>
              <w:rPr>
                <w:sz w:val="14"/>
              </w:rPr>
              <w:t>Folders</w:t>
            </w:r>
          </w:p>
        </w:tc>
        <w:tc>
          <w:tcPr>
            <w:tcW w:type="dxa" w:w="4824"/>
            <w:tcMar>
              <w:top w:w="65" w:type="dxa"/>
              <w:start w:w="85" w:type="dxa"/>
              <w:bottom w:w="65" w:type="dxa"/>
              <w:end w:w="85" w:type="dxa"/>
            </w:tcMar>
            <w:vAlign w:val="top"/>
          </w:tcPr>
          <w:p>
            <w:r>
              <w:rPr>
                <w:sz w:val="14"/>
              </w:rPr>
              <w:t>Group platform, production, nonproduction and business units.</w:t>
            </w:r>
          </w:p>
        </w:tc>
      </w:tr>
      <w:tr>
        <w:trPr>
          <w:cantSplit/>
        </w:trPr>
        <w:tc>
          <w:tcPr>
            <w:tcW w:type="dxa" w:w="2232"/>
            <w:tcMar>
              <w:top w:w="65" w:type="dxa"/>
              <w:start w:w="85" w:type="dxa"/>
              <w:bottom w:w="65" w:type="dxa"/>
              <w:end w:w="85" w:type="dxa"/>
            </w:tcMar>
            <w:vAlign w:val="top"/>
          </w:tcPr>
          <w:p>
            <w:r>
              <w:rPr>
                <w:sz w:val="14"/>
              </w:rPr>
              <w:t>Workload boundary</w:t>
            </w:r>
          </w:p>
        </w:tc>
        <w:tc>
          <w:tcPr>
            <w:tcW w:type="dxa" w:w="2952"/>
            <w:tcMar>
              <w:top w:w="65" w:type="dxa"/>
              <w:start w:w="85" w:type="dxa"/>
              <w:bottom w:w="65" w:type="dxa"/>
              <w:end w:w="85" w:type="dxa"/>
            </w:tcMar>
            <w:vAlign w:val="top"/>
          </w:tcPr>
          <w:p>
            <w:r>
              <w:rPr>
                <w:sz w:val="14"/>
              </w:rPr>
              <w:t>Projects</w:t>
            </w:r>
          </w:p>
        </w:tc>
        <w:tc>
          <w:tcPr>
            <w:tcW w:type="dxa" w:w="4824"/>
            <w:tcMar>
              <w:top w:w="65" w:type="dxa"/>
              <w:start w:w="85" w:type="dxa"/>
              <w:bottom w:w="65" w:type="dxa"/>
              <w:end w:w="85" w:type="dxa"/>
            </w:tcMar>
            <w:vAlign w:val="top"/>
          </w:tcPr>
          <w:p>
            <w:r>
              <w:rPr>
                <w:sz w:val="14"/>
              </w:rPr>
              <w:t>Separate APIs, quotas, billing, IAM and lifecycle.</w:t>
            </w:r>
          </w:p>
        </w:tc>
      </w:tr>
      <w:tr>
        <w:trPr>
          <w:cantSplit/>
        </w:trPr>
        <w:tc>
          <w:tcPr>
            <w:tcW w:type="dxa" w:w="2232"/>
            <w:tcMar>
              <w:top w:w="65" w:type="dxa"/>
              <w:start w:w="85" w:type="dxa"/>
              <w:bottom w:w="65" w:type="dxa"/>
              <w:end w:w="85" w:type="dxa"/>
            </w:tcMar>
            <w:vAlign w:val="top"/>
          </w:tcPr>
          <w:p>
            <w:r>
              <w:rPr>
                <w:sz w:val="14"/>
              </w:rPr>
              <w:t>Guardrails</w:t>
            </w:r>
          </w:p>
        </w:tc>
        <w:tc>
          <w:tcPr>
            <w:tcW w:type="dxa" w:w="2952"/>
            <w:tcMar>
              <w:top w:w="65" w:type="dxa"/>
              <w:start w:w="85" w:type="dxa"/>
              <w:bottom w:w="65" w:type="dxa"/>
              <w:end w:w="85" w:type="dxa"/>
            </w:tcMar>
            <w:vAlign w:val="top"/>
          </w:tcPr>
          <w:p>
            <w:r>
              <w:rPr>
                <w:sz w:val="14"/>
              </w:rPr>
              <w:t>Organization Policy Service</w:t>
            </w:r>
          </w:p>
        </w:tc>
        <w:tc>
          <w:tcPr>
            <w:tcW w:type="dxa" w:w="4824"/>
            <w:tcMar>
              <w:top w:w="65" w:type="dxa"/>
              <w:start w:w="85" w:type="dxa"/>
              <w:bottom w:w="65" w:type="dxa"/>
              <w:end w:w="85" w:type="dxa"/>
            </w:tcMar>
            <w:vAlign w:val="top"/>
          </w:tcPr>
          <w:p>
            <w:r>
              <w:rPr>
                <w:sz w:val="14"/>
              </w:rPr>
              <w:t>Constrain resource configuration across hierarchy.</w:t>
            </w:r>
          </w:p>
        </w:tc>
      </w:tr>
      <w:tr>
        <w:trPr>
          <w:cantSplit/>
        </w:trPr>
        <w:tc>
          <w:tcPr>
            <w:tcW w:type="dxa" w:w="2232"/>
            <w:tcMar>
              <w:top w:w="65" w:type="dxa"/>
              <w:start w:w="85" w:type="dxa"/>
              <w:bottom w:w="65" w:type="dxa"/>
              <w:end w:w="85" w:type="dxa"/>
            </w:tcMar>
            <w:vAlign w:val="top"/>
          </w:tcPr>
          <w:p>
            <w:r>
              <w:rPr>
                <w:sz w:val="14"/>
              </w:rPr>
              <w:t>Vending</w:t>
            </w:r>
          </w:p>
        </w:tc>
        <w:tc>
          <w:tcPr>
            <w:tcW w:type="dxa" w:w="2952"/>
            <w:tcMar>
              <w:top w:w="65" w:type="dxa"/>
              <w:start w:w="85" w:type="dxa"/>
              <w:bottom w:w="65" w:type="dxa"/>
              <w:end w:w="85" w:type="dxa"/>
            </w:tcMar>
            <w:vAlign w:val="top"/>
          </w:tcPr>
          <w:p>
            <w:r>
              <w:rPr>
                <w:sz w:val="14"/>
              </w:rPr>
              <w:t>Project factory</w:t>
            </w:r>
          </w:p>
        </w:tc>
        <w:tc>
          <w:tcPr>
            <w:tcW w:type="dxa" w:w="4824"/>
            <w:tcMar>
              <w:top w:w="65" w:type="dxa"/>
              <w:start w:w="85" w:type="dxa"/>
              <w:bottom w:w="65" w:type="dxa"/>
              <w:end w:w="85" w:type="dxa"/>
            </w:tcMar>
            <w:vAlign w:val="top"/>
          </w:tcPr>
          <w:p>
            <w:r>
              <w:rPr>
                <w:sz w:val="14"/>
              </w:rPr>
              <w:t>Create standardized projects and baseline services.</w:t>
            </w:r>
          </w:p>
        </w:tc>
      </w:tr>
      <w:tr>
        <w:trPr>
          <w:cantSplit/>
        </w:trPr>
        <w:tc>
          <w:tcPr>
            <w:tcW w:type="dxa" w:w="2232"/>
            <w:tcMar>
              <w:top w:w="65" w:type="dxa"/>
              <w:start w:w="85" w:type="dxa"/>
              <w:bottom w:w="65" w:type="dxa"/>
              <w:end w:w="85" w:type="dxa"/>
            </w:tcMar>
            <w:vAlign w:val="top"/>
          </w:tcPr>
          <w:p>
            <w:r>
              <w:rPr>
                <w:sz w:val="14"/>
              </w:rPr>
              <w:t>Evidence</w:t>
            </w:r>
          </w:p>
        </w:tc>
        <w:tc>
          <w:tcPr>
            <w:tcW w:type="dxa" w:w="2952"/>
            <w:tcMar>
              <w:top w:w="65" w:type="dxa"/>
              <w:start w:w="85" w:type="dxa"/>
              <w:bottom w:w="65" w:type="dxa"/>
              <w:end w:w="85" w:type="dxa"/>
            </w:tcMar>
            <w:vAlign w:val="top"/>
          </w:tcPr>
          <w:p>
            <w:r>
              <w:rPr>
                <w:sz w:val="14"/>
              </w:rPr>
              <w:t>Cloud Audit Logs / log sinks</w:t>
            </w:r>
          </w:p>
        </w:tc>
        <w:tc>
          <w:tcPr>
            <w:tcW w:type="dxa" w:w="4824"/>
            <w:tcMar>
              <w:top w:w="65" w:type="dxa"/>
              <w:start w:w="85" w:type="dxa"/>
              <w:bottom w:w="65" w:type="dxa"/>
              <w:end w:w="85" w:type="dxa"/>
            </w:tcMar>
            <w:vAlign w:val="top"/>
          </w:tcPr>
          <w:p>
            <w:r>
              <w:rPr>
                <w:sz w:val="14"/>
              </w:rPr>
              <w:t>Centralize immutable administrative evidence.</w:t>
            </w:r>
          </w:p>
        </w:tc>
      </w:tr>
    </w:tbl>
    <w:p>
      <w:pPr>
        <w:pStyle w:val="Heading2"/>
        <w:keepNext/>
      </w:pPr>
      <w:r>
        <w:t>Architecture and Operating Decisions</w:t>
      </w:r>
    </w:p>
    <w:p>
      <w:pPr>
        <w:pStyle w:val="ListBullet"/>
      </w:pPr>
      <w:r>
        <w:t>Use Google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project factory and lifecycle automation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organization</w:t>
              <w:br/>
              <w:t>├── common</w:t>
              <w:br/>
              <w:t>│   ├── logging</w:t>
              <w:br/>
              <w:t>│   ├── security</w:t>
              <w:br/>
              <w:t>│   └── networking</w:t>
              <w:br/>
              <w:t>├── production</w:t>
              <w:br/>
              <w:t>├── nonproduction</w:t>
              <w:br/>
              <w:t>├── sandbox</w:t>
              <w:br/>
              <w:t>└── decommissioned</w:t>
              <w:br/>
              <w:t>project_request:</w:t>
              <w:br/>
              <w:t xml:space="preserve">  required: [owner, billing_account, environment, region, data_classification, expiry]</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google cloud organization, folders, projects and landing zones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31: Design and Test a Google Cloud Landing-Zone Hierarchy</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google cloud organization, folders, projects and landing zones using fictional enterprise requirements.</w:t>
      </w:r>
    </w:p>
    <w:p>
      <w:pPr>
        <w:ind w:left="360" w:hanging="360"/>
      </w:pPr>
      <w:r>
        <w:rPr>
          <w:b/>
        </w:rPr>
        <w:t xml:space="preserve">2. </w:t>
      </w:r>
      <w:r>
        <w:t>Implement the smallest safe sandbox using Google Cloud organization, Folders, Projects;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Google Cloud Organization, Folders, Projects and Landing Zones?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Google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Organization, folders and project hierarchy defines a key architecture boundary.</w:t>
      </w:r>
    </w:p>
    <w:p>
      <w:pPr>
        <w:pStyle w:val="ListBullet"/>
      </w:pPr>
      <w:r>
        <w:t>Landing-zone design and enterprise foundation blueprint must be automated and least-privileged.</w:t>
      </w:r>
    </w:p>
    <w:p>
      <w:pPr>
        <w:pStyle w:val="ListBullet"/>
      </w:pPr>
      <w:r>
        <w:t>Project factory and lifecycle automation requires policy, telemetry and recovery evidence.</w:t>
      </w:r>
    </w:p>
    <w:p>
      <w:pPr>
        <w:pStyle w:val="ListBullet"/>
      </w:pPr>
      <w:r>
        <w:t>Organization policy and centralized evidence should be tested before production and after material change.</w:t>
      </w:r>
    </w:p>
    <w:p>
      <w:r>
        <w:br w:type="page"/>
      </w:r>
    </w:p>
    <w:p>
      <w:pPr>
        <w:jc w:val="center"/>
      </w:pPr>
      <w:r>
        <w:rPr>
          <w:b/>
          <w:color w:val="14919B"/>
          <w:sz w:val="17"/>
        </w:rPr>
        <w:t>VOLUME 12D  |  CHAPTER 32</w:t>
      </w:r>
    </w:p>
    <w:p>
      <w:pPr>
        <w:pStyle w:val="Heading1"/>
        <w:jc w:val="center"/>
      </w:pPr>
      <w:r>
        <w:t>Chapter 32: Google Cloud IAM, Federation and Organization Policy</w:t>
      </w:r>
    </w:p>
    <w:p>
      <w:pPr>
        <w:jc w:val="center"/>
      </w:pPr>
      <w:r>
        <w:rPr>
          <w:i/>
          <w:color w:val="4B5563"/>
          <w:sz w:val="20"/>
        </w:rPr>
        <w:t>Authorizing workforce and workloads without service-account key sprawl</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Google Cloud permissions are powerful and frequently inherited. Workforce federation, groups, service accounts, Workload Identity Federation and organization policies must be designed as one control system.</w:t>
            </w:r>
          </w:p>
        </w:tc>
      </w:tr>
    </w:tbl>
    <w:p>
      <w:pPr>
        <w:spacing w:after="0"/>
      </w:pPr>
    </w:p>
    <w:p>
      <w:pPr>
        <w:pStyle w:val="Heading2"/>
        <w:keepNext/>
      </w:pPr>
      <w:r>
        <w:t>Learning Objectives</w:t>
      </w:r>
    </w:p>
    <w:p>
      <w:pPr>
        <w:pStyle w:val="ListBullet"/>
      </w:pPr>
      <w:r>
        <w:t>Explain the architecture, responsibility boundaries and major trade-offs of cloud identity or external workforce federation.</w:t>
      </w:r>
    </w:p>
    <w:p>
      <w:pPr>
        <w:pStyle w:val="ListBullet"/>
      </w:pPr>
      <w:r>
        <w:t>Design iam roles, groups and conditions for enterprise scale, least privilege and bounded failure.</w:t>
      </w:r>
    </w:p>
    <w:p>
      <w:pPr>
        <w:pStyle w:val="ListBullet"/>
      </w:pPr>
      <w:r>
        <w:t>Implement service accounts and workload identity federation through version-controlled automation and policy checks.</w:t>
      </w:r>
    </w:p>
    <w:p>
      <w:pPr>
        <w:pStyle w:val="ListBullet"/>
      </w:pPr>
      <w:r>
        <w:t>Troubleshoot organization policies and privileged access using provider-native telemetry and repeatable evidence.</w:t>
      </w:r>
    </w:p>
    <w:p>
      <w:pPr>
        <w:pStyle w:val="ListBullet"/>
      </w:pPr>
      <w:r>
        <w:t>Deliver a sanitized portfolio artifact for implement google cloud federation and keyless workload access.</w:t>
      </w:r>
    </w:p>
    <w:p>
      <w:pPr>
        <w:pStyle w:val="Heading2"/>
        <w:keepNext/>
      </w:pPr>
      <w:r>
        <w:t>Core Concepts</w:t>
      </w:r>
    </w:p>
    <w:p>
      <w:pPr>
        <w:pStyle w:val="Heading3"/>
        <w:keepNext/>
      </w:pPr>
      <w:r>
        <w:t>Cloud Identity or external workforce federation</w:t>
      </w:r>
    </w:p>
    <w:p>
      <w:pPr>
        <w:keepNext w:val="0"/>
      </w:pPr>
      <w:r>
        <w:t>Cloud Identity or external workforce federation is a design boundary, not merely a console feature. In Google Cloud IAM, Federation and Organization Policy, the team must document ownership, trust assumptions, dependency direction, failure impact and the evidence used to prove the control. The recommended implementation uses Cloud Identity / Workforce Identity Federation, Cloud IAM, Workload Identity Federation, Workload Identity Federation for GKE only where they satisfy an explicit requirement; equivalent services are not automatically interchangeable.</w:t>
      </w:r>
    </w:p>
    <w:p>
      <w:pPr>
        <w:pStyle w:val="Heading3"/>
        <w:keepNext/>
      </w:pPr>
      <w:r>
        <w:t>IAM roles, groups and conditions</w:t>
      </w:r>
    </w:p>
    <w:p>
      <w:pPr>
        <w:keepNext w:val="0"/>
      </w:pPr>
      <w:r>
        <w:t>A production implementation of IAM roles, groups and conditions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Service accounts and Workload Identity Federation</w:t>
      </w:r>
    </w:p>
    <w:p>
      <w:pPr>
        <w:keepNext w:val="0"/>
      </w:pPr>
      <w:r>
        <w:t>For Service accounts and Workload Identity Federation,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Organization policies and privileged access</w:t>
      </w:r>
    </w:p>
    <w:p>
      <w:pPr>
        <w:keepNext w:val="0"/>
      </w:pPr>
      <w:r>
        <w:t>The strongest validation for Organization policies and privileged access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Workforce</w:t>
            </w:r>
          </w:p>
        </w:tc>
        <w:tc>
          <w:tcPr>
            <w:tcW w:type="dxa" w:w="2952"/>
            <w:tcMar>
              <w:top w:w="65" w:type="dxa"/>
              <w:start w:w="85" w:type="dxa"/>
              <w:bottom w:w="65" w:type="dxa"/>
              <w:end w:w="85" w:type="dxa"/>
            </w:tcMar>
            <w:vAlign w:val="top"/>
          </w:tcPr>
          <w:p>
            <w:r>
              <w:rPr>
                <w:sz w:val="14"/>
              </w:rPr>
              <w:t>Cloud Identity / Workforce Identity Federation</w:t>
            </w:r>
          </w:p>
        </w:tc>
        <w:tc>
          <w:tcPr>
            <w:tcW w:type="dxa" w:w="4824"/>
            <w:tcMar>
              <w:top w:w="65" w:type="dxa"/>
              <w:start w:w="85" w:type="dxa"/>
              <w:bottom w:w="65" w:type="dxa"/>
              <w:end w:w="85" w:type="dxa"/>
            </w:tcMar>
            <w:vAlign w:val="top"/>
          </w:tcPr>
          <w:p>
            <w:r>
              <w:rPr>
                <w:sz w:val="14"/>
              </w:rPr>
              <w:t>Authenticate enterprise users without duplicate passwords.</w:t>
            </w:r>
          </w:p>
        </w:tc>
      </w:tr>
      <w:tr>
        <w:trPr>
          <w:cantSplit/>
        </w:trPr>
        <w:tc>
          <w:tcPr>
            <w:tcW w:type="dxa" w:w="2232"/>
            <w:tcMar>
              <w:top w:w="65" w:type="dxa"/>
              <w:start w:w="85" w:type="dxa"/>
              <w:bottom w:w="65" w:type="dxa"/>
              <w:end w:w="85" w:type="dxa"/>
            </w:tcMar>
            <w:vAlign w:val="top"/>
          </w:tcPr>
          <w:p>
            <w:r>
              <w:rPr>
                <w:sz w:val="14"/>
              </w:rPr>
              <w:t>Authorization</w:t>
            </w:r>
          </w:p>
        </w:tc>
        <w:tc>
          <w:tcPr>
            <w:tcW w:type="dxa" w:w="2952"/>
            <w:tcMar>
              <w:top w:w="65" w:type="dxa"/>
              <w:start w:w="85" w:type="dxa"/>
              <w:bottom w:w="65" w:type="dxa"/>
              <w:end w:w="85" w:type="dxa"/>
            </w:tcMar>
            <w:vAlign w:val="top"/>
          </w:tcPr>
          <w:p>
            <w:r>
              <w:rPr>
                <w:sz w:val="14"/>
              </w:rPr>
              <w:t>Cloud IAM</w:t>
            </w:r>
          </w:p>
        </w:tc>
        <w:tc>
          <w:tcPr>
            <w:tcW w:type="dxa" w:w="4824"/>
            <w:tcMar>
              <w:top w:w="65" w:type="dxa"/>
              <w:start w:w="85" w:type="dxa"/>
              <w:bottom w:w="65" w:type="dxa"/>
              <w:end w:w="85" w:type="dxa"/>
            </w:tcMar>
            <w:vAlign w:val="top"/>
          </w:tcPr>
          <w:p>
            <w:r>
              <w:rPr>
                <w:sz w:val="14"/>
              </w:rPr>
              <w:t>Grant predefined or custom roles at controlled scope.</w:t>
            </w:r>
          </w:p>
        </w:tc>
      </w:tr>
      <w:tr>
        <w:trPr>
          <w:cantSplit/>
        </w:trPr>
        <w:tc>
          <w:tcPr>
            <w:tcW w:type="dxa" w:w="2232"/>
            <w:tcMar>
              <w:top w:w="65" w:type="dxa"/>
              <w:start w:w="85" w:type="dxa"/>
              <w:bottom w:w="65" w:type="dxa"/>
              <w:end w:w="85" w:type="dxa"/>
            </w:tcMar>
            <w:vAlign w:val="top"/>
          </w:tcPr>
          <w:p>
            <w:r>
              <w:rPr>
                <w:sz w:val="14"/>
              </w:rPr>
              <w:t>Workload identity</w:t>
            </w:r>
          </w:p>
        </w:tc>
        <w:tc>
          <w:tcPr>
            <w:tcW w:type="dxa" w:w="2952"/>
            <w:tcMar>
              <w:top w:w="65" w:type="dxa"/>
              <w:start w:w="85" w:type="dxa"/>
              <w:bottom w:w="65" w:type="dxa"/>
              <w:end w:w="85" w:type="dxa"/>
            </w:tcMar>
            <w:vAlign w:val="top"/>
          </w:tcPr>
          <w:p>
            <w:r>
              <w:rPr>
                <w:sz w:val="14"/>
              </w:rPr>
              <w:t>Workload Identity Federation</w:t>
            </w:r>
          </w:p>
        </w:tc>
        <w:tc>
          <w:tcPr>
            <w:tcW w:type="dxa" w:w="4824"/>
            <w:tcMar>
              <w:top w:w="65" w:type="dxa"/>
              <w:start w:w="85" w:type="dxa"/>
              <w:bottom w:w="65" w:type="dxa"/>
              <w:end w:w="85" w:type="dxa"/>
            </w:tcMar>
            <w:vAlign w:val="top"/>
          </w:tcPr>
          <w:p>
            <w:r>
              <w:rPr>
                <w:sz w:val="14"/>
              </w:rPr>
              <w:t>Exchange external workload identity for short-lived Google credentials.</w:t>
            </w:r>
          </w:p>
        </w:tc>
      </w:tr>
      <w:tr>
        <w:trPr>
          <w:cantSplit/>
        </w:trPr>
        <w:tc>
          <w:tcPr>
            <w:tcW w:type="dxa" w:w="2232"/>
            <w:tcMar>
              <w:top w:w="65" w:type="dxa"/>
              <w:start w:w="85" w:type="dxa"/>
              <w:bottom w:w="65" w:type="dxa"/>
              <w:end w:w="85" w:type="dxa"/>
            </w:tcMar>
            <w:vAlign w:val="top"/>
          </w:tcPr>
          <w:p>
            <w:r>
              <w:rPr>
                <w:sz w:val="14"/>
              </w:rPr>
              <w:t>GKE identity</w:t>
            </w:r>
          </w:p>
        </w:tc>
        <w:tc>
          <w:tcPr>
            <w:tcW w:type="dxa" w:w="2952"/>
            <w:tcMar>
              <w:top w:w="65" w:type="dxa"/>
              <w:start w:w="85" w:type="dxa"/>
              <w:bottom w:w="65" w:type="dxa"/>
              <w:end w:w="85" w:type="dxa"/>
            </w:tcMar>
            <w:vAlign w:val="top"/>
          </w:tcPr>
          <w:p>
            <w:r>
              <w:rPr>
                <w:sz w:val="14"/>
              </w:rPr>
              <w:t>Workload Identity Federation for GKE</w:t>
            </w:r>
          </w:p>
        </w:tc>
        <w:tc>
          <w:tcPr>
            <w:tcW w:type="dxa" w:w="4824"/>
            <w:tcMar>
              <w:top w:w="65" w:type="dxa"/>
              <w:start w:w="85" w:type="dxa"/>
              <w:bottom w:w="65" w:type="dxa"/>
              <w:end w:w="85" w:type="dxa"/>
            </w:tcMar>
            <w:vAlign w:val="top"/>
          </w:tcPr>
          <w:p>
            <w:r>
              <w:rPr>
                <w:sz w:val="14"/>
              </w:rPr>
              <w:t>Bind Kubernetes service accounts to Google permissions.</w:t>
            </w:r>
          </w:p>
        </w:tc>
      </w:tr>
      <w:tr>
        <w:trPr>
          <w:cantSplit/>
        </w:trPr>
        <w:tc>
          <w:tcPr>
            <w:tcW w:type="dxa" w:w="2232"/>
            <w:tcMar>
              <w:top w:w="65" w:type="dxa"/>
              <w:start w:w="85" w:type="dxa"/>
              <w:bottom w:w="65" w:type="dxa"/>
              <w:end w:w="85" w:type="dxa"/>
            </w:tcMar>
            <w:vAlign w:val="top"/>
          </w:tcPr>
          <w:p>
            <w:r>
              <w:rPr>
                <w:sz w:val="14"/>
              </w:rPr>
              <w:t>Guardrail</w:t>
            </w:r>
          </w:p>
        </w:tc>
        <w:tc>
          <w:tcPr>
            <w:tcW w:type="dxa" w:w="2952"/>
            <w:tcMar>
              <w:top w:w="65" w:type="dxa"/>
              <w:start w:w="85" w:type="dxa"/>
              <w:bottom w:w="65" w:type="dxa"/>
              <w:end w:w="85" w:type="dxa"/>
            </w:tcMar>
            <w:vAlign w:val="top"/>
          </w:tcPr>
          <w:p>
            <w:r>
              <w:rPr>
                <w:sz w:val="14"/>
              </w:rPr>
              <w:t>Organization Policy Service</w:t>
            </w:r>
          </w:p>
        </w:tc>
        <w:tc>
          <w:tcPr>
            <w:tcW w:type="dxa" w:w="4824"/>
            <w:tcMar>
              <w:top w:w="65" w:type="dxa"/>
              <w:start w:w="85" w:type="dxa"/>
              <w:bottom w:w="65" w:type="dxa"/>
              <w:end w:w="85" w:type="dxa"/>
            </w:tcMar>
            <w:vAlign w:val="top"/>
          </w:tcPr>
          <w:p>
            <w:r>
              <w:rPr>
                <w:sz w:val="14"/>
              </w:rPr>
              <w:t>Restrict allowed configuration and locations.</w:t>
            </w:r>
          </w:p>
        </w:tc>
      </w:tr>
      <w:tr>
        <w:trPr>
          <w:cantSplit/>
        </w:trPr>
        <w:tc>
          <w:tcPr>
            <w:tcW w:type="dxa" w:w="2232"/>
            <w:tcMar>
              <w:top w:w="65" w:type="dxa"/>
              <w:start w:w="85" w:type="dxa"/>
              <w:bottom w:w="65" w:type="dxa"/>
              <w:end w:w="85" w:type="dxa"/>
            </w:tcMar>
            <w:vAlign w:val="top"/>
          </w:tcPr>
          <w:p>
            <w:r>
              <w:rPr>
                <w:sz w:val="14"/>
              </w:rPr>
              <w:t>Secrets</w:t>
            </w:r>
          </w:p>
        </w:tc>
        <w:tc>
          <w:tcPr>
            <w:tcW w:type="dxa" w:w="2952"/>
            <w:tcMar>
              <w:top w:w="65" w:type="dxa"/>
              <w:start w:w="85" w:type="dxa"/>
              <w:bottom w:w="65" w:type="dxa"/>
              <w:end w:w="85" w:type="dxa"/>
            </w:tcMar>
            <w:vAlign w:val="top"/>
          </w:tcPr>
          <w:p>
            <w:r>
              <w:rPr>
                <w:sz w:val="14"/>
              </w:rPr>
              <w:t>Secret Manager</w:t>
            </w:r>
          </w:p>
        </w:tc>
        <w:tc>
          <w:tcPr>
            <w:tcW w:type="dxa" w:w="4824"/>
            <w:tcMar>
              <w:top w:w="65" w:type="dxa"/>
              <w:start w:w="85" w:type="dxa"/>
              <w:bottom w:w="65" w:type="dxa"/>
              <w:end w:w="85" w:type="dxa"/>
            </w:tcMar>
            <w:vAlign w:val="top"/>
          </w:tcPr>
          <w:p>
            <w:r>
              <w:rPr>
                <w:sz w:val="14"/>
              </w:rPr>
              <w:t>Store and rotate application secrets.</w:t>
            </w:r>
          </w:p>
        </w:tc>
      </w:tr>
    </w:tbl>
    <w:p>
      <w:pPr>
        <w:pStyle w:val="Heading2"/>
        <w:keepNext/>
      </w:pPr>
      <w:r>
        <w:t>Architecture and Operating Decisions</w:t>
      </w:r>
    </w:p>
    <w:p>
      <w:pPr>
        <w:pStyle w:val="ListBullet"/>
      </w:pPr>
      <w:r>
        <w:t>Use Google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service accounts and workload identity federation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identity_standard:</w:t>
              <w:br/>
              <w:t xml:space="preserve">  workforce: external_idp_to_workforce_pool</w:t>
              <w:br/>
              <w:t xml:space="preserve">  roles: groups_plus_predefined_roles</w:t>
              <w:br/>
              <w:t xml:space="preserve">  workloads: workload_identity_federation</w:t>
              <w:br/>
              <w:t xml:space="preserve">  service_account_keys: prohibited_by_policy</w:t>
              <w:br/>
              <w:t xml:space="preserve">  privileged_access: time_bound_and_approved</w:t>
              <w:br/>
              <w:t xml:space="preserve">  conditions: use_for_resource_and_time_constraints</w:t>
              <w:br/>
              <w:t>validation: [policy_analyzer, denied_action, audit_log, token_claims]</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google cloud iam, federation and organization policy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32: Implement Google Cloud Federation and Keyless Workload Access</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google cloud iam, federation and organization policy using fictional enterprise requirements.</w:t>
      </w:r>
    </w:p>
    <w:p>
      <w:pPr>
        <w:ind w:left="360" w:hanging="360"/>
      </w:pPr>
      <w:r>
        <w:rPr>
          <w:b/>
        </w:rPr>
        <w:t xml:space="preserve">2. </w:t>
      </w:r>
      <w:r>
        <w:t>Implement the smallest safe sandbox using Cloud Identity / Workforce Identity Federation, Cloud IAM, Workload Identity Federation;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Google Cloud IAM, Federation and Organization Policy?</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Google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Cloud Identity or external workforce federation defines a key architecture boundary.</w:t>
      </w:r>
    </w:p>
    <w:p>
      <w:pPr>
        <w:pStyle w:val="ListBullet"/>
      </w:pPr>
      <w:r>
        <w:t>IAM roles, groups and conditions must be automated and least-privileged.</w:t>
      </w:r>
    </w:p>
    <w:p>
      <w:pPr>
        <w:pStyle w:val="ListBullet"/>
      </w:pPr>
      <w:r>
        <w:t>Service accounts and Workload Identity Federation requires policy, telemetry and recovery evidence.</w:t>
      </w:r>
    </w:p>
    <w:p>
      <w:pPr>
        <w:pStyle w:val="ListBullet"/>
      </w:pPr>
      <w:r>
        <w:t>Organization policies and privileged access should be tested before production and after material change.</w:t>
      </w:r>
    </w:p>
    <w:p>
      <w:r>
        <w:br w:type="page"/>
      </w:r>
    </w:p>
    <w:p>
      <w:pPr>
        <w:jc w:val="center"/>
      </w:pPr>
      <w:r>
        <w:rPr>
          <w:b/>
          <w:color w:val="14919B"/>
          <w:sz w:val="17"/>
        </w:rPr>
        <w:t>VOLUME 12D  |  CHAPTER 33</w:t>
      </w:r>
    </w:p>
    <w:p>
      <w:pPr>
        <w:pStyle w:val="Heading1"/>
        <w:jc w:val="center"/>
      </w:pPr>
      <w:r>
        <w:t>Chapter 33: Google Cloud Networking, Shared VPC and Hybrid Connectivity</w:t>
      </w:r>
    </w:p>
    <w:p>
      <w:pPr>
        <w:jc w:val="center"/>
      </w:pPr>
      <w:r>
        <w:rPr>
          <w:i/>
          <w:color w:val="4B5563"/>
          <w:sz w:val="20"/>
        </w:rPr>
        <w:t>Building global VPC architecture with private service access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Google Cloud VPCs are global while subnets are regional. Enterprise design must account for Shared VPC ownership, hybrid routing, DNS, private access and centralized security.</w:t>
            </w:r>
          </w:p>
        </w:tc>
      </w:tr>
    </w:tbl>
    <w:p>
      <w:pPr>
        <w:spacing w:after="0"/>
      </w:pPr>
    </w:p>
    <w:p>
      <w:pPr>
        <w:pStyle w:val="Heading2"/>
        <w:keepNext/>
      </w:pPr>
      <w:r>
        <w:t>Learning Objectives</w:t>
      </w:r>
    </w:p>
    <w:p>
      <w:pPr>
        <w:pStyle w:val="ListBullet"/>
      </w:pPr>
      <w:r>
        <w:t>Explain the architecture, responsibility boundaries and major trade-offs of shared vpc and centralized network ownership.</w:t>
      </w:r>
    </w:p>
    <w:p>
      <w:pPr>
        <w:pStyle w:val="ListBullet"/>
      </w:pPr>
      <w:r>
        <w:t>Design cloud router, network connectivity center and hybrid routing for enterprise scale, least privilege and bounded failure.</w:t>
      </w:r>
    </w:p>
    <w:p>
      <w:pPr>
        <w:pStyle w:val="ListBullet"/>
      </w:pPr>
      <w:r>
        <w:t>Implement cloud interconnect and ha vpn through version-controlled automation and policy checks.</w:t>
      </w:r>
    </w:p>
    <w:p>
      <w:pPr>
        <w:pStyle w:val="ListBullet"/>
      </w:pPr>
      <w:r>
        <w:t>Troubleshoot private service connect, cloud dns and load balancing using provider-native telemetry and repeatable evidence.</w:t>
      </w:r>
    </w:p>
    <w:p>
      <w:pPr>
        <w:pStyle w:val="ListBullet"/>
      </w:pPr>
      <w:r>
        <w:t>Deliver a sanitized portfolio artifact for build a shared vpc with private service connectivity.</w:t>
      </w:r>
    </w:p>
    <w:p>
      <w:pPr>
        <w:pStyle w:val="Heading2"/>
        <w:keepNext/>
      </w:pPr>
      <w:r>
        <w:t>Core Concepts</w:t>
      </w:r>
    </w:p>
    <w:p>
      <w:pPr>
        <w:pStyle w:val="Heading3"/>
        <w:keepNext/>
      </w:pPr>
      <w:r>
        <w:t>Shared VPC and centralized network ownership</w:t>
      </w:r>
    </w:p>
    <w:p>
      <w:pPr>
        <w:keepNext w:val="0"/>
      </w:pPr>
      <w:r>
        <w:t>Shared VPC and centralized network ownership is a design boundary, not merely a console feature. In Google Cloud Networking, Shared VPC and Hybrid Connectivity, the team must document ownership, trust assumptions, dependency direction, failure impact and the evidence used to prove the control. The recommended implementation uses Shared VPC, Cloud Router, Network Connectivity Center, Cloud Interconnect / HA VPN only where they satisfy an explicit requirement; equivalent services are not automatically interchangeable.</w:t>
      </w:r>
    </w:p>
    <w:p>
      <w:pPr>
        <w:pStyle w:val="Heading3"/>
        <w:keepNext/>
      </w:pPr>
      <w:r>
        <w:t>Cloud Router, Network Connectivity Center and hybrid routing</w:t>
      </w:r>
    </w:p>
    <w:p>
      <w:pPr>
        <w:keepNext w:val="0"/>
      </w:pPr>
      <w:r>
        <w:t>A production implementation of Cloud Router, Network Connectivity Center and hybrid routing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Cloud Interconnect and HA VPN</w:t>
      </w:r>
    </w:p>
    <w:p>
      <w:pPr>
        <w:keepNext w:val="0"/>
      </w:pPr>
      <w:r>
        <w:t>For Cloud Interconnect and HA VPN,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Private Service Connect, Cloud DNS and load balancing</w:t>
      </w:r>
    </w:p>
    <w:p>
      <w:pPr>
        <w:keepNext w:val="0"/>
      </w:pPr>
      <w:r>
        <w:t>The strongest validation for Private Service Connect, Cloud DNS and load balancing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Enterprise network</w:t>
            </w:r>
          </w:p>
        </w:tc>
        <w:tc>
          <w:tcPr>
            <w:tcW w:type="dxa" w:w="2952"/>
            <w:tcMar>
              <w:top w:w="65" w:type="dxa"/>
              <w:start w:w="85" w:type="dxa"/>
              <w:bottom w:w="65" w:type="dxa"/>
              <w:end w:w="85" w:type="dxa"/>
            </w:tcMar>
            <w:vAlign w:val="top"/>
          </w:tcPr>
          <w:p>
            <w:r>
              <w:rPr>
                <w:sz w:val="14"/>
              </w:rPr>
              <w:t>Shared VPC</w:t>
            </w:r>
          </w:p>
        </w:tc>
        <w:tc>
          <w:tcPr>
            <w:tcW w:type="dxa" w:w="4824"/>
            <w:tcMar>
              <w:top w:w="65" w:type="dxa"/>
              <w:start w:w="85" w:type="dxa"/>
              <w:bottom w:w="65" w:type="dxa"/>
              <w:end w:w="85" w:type="dxa"/>
            </w:tcMar>
            <w:vAlign w:val="top"/>
          </w:tcPr>
          <w:p>
            <w:r>
              <w:rPr>
                <w:sz w:val="14"/>
              </w:rPr>
              <w:t>Centralize network ownership while service projects host workloads.</w:t>
            </w:r>
          </w:p>
        </w:tc>
      </w:tr>
      <w:tr>
        <w:trPr>
          <w:cantSplit/>
        </w:trPr>
        <w:tc>
          <w:tcPr>
            <w:tcW w:type="dxa" w:w="2232"/>
            <w:tcMar>
              <w:top w:w="65" w:type="dxa"/>
              <w:start w:w="85" w:type="dxa"/>
              <w:bottom w:w="65" w:type="dxa"/>
              <w:end w:w="85" w:type="dxa"/>
            </w:tcMar>
            <w:vAlign w:val="top"/>
          </w:tcPr>
          <w:p>
            <w:r>
              <w:rPr>
                <w:sz w:val="14"/>
              </w:rPr>
              <w:t>Dynamic routing</w:t>
            </w:r>
          </w:p>
        </w:tc>
        <w:tc>
          <w:tcPr>
            <w:tcW w:type="dxa" w:w="2952"/>
            <w:tcMar>
              <w:top w:w="65" w:type="dxa"/>
              <w:start w:w="85" w:type="dxa"/>
              <w:bottom w:w="65" w:type="dxa"/>
              <w:end w:w="85" w:type="dxa"/>
            </w:tcMar>
            <w:vAlign w:val="top"/>
          </w:tcPr>
          <w:p>
            <w:r>
              <w:rPr>
                <w:sz w:val="14"/>
              </w:rPr>
              <w:t>Cloud Router</w:t>
            </w:r>
          </w:p>
        </w:tc>
        <w:tc>
          <w:tcPr>
            <w:tcW w:type="dxa" w:w="4824"/>
            <w:tcMar>
              <w:top w:w="65" w:type="dxa"/>
              <w:start w:w="85" w:type="dxa"/>
              <w:bottom w:w="65" w:type="dxa"/>
              <w:end w:w="85" w:type="dxa"/>
            </w:tcMar>
            <w:vAlign w:val="top"/>
          </w:tcPr>
          <w:p>
            <w:r>
              <w:rPr>
                <w:sz w:val="14"/>
              </w:rPr>
              <w:t>Exchange routes using BGP for hybrid services.</w:t>
            </w:r>
          </w:p>
        </w:tc>
      </w:tr>
      <w:tr>
        <w:trPr>
          <w:cantSplit/>
        </w:trPr>
        <w:tc>
          <w:tcPr>
            <w:tcW w:type="dxa" w:w="2232"/>
            <w:tcMar>
              <w:top w:w="65" w:type="dxa"/>
              <w:start w:w="85" w:type="dxa"/>
              <w:bottom w:w="65" w:type="dxa"/>
              <w:end w:w="85" w:type="dxa"/>
            </w:tcMar>
            <w:vAlign w:val="top"/>
          </w:tcPr>
          <w:p>
            <w:r>
              <w:rPr>
                <w:sz w:val="14"/>
              </w:rPr>
              <w:t>Connectivity hub</w:t>
            </w:r>
          </w:p>
        </w:tc>
        <w:tc>
          <w:tcPr>
            <w:tcW w:type="dxa" w:w="2952"/>
            <w:tcMar>
              <w:top w:w="65" w:type="dxa"/>
              <w:start w:w="85" w:type="dxa"/>
              <w:bottom w:w="65" w:type="dxa"/>
              <w:end w:w="85" w:type="dxa"/>
            </w:tcMar>
            <w:vAlign w:val="top"/>
          </w:tcPr>
          <w:p>
            <w:r>
              <w:rPr>
                <w:sz w:val="14"/>
              </w:rPr>
              <w:t>Network Connectivity Center</w:t>
            </w:r>
          </w:p>
        </w:tc>
        <w:tc>
          <w:tcPr>
            <w:tcW w:type="dxa" w:w="4824"/>
            <w:tcMar>
              <w:top w:w="65" w:type="dxa"/>
              <w:start w:w="85" w:type="dxa"/>
              <w:bottom w:w="65" w:type="dxa"/>
              <w:end w:w="85" w:type="dxa"/>
            </w:tcMar>
            <w:vAlign w:val="top"/>
          </w:tcPr>
          <w:p>
            <w:r>
              <w:rPr>
                <w:sz w:val="14"/>
              </w:rPr>
              <w:t>Coordinate spoke connectivity across networks and sites.</w:t>
            </w:r>
          </w:p>
        </w:tc>
      </w:tr>
      <w:tr>
        <w:trPr>
          <w:cantSplit/>
        </w:trPr>
        <w:tc>
          <w:tcPr>
            <w:tcW w:type="dxa" w:w="2232"/>
            <w:tcMar>
              <w:top w:w="65" w:type="dxa"/>
              <w:start w:w="85" w:type="dxa"/>
              <w:bottom w:w="65" w:type="dxa"/>
              <w:end w:w="85" w:type="dxa"/>
            </w:tcMar>
            <w:vAlign w:val="top"/>
          </w:tcPr>
          <w:p>
            <w:r>
              <w:rPr>
                <w:sz w:val="14"/>
              </w:rPr>
              <w:t>Hybrid</w:t>
            </w:r>
          </w:p>
        </w:tc>
        <w:tc>
          <w:tcPr>
            <w:tcW w:type="dxa" w:w="2952"/>
            <w:tcMar>
              <w:top w:w="65" w:type="dxa"/>
              <w:start w:w="85" w:type="dxa"/>
              <w:bottom w:w="65" w:type="dxa"/>
              <w:end w:w="85" w:type="dxa"/>
            </w:tcMar>
            <w:vAlign w:val="top"/>
          </w:tcPr>
          <w:p>
            <w:r>
              <w:rPr>
                <w:sz w:val="14"/>
              </w:rPr>
              <w:t>Cloud Interconnect / HA VPN</w:t>
            </w:r>
          </w:p>
        </w:tc>
        <w:tc>
          <w:tcPr>
            <w:tcW w:type="dxa" w:w="4824"/>
            <w:tcMar>
              <w:top w:w="65" w:type="dxa"/>
              <w:start w:w="85" w:type="dxa"/>
              <w:bottom w:w="65" w:type="dxa"/>
              <w:end w:w="85" w:type="dxa"/>
            </w:tcMar>
            <w:vAlign w:val="top"/>
          </w:tcPr>
          <w:p>
            <w:r>
              <w:rPr>
                <w:sz w:val="14"/>
              </w:rPr>
              <w:t>Provide private or encrypted on-premises connectivity.</w:t>
            </w:r>
          </w:p>
        </w:tc>
      </w:tr>
      <w:tr>
        <w:trPr>
          <w:cantSplit/>
        </w:trPr>
        <w:tc>
          <w:tcPr>
            <w:tcW w:type="dxa" w:w="2232"/>
            <w:tcMar>
              <w:top w:w="65" w:type="dxa"/>
              <w:start w:w="85" w:type="dxa"/>
              <w:bottom w:w="65" w:type="dxa"/>
              <w:end w:w="85" w:type="dxa"/>
            </w:tcMar>
            <w:vAlign w:val="top"/>
          </w:tcPr>
          <w:p>
            <w:r>
              <w:rPr>
                <w:sz w:val="14"/>
              </w:rPr>
              <w:t>Private services</w:t>
            </w:r>
          </w:p>
        </w:tc>
        <w:tc>
          <w:tcPr>
            <w:tcW w:type="dxa" w:w="2952"/>
            <w:tcMar>
              <w:top w:w="65" w:type="dxa"/>
              <w:start w:w="85" w:type="dxa"/>
              <w:bottom w:w="65" w:type="dxa"/>
              <w:end w:w="85" w:type="dxa"/>
            </w:tcMar>
            <w:vAlign w:val="top"/>
          </w:tcPr>
          <w:p>
            <w:r>
              <w:rPr>
                <w:sz w:val="14"/>
              </w:rPr>
              <w:t>Private Service Connect</w:t>
            </w:r>
          </w:p>
        </w:tc>
        <w:tc>
          <w:tcPr>
            <w:tcW w:type="dxa" w:w="4824"/>
            <w:tcMar>
              <w:top w:w="65" w:type="dxa"/>
              <w:start w:w="85" w:type="dxa"/>
              <w:bottom w:w="65" w:type="dxa"/>
              <w:end w:w="85" w:type="dxa"/>
            </w:tcMar>
            <w:vAlign w:val="top"/>
          </w:tcPr>
          <w:p>
            <w:r>
              <w:rPr>
                <w:sz w:val="14"/>
              </w:rPr>
              <w:t>Publish and consume services privately.</w:t>
            </w:r>
          </w:p>
        </w:tc>
      </w:tr>
      <w:tr>
        <w:trPr>
          <w:cantSplit/>
        </w:trPr>
        <w:tc>
          <w:tcPr>
            <w:tcW w:type="dxa" w:w="2232"/>
            <w:tcMar>
              <w:top w:w="65" w:type="dxa"/>
              <w:start w:w="85" w:type="dxa"/>
              <w:bottom w:w="65" w:type="dxa"/>
              <w:end w:w="85" w:type="dxa"/>
            </w:tcMar>
            <w:vAlign w:val="top"/>
          </w:tcPr>
          <w:p>
            <w:r>
              <w:rPr>
                <w:sz w:val="14"/>
              </w:rPr>
              <w:t>DNS</w:t>
            </w:r>
          </w:p>
        </w:tc>
        <w:tc>
          <w:tcPr>
            <w:tcW w:type="dxa" w:w="2952"/>
            <w:tcMar>
              <w:top w:w="65" w:type="dxa"/>
              <w:start w:w="85" w:type="dxa"/>
              <w:bottom w:w="65" w:type="dxa"/>
              <w:end w:w="85" w:type="dxa"/>
            </w:tcMar>
            <w:vAlign w:val="top"/>
          </w:tcPr>
          <w:p>
            <w:r>
              <w:rPr>
                <w:sz w:val="14"/>
              </w:rPr>
              <w:t>Cloud DNS</w:t>
            </w:r>
          </w:p>
        </w:tc>
        <w:tc>
          <w:tcPr>
            <w:tcW w:type="dxa" w:w="4824"/>
            <w:tcMar>
              <w:top w:w="65" w:type="dxa"/>
              <w:start w:w="85" w:type="dxa"/>
              <w:bottom w:w="65" w:type="dxa"/>
              <w:end w:w="85" w:type="dxa"/>
            </w:tcMar>
            <w:vAlign w:val="top"/>
          </w:tcPr>
          <w:p>
            <w:r>
              <w:rPr>
                <w:sz w:val="14"/>
              </w:rPr>
              <w:t>Operate managed public, private and forwarding zones.</w:t>
            </w:r>
          </w:p>
        </w:tc>
      </w:tr>
    </w:tbl>
    <w:p>
      <w:pPr>
        <w:pStyle w:val="Heading2"/>
        <w:keepNext/>
      </w:pPr>
      <w:r>
        <w:t>Architecture and Operating Decisions</w:t>
      </w:r>
    </w:p>
    <w:p>
      <w:pPr>
        <w:pStyle w:val="ListBullet"/>
      </w:pPr>
      <w:r>
        <w:t>Use Google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cloud interconnect and ha vpn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network:</w:t>
              <w:br/>
              <w:t xml:space="preserve">  vpc_model: shared_vpc_per_environment_or_trust_domain</w:t>
              <w:br/>
              <w:t xml:space="preserve">  routing: global_dynamic_where_required</w:t>
              <w:br/>
              <w:t xml:space="preserve">  hybrid: redundant_interconnect_plus_ha_vpn</w:t>
              <w:br/>
              <w:t xml:space="preserve">  service_access: private_service_connect</w:t>
              <w:br/>
              <w:t xml:space="preserve">  dns: cloud_dns_forwarding_and_peering</w:t>
              <w:br/>
              <w:t xml:space="preserve">  egress: centralized_policy_and_nat</w:t>
              <w:br/>
              <w:t>validation: [connectivity_tests, flow_logs, route_inventory, dns_tests]</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google cloud networking, shared vpc and hybrid connectivity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33: Build a Shared VPC with Private Service Connectivity</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google cloud networking, shared vpc and hybrid connectivity using fictional enterprise requirements.</w:t>
      </w:r>
    </w:p>
    <w:p>
      <w:pPr>
        <w:ind w:left="360" w:hanging="360"/>
      </w:pPr>
      <w:r>
        <w:rPr>
          <w:b/>
        </w:rPr>
        <w:t xml:space="preserve">2. </w:t>
      </w:r>
      <w:r>
        <w:t>Implement the smallest safe sandbox using Shared VPC, Cloud Router, Network Connectivity Center;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Google Cloud Networking, Shared VPC and Hybrid Connectivity?</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Google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Shared VPC and centralized network ownership defines a key architecture boundary.</w:t>
      </w:r>
    </w:p>
    <w:p>
      <w:pPr>
        <w:pStyle w:val="ListBullet"/>
      </w:pPr>
      <w:r>
        <w:t>Cloud Router, Network Connectivity Center and hybrid routing must be automated and least-privileged.</w:t>
      </w:r>
    </w:p>
    <w:p>
      <w:pPr>
        <w:pStyle w:val="ListBullet"/>
      </w:pPr>
      <w:r>
        <w:t>Cloud Interconnect and HA VPN requires policy, telemetry and recovery evidence.</w:t>
      </w:r>
    </w:p>
    <w:p>
      <w:pPr>
        <w:pStyle w:val="ListBullet"/>
      </w:pPr>
      <w:r>
        <w:t>Private Service Connect, Cloud DNS and load balancing should be tested before production and after material change.</w:t>
      </w:r>
    </w:p>
    <w:p>
      <w:r>
        <w:br w:type="page"/>
      </w:r>
    </w:p>
    <w:p>
      <w:pPr>
        <w:jc w:val="center"/>
      </w:pPr>
      <w:r>
        <w:rPr>
          <w:b/>
          <w:color w:val="14919B"/>
          <w:sz w:val="17"/>
        </w:rPr>
        <w:t>VOLUME 12D  |  CHAPTER 34</w:t>
      </w:r>
    </w:p>
    <w:p>
      <w:pPr>
        <w:pStyle w:val="Heading1"/>
        <w:jc w:val="center"/>
      </w:pPr>
      <w:r>
        <w:t>Chapter 34: Google Cloud Compute, Serverless and GKE Architecture</w:t>
      </w:r>
    </w:p>
    <w:p>
      <w:pPr>
        <w:jc w:val="center"/>
      </w:pPr>
      <w:r>
        <w:rPr>
          <w:i/>
          <w:color w:val="4B5563"/>
          <w:sz w:val="20"/>
        </w:rPr>
        <w:t>Choosing Compute Engine, Cloud Run, functions and Kubernetes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Google Cloud compute placement should reflect runtime control, scaling, networking, event model and team operating capability. Managed services reduce some operational work but add platform-specific constraints.</w:t>
            </w:r>
          </w:p>
        </w:tc>
      </w:tr>
    </w:tbl>
    <w:p>
      <w:pPr>
        <w:spacing w:after="0"/>
      </w:pPr>
    </w:p>
    <w:p>
      <w:pPr>
        <w:pStyle w:val="Heading2"/>
        <w:keepNext/>
      </w:pPr>
      <w:r>
        <w:t>Learning Objectives</w:t>
      </w:r>
    </w:p>
    <w:p>
      <w:pPr>
        <w:pStyle w:val="ListBullet"/>
      </w:pPr>
      <w:r>
        <w:t>Explain the architecture, responsibility boundaries and major trade-offs of compute engine and managed instance groups.</w:t>
      </w:r>
    </w:p>
    <w:p>
      <w:pPr>
        <w:pStyle w:val="ListBullet"/>
      </w:pPr>
      <w:r>
        <w:t>Design cloud run and event-driven serverless for enterprise scale, least privilege and bounded failure.</w:t>
      </w:r>
    </w:p>
    <w:p>
      <w:pPr>
        <w:pStyle w:val="ListBullet"/>
      </w:pPr>
      <w:r>
        <w:t>Implement google kubernetes engine architecture through version-controlled automation and policy checks.</w:t>
      </w:r>
    </w:p>
    <w:p>
      <w:pPr>
        <w:pStyle w:val="ListBullet"/>
      </w:pPr>
      <w:r>
        <w:t>Troubleshoot images, autoscaling and safe delivery using provider-native telemetry and repeatable evidence.</w:t>
      </w:r>
    </w:p>
    <w:p>
      <w:pPr>
        <w:pStyle w:val="ListBullet"/>
      </w:pPr>
      <w:r>
        <w:t>Deliver a sanitized portfolio artifact for deploy and compare google cloud compute patterns.</w:t>
      </w:r>
    </w:p>
    <w:p>
      <w:pPr>
        <w:pStyle w:val="Heading2"/>
        <w:keepNext/>
      </w:pPr>
      <w:r>
        <w:t>Core Concepts</w:t>
      </w:r>
    </w:p>
    <w:p>
      <w:pPr>
        <w:pStyle w:val="Heading3"/>
        <w:keepNext/>
      </w:pPr>
      <w:r>
        <w:t>Compute Engine and managed instance groups</w:t>
      </w:r>
    </w:p>
    <w:p>
      <w:pPr>
        <w:keepNext w:val="0"/>
      </w:pPr>
      <w:r>
        <w:t>Compute Engine and managed instance groups is a design boundary, not merely a console feature. In Google Cloud Compute, Serverless and GKE Architecture, the team must document ownership, trust assumptions, dependency direction, failure impact and the evidence used to prove the control. The recommended implementation uses Compute Engine / managed instance groups, Cloud Run, Cloud Run functions, Google Kubernetes Engine only where they satisfy an explicit requirement; equivalent services are not automatically interchangeable.</w:t>
      </w:r>
    </w:p>
    <w:p>
      <w:pPr>
        <w:pStyle w:val="Heading3"/>
        <w:keepNext/>
      </w:pPr>
      <w:r>
        <w:t>Cloud Run and event-driven serverless</w:t>
      </w:r>
    </w:p>
    <w:p>
      <w:pPr>
        <w:keepNext w:val="0"/>
      </w:pPr>
      <w:r>
        <w:t>A production implementation of Cloud Run and event-driven serverless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Google Kubernetes Engine architecture</w:t>
      </w:r>
    </w:p>
    <w:p>
      <w:pPr>
        <w:keepNext w:val="0"/>
      </w:pPr>
      <w:r>
        <w:t>For Google Kubernetes Engine architecture,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Images, autoscaling and safe delivery</w:t>
      </w:r>
    </w:p>
    <w:p>
      <w:pPr>
        <w:keepNext w:val="0"/>
      </w:pPr>
      <w:r>
        <w:t>The strongest validation for Images, autoscaling and safe delivery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Virtual machines</w:t>
            </w:r>
          </w:p>
        </w:tc>
        <w:tc>
          <w:tcPr>
            <w:tcW w:type="dxa" w:w="2952"/>
            <w:tcMar>
              <w:top w:w="65" w:type="dxa"/>
              <w:start w:w="85" w:type="dxa"/>
              <w:bottom w:w="65" w:type="dxa"/>
              <w:end w:w="85" w:type="dxa"/>
            </w:tcMar>
            <w:vAlign w:val="top"/>
          </w:tcPr>
          <w:p>
            <w:r>
              <w:rPr>
                <w:sz w:val="14"/>
              </w:rPr>
              <w:t>Compute Engine / managed instance groups</w:t>
            </w:r>
          </w:p>
        </w:tc>
        <w:tc>
          <w:tcPr>
            <w:tcW w:type="dxa" w:w="4824"/>
            <w:tcMar>
              <w:top w:w="65" w:type="dxa"/>
              <w:start w:w="85" w:type="dxa"/>
              <w:bottom w:w="65" w:type="dxa"/>
              <w:end w:w="85" w:type="dxa"/>
            </w:tcMar>
            <w:vAlign w:val="top"/>
          </w:tcPr>
          <w:p>
            <w:r>
              <w:rPr>
                <w:sz w:val="14"/>
              </w:rPr>
              <w:t>Run customized and legacy workloads.</w:t>
            </w:r>
          </w:p>
        </w:tc>
      </w:tr>
      <w:tr>
        <w:trPr>
          <w:cantSplit/>
        </w:trPr>
        <w:tc>
          <w:tcPr>
            <w:tcW w:type="dxa" w:w="2232"/>
            <w:tcMar>
              <w:top w:w="65" w:type="dxa"/>
              <w:start w:w="85" w:type="dxa"/>
              <w:bottom w:w="65" w:type="dxa"/>
              <w:end w:w="85" w:type="dxa"/>
            </w:tcMar>
            <w:vAlign w:val="top"/>
          </w:tcPr>
          <w:p>
            <w:r>
              <w:rPr>
                <w:sz w:val="14"/>
              </w:rPr>
              <w:t>Serverless containers</w:t>
            </w:r>
          </w:p>
        </w:tc>
        <w:tc>
          <w:tcPr>
            <w:tcW w:type="dxa" w:w="2952"/>
            <w:tcMar>
              <w:top w:w="65" w:type="dxa"/>
              <w:start w:w="85" w:type="dxa"/>
              <w:bottom w:w="65" w:type="dxa"/>
              <w:end w:w="85" w:type="dxa"/>
            </w:tcMar>
            <w:vAlign w:val="top"/>
          </w:tcPr>
          <w:p>
            <w:r>
              <w:rPr>
                <w:sz w:val="14"/>
              </w:rPr>
              <w:t>Cloud Run</w:t>
            </w:r>
          </w:p>
        </w:tc>
        <w:tc>
          <w:tcPr>
            <w:tcW w:type="dxa" w:w="4824"/>
            <w:tcMar>
              <w:top w:w="65" w:type="dxa"/>
              <w:start w:w="85" w:type="dxa"/>
              <w:bottom w:w="65" w:type="dxa"/>
              <w:end w:w="85" w:type="dxa"/>
            </w:tcMar>
            <w:vAlign w:val="top"/>
          </w:tcPr>
          <w:p>
            <w:r>
              <w:rPr>
                <w:sz w:val="14"/>
              </w:rPr>
              <w:t>Deploy stateless services and jobs with managed scaling.</w:t>
            </w:r>
          </w:p>
        </w:tc>
      </w:tr>
      <w:tr>
        <w:trPr>
          <w:cantSplit/>
        </w:trPr>
        <w:tc>
          <w:tcPr>
            <w:tcW w:type="dxa" w:w="2232"/>
            <w:tcMar>
              <w:top w:w="65" w:type="dxa"/>
              <w:start w:w="85" w:type="dxa"/>
              <w:bottom w:w="65" w:type="dxa"/>
              <w:end w:w="85" w:type="dxa"/>
            </w:tcMar>
            <w:vAlign w:val="top"/>
          </w:tcPr>
          <w:p>
            <w:r>
              <w:rPr>
                <w:sz w:val="14"/>
              </w:rPr>
              <w:t>Functions</w:t>
            </w:r>
          </w:p>
        </w:tc>
        <w:tc>
          <w:tcPr>
            <w:tcW w:type="dxa" w:w="2952"/>
            <w:tcMar>
              <w:top w:w="65" w:type="dxa"/>
              <w:start w:w="85" w:type="dxa"/>
              <w:bottom w:w="65" w:type="dxa"/>
              <w:end w:w="85" w:type="dxa"/>
            </w:tcMar>
            <w:vAlign w:val="top"/>
          </w:tcPr>
          <w:p>
            <w:r>
              <w:rPr>
                <w:sz w:val="14"/>
              </w:rPr>
              <w:t>Cloud Run functions</w:t>
            </w:r>
          </w:p>
        </w:tc>
        <w:tc>
          <w:tcPr>
            <w:tcW w:type="dxa" w:w="4824"/>
            <w:tcMar>
              <w:top w:w="65" w:type="dxa"/>
              <w:start w:w="85" w:type="dxa"/>
              <w:bottom w:w="65" w:type="dxa"/>
              <w:end w:w="85" w:type="dxa"/>
            </w:tcMar>
            <w:vAlign w:val="top"/>
          </w:tcPr>
          <w:p>
            <w:r>
              <w:rPr>
                <w:sz w:val="14"/>
              </w:rPr>
              <w:t>Run event-driven functions integrated with Google services.</w:t>
            </w:r>
          </w:p>
        </w:tc>
      </w:tr>
      <w:tr>
        <w:trPr>
          <w:cantSplit/>
        </w:trPr>
        <w:tc>
          <w:tcPr>
            <w:tcW w:type="dxa" w:w="2232"/>
            <w:tcMar>
              <w:top w:w="65" w:type="dxa"/>
              <w:start w:w="85" w:type="dxa"/>
              <w:bottom w:w="65" w:type="dxa"/>
              <w:end w:w="85" w:type="dxa"/>
            </w:tcMar>
            <w:vAlign w:val="top"/>
          </w:tcPr>
          <w:p>
            <w:r>
              <w:rPr>
                <w:sz w:val="14"/>
              </w:rPr>
              <w:t>Kubernetes</w:t>
            </w:r>
          </w:p>
        </w:tc>
        <w:tc>
          <w:tcPr>
            <w:tcW w:type="dxa" w:w="2952"/>
            <w:tcMar>
              <w:top w:w="65" w:type="dxa"/>
              <w:start w:w="85" w:type="dxa"/>
              <w:bottom w:w="65" w:type="dxa"/>
              <w:end w:w="85" w:type="dxa"/>
            </w:tcMar>
            <w:vAlign w:val="top"/>
          </w:tcPr>
          <w:p>
            <w:r>
              <w:rPr>
                <w:sz w:val="14"/>
              </w:rPr>
              <w:t>Google Kubernetes Engine</w:t>
            </w:r>
          </w:p>
        </w:tc>
        <w:tc>
          <w:tcPr>
            <w:tcW w:type="dxa" w:w="4824"/>
            <w:tcMar>
              <w:top w:w="65" w:type="dxa"/>
              <w:start w:w="85" w:type="dxa"/>
              <w:bottom w:w="65" w:type="dxa"/>
              <w:end w:w="85" w:type="dxa"/>
            </w:tcMar>
            <w:vAlign w:val="top"/>
          </w:tcPr>
          <w:p>
            <w:r>
              <w:rPr>
                <w:sz w:val="14"/>
              </w:rPr>
              <w:t>Operate Kubernetes workloads with managed capabilities.</w:t>
            </w:r>
          </w:p>
        </w:tc>
      </w:tr>
      <w:tr>
        <w:trPr>
          <w:cantSplit/>
        </w:trPr>
        <w:tc>
          <w:tcPr>
            <w:tcW w:type="dxa" w:w="2232"/>
            <w:tcMar>
              <w:top w:w="65" w:type="dxa"/>
              <w:start w:w="85" w:type="dxa"/>
              <w:bottom w:w="65" w:type="dxa"/>
              <w:end w:w="85" w:type="dxa"/>
            </w:tcMar>
            <w:vAlign w:val="top"/>
          </w:tcPr>
          <w:p>
            <w:r>
              <w:rPr>
                <w:sz w:val="14"/>
              </w:rPr>
              <w:t>Images</w:t>
            </w:r>
          </w:p>
        </w:tc>
        <w:tc>
          <w:tcPr>
            <w:tcW w:type="dxa" w:w="2952"/>
            <w:tcMar>
              <w:top w:w="65" w:type="dxa"/>
              <w:start w:w="85" w:type="dxa"/>
              <w:bottom w:w="65" w:type="dxa"/>
              <w:end w:w="85" w:type="dxa"/>
            </w:tcMar>
            <w:vAlign w:val="top"/>
          </w:tcPr>
          <w:p>
            <w:r>
              <w:rPr>
                <w:sz w:val="14"/>
              </w:rPr>
              <w:t>Artifact Registry / image pipelines</w:t>
            </w:r>
          </w:p>
        </w:tc>
        <w:tc>
          <w:tcPr>
            <w:tcW w:type="dxa" w:w="4824"/>
            <w:tcMar>
              <w:top w:w="65" w:type="dxa"/>
              <w:start w:w="85" w:type="dxa"/>
              <w:bottom w:w="65" w:type="dxa"/>
              <w:end w:w="85" w:type="dxa"/>
            </w:tcMar>
            <w:vAlign w:val="top"/>
          </w:tcPr>
          <w:p>
            <w:r>
              <w:rPr>
                <w:sz w:val="14"/>
              </w:rPr>
              <w:t>Store and govern container and language artifacts.</w:t>
            </w:r>
          </w:p>
        </w:tc>
      </w:tr>
      <w:tr>
        <w:trPr>
          <w:cantSplit/>
        </w:trPr>
        <w:tc>
          <w:tcPr>
            <w:tcW w:type="dxa" w:w="2232"/>
            <w:tcMar>
              <w:top w:w="65" w:type="dxa"/>
              <w:start w:w="85" w:type="dxa"/>
              <w:bottom w:w="65" w:type="dxa"/>
              <w:end w:w="85" w:type="dxa"/>
            </w:tcMar>
            <w:vAlign w:val="top"/>
          </w:tcPr>
          <w:p>
            <w:r>
              <w:rPr>
                <w:sz w:val="14"/>
              </w:rPr>
              <w:t>Autoscaling</w:t>
            </w:r>
          </w:p>
        </w:tc>
        <w:tc>
          <w:tcPr>
            <w:tcW w:type="dxa" w:w="2952"/>
            <w:tcMar>
              <w:top w:w="65" w:type="dxa"/>
              <w:start w:w="85" w:type="dxa"/>
              <w:bottom w:w="65" w:type="dxa"/>
              <w:end w:w="85" w:type="dxa"/>
            </w:tcMar>
            <w:vAlign w:val="top"/>
          </w:tcPr>
          <w:p>
            <w:r>
              <w:rPr>
                <w:sz w:val="14"/>
              </w:rPr>
              <w:t>MIG / GKE / Cloud Run autoscaling</w:t>
            </w:r>
          </w:p>
        </w:tc>
        <w:tc>
          <w:tcPr>
            <w:tcW w:type="dxa" w:w="4824"/>
            <w:tcMar>
              <w:top w:w="65" w:type="dxa"/>
              <w:start w:w="85" w:type="dxa"/>
              <w:bottom w:w="65" w:type="dxa"/>
              <w:end w:w="85" w:type="dxa"/>
            </w:tcMar>
            <w:vAlign w:val="top"/>
          </w:tcPr>
          <w:p>
            <w:r>
              <w:rPr>
                <w:sz w:val="14"/>
              </w:rPr>
              <w:t>Scale from measured demand with tested limits.</w:t>
            </w:r>
          </w:p>
        </w:tc>
      </w:tr>
    </w:tbl>
    <w:p>
      <w:pPr>
        <w:pStyle w:val="Heading2"/>
        <w:keepNext/>
      </w:pPr>
      <w:r>
        <w:t>Architecture and Operating Decisions</w:t>
      </w:r>
    </w:p>
    <w:p>
      <w:pPr>
        <w:pStyle w:val="ListBullet"/>
      </w:pPr>
      <w:r>
        <w:t>Use Google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google kubernetes engine architecture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placement:</w:t>
              <w:br/>
              <w:t xml:space="preserve">  custom_os_or_legacy: compute_engine_mig</w:t>
              <w:br/>
              <w:t xml:space="preserve">  stateless_http_or_jobs: cloud_run</w:t>
              <w:br/>
              <w:t xml:space="preserve">  event_functions: cloud_run_functions</w:t>
              <w:br/>
              <w:t xml:space="preserve">  kubernetes_platform: gke</w:t>
              <w:br/>
              <w:t>controls: [multi_zone, workload_identity, artifact_scanning, autoscaling_limits, rollback]</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google cloud compute, serverless and gke architecture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34: Deploy and Compare Google Cloud Compute Patterns</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google cloud compute, serverless and gke architecture using fictional enterprise requirements.</w:t>
      </w:r>
    </w:p>
    <w:p>
      <w:pPr>
        <w:ind w:left="360" w:hanging="360"/>
      </w:pPr>
      <w:r>
        <w:rPr>
          <w:b/>
        </w:rPr>
        <w:t xml:space="preserve">2. </w:t>
      </w:r>
      <w:r>
        <w:t>Implement the smallest safe sandbox using Compute Engine / managed instance groups, Cloud Run, Cloud Run functions;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Google Cloud Compute, Serverless and GKE Architecture?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Google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Compute Engine and managed instance groups defines a key architecture boundary.</w:t>
      </w:r>
    </w:p>
    <w:p>
      <w:pPr>
        <w:pStyle w:val="ListBullet"/>
      </w:pPr>
      <w:r>
        <w:t>Cloud Run and event-driven serverless must be automated and least-privileged.</w:t>
      </w:r>
    </w:p>
    <w:p>
      <w:pPr>
        <w:pStyle w:val="ListBullet"/>
      </w:pPr>
      <w:r>
        <w:t>Google Kubernetes Engine architecture requires policy, telemetry and recovery evidence.</w:t>
      </w:r>
    </w:p>
    <w:p>
      <w:pPr>
        <w:pStyle w:val="ListBullet"/>
      </w:pPr>
      <w:r>
        <w:t>Images, autoscaling and safe delivery should be tested before production and after material change.</w:t>
      </w:r>
    </w:p>
    <w:p>
      <w:r>
        <w:br w:type="page"/>
      </w:r>
    </w:p>
    <w:p>
      <w:pPr>
        <w:jc w:val="center"/>
      </w:pPr>
      <w:r>
        <w:rPr>
          <w:b/>
          <w:color w:val="14919B"/>
          <w:sz w:val="17"/>
        </w:rPr>
        <w:t>VOLUME 12D  |  CHAPTER 35</w:t>
      </w:r>
    </w:p>
    <w:p>
      <w:pPr>
        <w:pStyle w:val="Heading1"/>
        <w:jc w:val="center"/>
      </w:pPr>
      <w:r>
        <w:t>Chapter 35: Google Cloud Storage, Databases and Data Protection</w:t>
      </w:r>
    </w:p>
    <w:p>
      <w:pPr>
        <w:jc w:val="center"/>
      </w:pPr>
      <w:r>
        <w:rPr>
          <w:i/>
          <w:color w:val="4B5563"/>
          <w:sz w:val="20"/>
        </w:rPr>
        <w:t>Selecting data services for scale, consistency and recovery</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Google Cloud offers global and regional data services with different consistency, scaling and operational models. Data classification and recovery objectives must drive the choice.</w:t>
            </w:r>
          </w:p>
        </w:tc>
      </w:tr>
    </w:tbl>
    <w:p>
      <w:pPr>
        <w:spacing w:after="0"/>
      </w:pPr>
    </w:p>
    <w:p>
      <w:pPr>
        <w:pStyle w:val="Heading2"/>
        <w:keepNext/>
      </w:pPr>
      <w:r>
        <w:t>Learning Objectives</w:t>
      </w:r>
    </w:p>
    <w:p>
      <w:pPr>
        <w:pStyle w:val="ListBullet"/>
      </w:pPr>
      <w:r>
        <w:t>Explain the architecture, responsibility boundaries and major trade-offs of cloud storage lifecycle and redundancy.</w:t>
      </w:r>
    </w:p>
    <w:p>
      <w:pPr>
        <w:pStyle w:val="ListBullet"/>
      </w:pPr>
      <w:r>
        <w:t>Design persistent disk and filestore for enterprise scale, least privilege and bounded failure.</w:t>
      </w:r>
    </w:p>
    <w:p>
      <w:pPr>
        <w:pStyle w:val="ListBullet"/>
      </w:pPr>
      <w:r>
        <w:t>Implement cloud sql, spanner, bigtable and firestore through version-controlled automation and policy checks.</w:t>
      </w:r>
    </w:p>
    <w:p>
      <w:pPr>
        <w:pStyle w:val="ListBullet"/>
      </w:pPr>
      <w:r>
        <w:t>Troubleshoot backup, replication and recovery validation using provider-native telemetry and repeatable evidence.</w:t>
      </w:r>
    </w:p>
    <w:p>
      <w:pPr>
        <w:pStyle w:val="ListBullet"/>
      </w:pPr>
      <w:r>
        <w:t>Deliver a sanitized portfolio artifact for design and test google cloud data recovery.</w:t>
      </w:r>
    </w:p>
    <w:p>
      <w:pPr>
        <w:pStyle w:val="Heading2"/>
        <w:keepNext/>
      </w:pPr>
      <w:r>
        <w:t>Core Concepts</w:t>
      </w:r>
    </w:p>
    <w:p>
      <w:pPr>
        <w:pStyle w:val="Heading3"/>
        <w:keepNext/>
      </w:pPr>
      <w:r>
        <w:t>Cloud Storage lifecycle and redundancy</w:t>
      </w:r>
    </w:p>
    <w:p>
      <w:pPr>
        <w:keepNext w:val="0"/>
      </w:pPr>
      <w:r>
        <w:t>Cloud Storage lifecycle and redundancy is a design boundary, not merely a console feature. In Google Cloud Storage, Databases and Data Protection, the team must document ownership, trust assumptions, dependency direction, failure impact and the evidence used to prove the control. The recommended implementation uses Cloud Storage, Persistent Disk / Hyperdisk, Filestore, Cloud SQL / AlloyDB only where they satisfy an explicit requirement; equivalent services are not automatically interchangeable.</w:t>
      </w:r>
    </w:p>
    <w:p>
      <w:pPr>
        <w:pStyle w:val="Heading3"/>
        <w:keepNext/>
      </w:pPr>
      <w:r>
        <w:t>Persistent Disk and Filestore</w:t>
      </w:r>
    </w:p>
    <w:p>
      <w:pPr>
        <w:keepNext w:val="0"/>
      </w:pPr>
      <w:r>
        <w:t>A production implementation of Persistent Disk and Filestore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Cloud SQL, Spanner, Bigtable and Firestore</w:t>
      </w:r>
    </w:p>
    <w:p>
      <w:pPr>
        <w:keepNext w:val="0"/>
      </w:pPr>
      <w:r>
        <w:t>For Cloud SQL, Spanner, Bigtable and Firestore,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Backup, replication and recovery validation</w:t>
      </w:r>
    </w:p>
    <w:p>
      <w:pPr>
        <w:keepNext w:val="0"/>
      </w:pPr>
      <w:r>
        <w:t>The strongest validation for Backup, replication and recovery validation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Object</w:t>
            </w:r>
          </w:p>
        </w:tc>
        <w:tc>
          <w:tcPr>
            <w:tcW w:type="dxa" w:w="2952"/>
            <w:tcMar>
              <w:top w:w="65" w:type="dxa"/>
              <w:start w:w="85" w:type="dxa"/>
              <w:bottom w:w="65" w:type="dxa"/>
              <w:end w:w="85" w:type="dxa"/>
            </w:tcMar>
            <w:vAlign w:val="top"/>
          </w:tcPr>
          <w:p>
            <w:r>
              <w:rPr>
                <w:sz w:val="14"/>
              </w:rPr>
              <w:t>Cloud Storage</w:t>
            </w:r>
          </w:p>
        </w:tc>
        <w:tc>
          <w:tcPr>
            <w:tcW w:type="dxa" w:w="4824"/>
            <w:tcMar>
              <w:top w:w="65" w:type="dxa"/>
              <w:start w:w="85" w:type="dxa"/>
              <w:bottom w:w="65" w:type="dxa"/>
              <w:end w:w="85" w:type="dxa"/>
            </w:tcMar>
            <w:vAlign w:val="top"/>
          </w:tcPr>
          <w:p>
            <w:r>
              <w:rPr>
                <w:sz w:val="14"/>
              </w:rPr>
              <w:t>Store objects, archives and analytical datasets.</w:t>
            </w:r>
          </w:p>
        </w:tc>
      </w:tr>
      <w:tr>
        <w:trPr>
          <w:cantSplit/>
        </w:trPr>
        <w:tc>
          <w:tcPr>
            <w:tcW w:type="dxa" w:w="2232"/>
            <w:tcMar>
              <w:top w:w="65" w:type="dxa"/>
              <w:start w:w="85" w:type="dxa"/>
              <w:bottom w:w="65" w:type="dxa"/>
              <w:end w:w="85" w:type="dxa"/>
            </w:tcMar>
            <w:vAlign w:val="top"/>
          </w:tcPr>
          <w:p>
            <w:r>
              <w:rPr>
                <w:sz w:val="14"/>
              </w:rPr>
              <w:t>Block</w:t>
            </w:r>
          </w:p>
        </w:tc>
        <w:tc>
          <w:tcPr>
            <w:tcW w:type="dxa" w:w="2952"/>
            <w:tcMar>
              <w:top w:w="65" w:type="dxa"/>
              <w:start w:w="85" w:type="dxa"/>
              <w:bottom w:w="65" w:type="dxa"/>
              <w:end w:w="85" w:type="dxa"/>
            </w:tcMar>
            <w:vAlign w:val="top"/>
          </w:tcPr>
          <w:p>
            <w:r>
              <w:rPr>
                <w:sz w:val="14"/>
              </w:rPr>
              <w:t>Persistent Disk / Hyperdisk</w:t>
            </w:r>
          </w:p>
        </w:tc>
        <w:tc>
          <w:tcPr>
            <w:tcW w:type="dxa" w:w="4824"/>
            <w:tcMar>
              <w:top w:w="65" w:type="dxa"/>
              <w:start w:w="85" w:type="dxa"/>
              <w:bottom w:w="65" w:type="dxa"/>
              <w:end w:w="85" w:type="dxa"/>
            </w:tcMar>
            <w:vAlign w:val="top"/>
          </w:tcPr>
          <w:p>
            <w:r>
              <w:rPr>
                <w:sz w:val="14"/>
              </w:rPr>
              <w:t>Provide durable block storage for Compute Engine.</w:t>
            </w:r>
          </w:p>
        </w:tc>
      </w:tr>
      <w:tr>
        <w:trPr>
          <w:cantSplit/>
        </w:trPr>
        <w:tc>
          <w:tcPr>
            <w:tcW w:type="dxa" w:w="2232"/>
            <w:tcMar>
              <w:top w:w="65" w:type="dxa"/>
              <w:start w:w="85" w:type="dxa"/>
              <w:bottom w:w="65" w:type="dxa"/>
              <w:end w:w="85" w:type="dxa"/>
            </w:tcMar>
            <w:vAlign w:val="top"/>
          </w:tcPr>
          <w:p>
            <w:r>
              <w:rPr>
                <w:sz w:val="14"/>
              </w:rPr>
              <w:t>File</w:t>
            </w:r>
          </w:p>
        </w:tc>
        <w:tc>
          <w:tcPr>
            <w:tcW w:type="dxa" w:w="2952"/>
            <w:tcMar>
              <w:top w:w="65" w:type="dxa"/>
              <w:start w:w="85" w:type="dxa"/>
              <w:bottom w:w="65" w:type="dxa"/>
              <w:end w:w="85" w:type="dxa"/>
            </w:tcMar>
            <w:vAlign w:val="top"/>
          </w:tcPr>
          <w:p>
            <w:r>
              <w:rPr>
                <w:sz w:val="14"/>
              </w:rPr>
              <w:t>Filestore</w:t>
            </w:r>
          </w:p>
        </w:tc>
        <w:tc>
          <w:tcPr>
            <w:tcW w:type="dxa" w:w="4824"/>
            <w:tcMar>
              <w:top w:w="65" w:type="dxa"/>
              <w:start w:w="85" w:type="dxa"/>
              <w:bottom w:w="65" w:type="dxa"/>
              <w:end w:w="85" w:type="dxa"/>
            </w:tcMar>
            <w:vAlign w:val="top"/>
          </w:tcPr>
          <w:p>
            <w:r>
              <w:rPr>
                <w:sz w:val="14"/>
              </w:rPr>
              <w:t>Deliver managed NFS file services.</w:t>
            </w:r>
          </w:p>
        </w:tc>
      </w:tr>
      <w:tr>
        <w:trPr>
          <w:cantSplit/>
        </w:trPr>
        <w:tc>
          <w:tcPr>
            <w:tcW w:type="dxa" w:w="2232"/>
            <w:tcMar>
              <w:top w:w="65" w:type="dxa"/>
              <w:start w:w="85" w:type="dxa"/>
              <w:bottom w:w="65" w:type="dxa"/>
              <w:end w:w="85" w:type="dxa"/>
            </w:tcMar>
            <w:vAlign w:val="top"/>
          </w:tcPr>
          <w:p>
            <w:r>
              <w:rPr>
                <w:sz w:val="14"/>
              </w:rPr>
              <w:t>Relational</w:t>
            </w:r>
          </w:p>
        </w:tc>
        <w:tc>
          <w:tcPr>
            <w:tcW w:type="dxa" w:w="2952"/>
            <w:tcMar>
              <w:top w:w="65" w:type="dxa"/>
              <w:start w:w="85" w:type="dxa"/>
              <w:bottom w:w="65" w:type="dxa"/>
              <w:end w:w="85" w:type="dxa"/>
            </w:tcMar>
            <w:vAlign w:val="top"/>
          </w:tcPr>
          <w:p>
            <w:r>
              <w:rPr>
                <w:sz w:val="14"/>
              </w:rPr>
              <w:t>Cloud SQL / AlloyDB</w:t>
            </w:r>
          </w:p>
        </w:tc>
        <w:tc>
          <w:tcPr>
            <w:tcW w:type="dxa" w:w="4824"/>
            <w:tcMar>
              <w:top w:w="65" w:type="dxa"/>
              <w:start w:w="85" w:type="dxa"/>
              <w:bottom w:w="65" w:type="dxa"/>
              <w:end w:w="85" w:type="dxa"/>
            </w:tcMar>
            <w:vAlign w:val="top"/>
          </w:tcPr>
          <w:p>
            <w:r>
              <w:rPr>
                <w:sz w:val="14"/>
              </w:rPr>
              <w:t>Run managed relational databases.</w:t>
            </w:r>
          </w:p>
        </w:tc>
      </w:tr>
      <w:tr>
        <w:trPr>
          <w:cantSplit/>
        </w:trPr>
        <w:tc>
          <w:tcPr>
            <w:tcW w:type="dxa" w:w="2232"/>
            <w:tcMar>
              <w:top w:w="65" w:type="dxa"/>
              <w:start w:w="85" w:type="dxa"/>
              <w:bottom w:w="65" w:type="dxa"/>
              <w:end w:w="85" w:type="dxa"/>
            </w:tcMar>
            <w:vAlign w:val="top"/>
          </w:tcPr>
          <w:p>
            <w:r>
              <w:rPr>
                <w:sz w:val="14"/>
              </w:rPr>
              <w:t>Global relational</w:t>
            </w:r>
          </w:p>
        </w:tc>
        <w:tc>
          <w:tcPr>
            <w:tcW w:type="dxa" w:w="2952"/>
            <w:tcMar>
              <w:top w:w="65" w:type="dxa"/>
              <w:start w:w="85" w:type="dxa"/>
              <w:bottom w:w="65" w:type="dxa"/>
              <w:end w:w="85" w:type="dxa"/>
            </w:tcMar>
            <w:vAlign w:val="top"/>
          </w:tcPr>
          <w:p>
            <w:r>
              <w:rPr>
                <w:sz w:val="14"/>
              </w:rPr>
              <w:t>Spanner</w:t>
            </w:r>
          </w:p>
        </w:tc>
        <w:tc>
          <w:tcPr>
            <w:tcW w:type="dxa" w:w="4824"/>
            <w:tcMar>
              <w:top w:w="65" w:type="dxa"/>
              <w:start w:w="85" w:type="dxa"/>
              <w:bottom w:w="65" w:type="dxa"/>
              <w:end w:w="85" w:type="dxa"/>
            </w:tcMar>
            <w:vAlign w:val="top"/>
          </w:tcPr>
          <w:p>
            <w:r>
              <w:rPr>
                <w:sz w:val="14"/>
              </w:rPr>
              <w:t>Provide horizontally scalable relational consistency.</w:t>
            </w:r>
          </w:p>
        </w:tc>
      </w:tr>
      <w:tr>
        <w:trPr>
          <w:cantSplit/>
        </w:trPr>
        <w:tc>
          <w:tcPr>
            <w:tcW w:type="dxa" w:w="2232"/>
            <w:tcMar>
              <w:top w:w="65" w:type="dxa"/>
              <w:start w:w="85" w:type="dxa"/>
              <w:bottom w:w="65" w:type="dxa"/>
              <w:end w:w="85" w:type="dxa"/>
            </w:tcMar>
            <w:vAlign w:val="top"/>
          </w:tcPr>
          <w:p>
            <w:r>
              <w:rPr>
                <w:sz w:val="14"/>
              </w:rPr>
              <w:t>NoSQL</w:t>
            </w:r>
          </w:p>
        </w:tc>
        <w:tc>
          <w:tcPr>
            <w:tcW w:type="dxa" w:w="2952"/>
            <w:tcMar>
              <w:top w:w="65" w:type="dxa"/>
              <w:start w:w="85" w:type="dxa"/>
              <w:bottom w:w="65" w:type="dxa"/>
              <w:end w:w="85" w:type="dxa"/>
            </w:tcMar>
            <w:vAlign w:val="top"/>
          </w:tcPr>
          <w:p>
            <w:r>
              <w:rPr>
                <w:sz w:val="14"/>
              </w:rPr>
              <w:t>Bigtable / Firestore</w:t>
            </w:r>
          </w:p>
        </w:tc>
        <w:tc>
          <w:tcPr>
            <w:tcW w:type="dxa" w:w="4824"/>
            <w:tcMar>
              <w:top w:w="65" w:type="dxa"/>
              <w:start w:w="85" w:type="dxa"/>
              <w:bottom w:w="65" w:type="dxa"/>
              <w:end w:w="85" w:type="dxa"/>
            </w:tcMar>
            <w:vAlign w:val="top"/>
          </w:tcPr>
          <w:p>
            <w:r>
              <w:rPr>
                <w:sz w:val="14"/>
              </w:rPr>
              <w:t>Support wide-column or document access patterns.</w:t>
            </w:r>
          </w:p>
        </w:tc>
      </w:tr>
    </w:tbl>
    <w:p>
      <w:pPr>
        <w:pStyle w:val="Heading2"/>
        <w:keepNext/>
      </w:pPr>
      <w:r>
        <w:t>Architecture and Operating Decisions</w:t>
      </w:r>
    </w:p>
    <w:p>
      <w:pPr>
        <w:pStyle w:val="ListBullet"/>
      </w:pPr>
      <w:r>
        <w:t>Use Google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cloud sql, spanner, bigtable and firestore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data_policy:</w:t>
              <w:br/>
              <w:t xml:space="preserve">  classification: confidential</w:t>
              <w:br/>
              <w:t xml:space="preserve">  locations: approved_regions_or_multi_regions</w:t>
              <w:br/>
              <w:t xml:space="preserve">  public_access_prevention: enforced</w:t>
              <w:br/>
              <w:t xml:space="preserve">  encryption: default_or_cmek_by_risk</w:t>
              <w:br/>
              <w:t xml:space="preserve">  backups: scheduled_and_protected</w:t>
              <w:br/>
              <w:t xml:space="preserve">  restore_test: quarterly</w:t>
              <w:br/>
              <w:t xml:space="preserve">  export_and_exit: documented</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google cloud storage, databases and data protection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35: Design and Test Google Cloud Data Recovery</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google cloud storage, databases and data protection using fictional enterprise requirements.</w:t>
      </w:r>
    </w:p>
    <w:p>
      <w:pPr>
        <w:ind w:left="360" w:hanging="360"/>
      </w:pPr>
      <w:r>
        <w:rPr>
          <w:b/>
        </w:rPr>
        <w:t xml:space="preserve">2. </w:t>
      </w:r>
      <w:r>
        <w:t>Implement the smallest safe sandbox using Cloud Storage, Persistent Disk / Hyperdisk, Filestore;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Google Cloud Storage, Databases and Data Protection?</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Google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Cloud Storage lifecycle and redundancy defines a key architecture boundary.</w:t>
      </w:r>
    </w:p>
    <w:p>
      <w:pPr>
        <w:pStyle w:val="ListBullet"/>
      </w:pPr>
      <w:r>
        <w:t>Persistent Disk and Filestore must be automated and least-privileged.</w:t>
      </w:r>
    </w:p>
    <w:p>
      <w:pPr>
        <w:pStyle w:val="ListBullet"/>
      </w:pPr>
      <w:r>
        <w:t>Cloud SQL, Spanner, Bigtable and Firestore requires policy, telemetry and recovery evidence.</w:t>
      </w:r>
    </w:p>
    <w:p>
      <w:pPr>
        <w:pStyle w:val="ListBullet"/>
      </w:pPr>
      <w:r>
        <w:t>Backup, replication and recovery validation should be tested before production and after material change.</w:t>
      </w:r>
    </w:p>
    <w:p>
      <w:r>
        <w:br w:type="page"/>
      </w:r>
    </w:p>
    <w:p>
      <w:pPr>
        <w:jc w:val="center"/>
      </w:pPr>
      <w:r>
        <w:rPr>
          <w:b/>
          <w:color w:val="14919B"/>
          <w:sz w:val="17"/>
        </w:rPr>
        <w:t>VOLUME 12D  |  CHAPTER 36</w:t>
      </w:r>
    </w:p>
    <w:p>
      <w:pPr>
        <w:pStyle w:val="Heading1"/>
        <w:jc w:val="center"/>
      </w:pPr>
      <w:r>
        <w:t>Chapter 36: Google Cloud Security Command Center and Data Perimeters</w:t>
      </w:r>
    </w:p>
    <w:p>
      <w:pPr>
        <w:jc w:val="center"/>
      </w:pPr>
      <w:r>
        <w:rPr>
          <w:i/>
          <w:color w:val="4B5563"/>
          <w:sz w:val="20"/>
        </w:rPr>
        <w:t>Combining posture, threat detection, encryption and exfiltration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Google Cloud security requires organization-level visibility and workload-level enforcement. VPC Service Controls, IAM, keys and network controls must be tested together to avoid both gaps and operational lockout.</w:t>
            </w:r>
          </w:p>
        </w:tc>
      </w:tr>
    </w:tbl>
    <w:p>
      <w:pPr>
        <w:spacing w:after="0"/>
      </w:pPr>
    </w:p>
    <w:p>
      <w:pPr>
        <w:pStyle w:val="Heading2"/>
        <w:keepNext/>
      </w:pPr>
      <w:r>
        <w:t>Learning Objectives</w:t>
      </w:r>
    </w:p>
    <w:p>
      <w:pPr>
        <w:pStyle w:val="ListBullet"/>
      </w:pPr>
      <w:r>
        <w:t>Explain the architecture, responsibility boundaries and major trade-offs of security command center posture and findings.</w:t>
      </w:r>
    </w:p>
    <w:p>
      <w:pPr>
        <w:pStyle w:val="ListBullet"/>
      </w:pPr>
      <w:r>
        <w:t>Design cloud kms, secret manager and key governance for enterprise scale, least privilege and bounded failure.</w:t>
      </w:r>
    </w:p>
    <w:p>
      <w:pPr>
        <w:pStyle w:val="ListBullet"/>
      </w:pPr>
      <w:r>
        <w:t>Implement vpc service controls and sensitive-data perimeters through version-controlled automation and policy checks.</w:t>
      </w:r>
    </w:p>
    <w:p>
      <w:pPr>
        <w:pStyle w:val="ListBullet"/>
      </w:pPr>
      <w:r>
        <w:t>Troubleshoot cloud armor, ids and centralized response using provider-native telemetry and repeatable evidence.</w:t>
      </w:r>
    </w:p>
    <w:p>
      <w:pPr>
        <w:pStyle w:val="ListBullet"/>
      </w:pPr>
      <w:r>
        <w:t>Deliver a sanitized portfolio artifact for build a google cloud security baseline and data perimeter test.</w:t>
      </w:r>
    </w:p>
    <w:p>
      <w:pPr>
        <w:pStyle w:val="Heading2"/>
        <w:keepNext/>
      </w:pPr>
      <w:r>
        <w:t>Core Concepts</w:t>
      </w:r>
    </w:p>
    <w:p>
      <w:pPr>
        <w:pStyle w:val="Heading3"/>
        <w:keepNext/>
      </w:pPr>
      <w:r>
        <w:t>Security Command Center posture and findings</w:t>
      </w:r>
    </w:p>
    <w:p>
      <w:pPr>
        <w:keepNext w:val="0"/>
      </w:pPr>
      <w:r>
        <w:t>Security Command Center posture and findings is a design boundary, not merely a console feature. In Google Cloud Security Command Center and Data Perimeters, the team must document ownership, trust assumptions, dependency direction, failure impact and the evidence used to prove the control. The recommended implementation uses Security Command Center, Cloud KMS / Cloud HSM, Secret Manager, VPC Service Controls only where they satisfy an explicit requirement; equivalent services are not automatically interchangeable.</w:t>
      </w:r>
    </w:p>
    <w:p>
      <w:pPr>
        <w:pStyle w:val="Heading3"/>
        <w:keepNext/>
      </w:pPr>
      <w:r>
        <w:t>Cloud KMS, Secret Manager and key governance</w:t>
      </w:r>
    </w:p>
    <w:p>
      <w:pPr>
        <w:keepNext w:val="0"/>
      </w:pPr>
      <w:r>
        <w:t>A production implementation of Cloud KMS, Secret Manager and key governance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VPC Service Controls and sensitive-data perimeters</w:t>
      </w:r>
    </w:p>
    <w:p>
      <w:pPr>
        <w:keepNext w:val="0"/>
      </w:pPr>
      <w:r>
        <w:t>For VPC Service Controls and sensitive-data perimeters,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Cloud Armor, IDS and centralized response</w:t>
      </w:r>
    </w:p>
    <w:p>
      <w:pPr>
        <w:keepNext w:val="0"/>
      </w:pPr>
      <w:r>
        <w:t>The strongest validation for Cloud Armor, IDS and centralized response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Posture and threats</w:t>
            </w:r>
          </w:p>
        </w:tc>
        <w:tc>
          <w:tcPr>
            <w:tcW w:type="dxa" w:w="2952"/>
            <w:tcMar>
              <w:top w:w="65" w:type="dxa"/>
              <w:start w:w="85" w:type="dxa"/>
              <w:bottom w:w="65" w:type="dxa"/>
              <w:end w:w="85" w:type="dxa"/>
            </w:tcMar>
            <w:vAlign w:val="top"/>
          </w:tcPr>
          <w:p>
            <w:r>
              <w:rPr>
                <w:sz w:val="14"/>
              </w:rPr>
              <w:t>Security Command Center</w:t>
            </w:r>
          </w:p>
        </w:tc>
        <w:tc>
          <w:tcPr>
            <w:tcW w:type="dxa" w:w="4824"/>
            <w:tcMar>
              <w:top w:w="65" w:type="dxa"/>
              <w:start w:w="85" w:type="dxa"/>
              <w:bottom w:w="65" w:type="dxa"/>
              <w:end w:w="85" w:type="dxa"/>
            </w:tcMar>
            <w:vAlign w:val="top"/>
          </w:tcPr>
          <w:p>
            <w:r>
              <w:rPr>
                <w:sz w:val="14"/>
              </w:rPr>
              <w:t>Aggregate misconfiguration, exposure and threat findings.</w:t>
            </w:r>
          </w:p>
        </w:tc>
      </w:tr>
      <w:tr>
        <w:trPr>
          <w:cantSplit/>
        </w:trPr>
        <w:tc>
          <w:tcPr>
            <w:tcW w:type="dxa" w:w="2232"/>
            <w:tcMar>
              <w:top w:w="65" w:type="dxa"/>
              <w:start w:w="85" w:type="dxa"/>
              <w:bottom w:w="65" w:type="dxa"/>
              <w:end w:w="85" w:type="dxa"/>
            </w:tcMar>
            <w:vAlign w:val="top"/>
          </w:tcPr>
          <w:p>
            <w:r>
              <w:rPr>
                <w:sz w:val="14"/>
              </w:rPr>
              <w:t>Keys</w:t>
            </w:r>
          </w:p>
        </w:tc>
        <w:tc>
          <w:tcPr>
            <w:tcW w:type="dxa" w:w="2952"/>
            <w:tcMar>
              <w:top w:w="65" w:type="dxa"/>
              <w:start w:w="85" w:type="dxa"/>
              <w:bottom w:w="65" w:type="dxa"/>
              <w:end w:w="85" w:type="dxa"/>
            </w:tcMar>
            <w:vAlign w:val="top"/>
          </w:tcPr>
          <w:p>
            <w:r>
              <w:rPr>
                <w:sz w:val="14"/>
              </w:rPr>
              <w:t>Cloud KMS / Cloud HSM</w:t>
            </w:r>
          </w:p>
        </w:tc>
        <w:tc>
          <w:tcPr>
            <w:tcW w:type="dxa" w:w="4824"/>
            <w:tcMar>
              <w:top w:w="65" w:type="dxa"/>
              <w:start w:w="85" w:type="dxa"/>
              <w:bottom w:w="65" w:type="dxa"/>
              <w:end w:w="85" w:type="dxa"/>
            </w:tcMar>
            <w:vAlign w:val="top"/>
          </w:tcPr>
          <w:p>
            <w:r>
              <w:rPr>
                <w:sz w:val="14"/>
              </w:rPr>
              <w:t>Control encryption keys and cryptographic operations.</w:t>
            </w:r>
          </w:p>
        </w:tc>
      </w:tr>
      <w:tr>
        <w:trPr>
          <w:cantSplit/>
        </w:trPr>
        <w:tc>
          <w:tcPr>
            <w:tcW w:type="dxa" w:w="2232"/>
            <w:tcMar>
              <w:top w:w="65" w:type="dxa"/>
              <w:start w:w="85" w:type="dxa"/>
              <w:bottom w:w="65" w:type="dxa"/>
              <w:end w:w="85" w:type="dxa"/>
            </w:tcMar>
            <w:vAlign w:val="top"/>
          </w:tcPr>
          <w:p>
            <w:r>
              <w:rPr>
                <w:sz w:val="14"/>
              </w:rPr>
              <w:t>Secrets</w:t>
            </w:r>
          </w:p>
        </w:tc>
        <w:tc>
          <w:tcPr>
            <w:tcW w:type="dxa" w:w="2952"/>
            <w:tcMar>
              <w:top w:w="65" w:type="dxa"/>
              <w:start w:w="85" w:type="dxa"/>
              <w:bottom w:w="65" w:type="dxa"/>
              <w:end w:w="85" w:type="dxa"/>
            </w:tcMar>
            <w:vAlign w:val="top"/>
          </w:tcPr>
          <w:p>
            <w:r>
              <w:rPr>
                <w:sz w:val="14"/>
              </w:rPr>
              <w:t>Secret Manager</w:t>
            </w:r>
          </w:p>
        </w:tc>
        <w:tc>
          <w:tcPr>
            <w:tcW w:type="dxa" w:w="4824"/>
            <w:tcMar>
              <w:top w:w="65" w:type="dxa"/>
              <w:start w:w="85" w:type="dxa"/>
              <w:bottom w:w="65" w:type="dxa"/>
              <w:end w:w="85" w:type="dxa"/>
            </w:tcMar>
            <w:vAlign w:val="top"/>
          </w:tcPr>
          <w:p>
            <w:r>
              <w:rPr>
                <w:sz w:val="14"/>
              </w:rPr>
              <w:t>Store and access secrets through IAM.</w:t>
            </w:r>
          </w:p>
        </w:tc>
      </w:tr>
      <w:tr>
        <w:trPr>
          <w:cantSplit/>
        </w:trPr>
        <w:tc>
          <w:tcPr>
            <w:tcW w:type="dxa" w:w="2232"/>
            <w:tcMar>
              <w:top w:w="65" w:type="dxa"/>
              <w:start w:w="85" w:type="dxa"/>
              <w:bottom w:w="65" w:type="dxa"/>
              <w:end w:w="85" w:type="dxa"/>
            </w:tcMar>
            <w:vAlign w:val="top"/>
          </w:tcPr>
          <w:p>
            <w:r>
              <w:rPr>
                <w:sz w:val="14"/>
              </w:rPr>
              <w:t>Data perimeter</w:t>
            </w:r>
          </w:p>
        </w:tc>
        <w:tc>
          <w:tcPr>
            <w:tcW w:type="dxa" w:w="2952"/>
            <w:tcMar>
              <w:top w:w="65" w:type="dxa"/>
              <w:start w:w="85" w:type="dxa"/>
              <w:bottom w:w="65" w:type="dxa"/>
              <w:end w:w="85" w:type="dxa"/>
            </w:tcMar>
            <w:vAlign w:val="top"/>
          </w:tcPr>
          <w:p>
            <w:r>
              <w:rPr>
                <w:sz w:val="14"/>
              </w:rPr>
              <w:t>VPC Service Controls</w:t>
            </w:r>
          </w:p>
        </w:tc>
        <w:tc>
          <w:tcPr>
            <w:tcW w:type="dxa" w:w="4824"/>
            <w:tcMar>
              <w:top w:w="65" w:type="dxa"/>
              <w:start w:w="85" w:type="dxa"/>
              <w:bottom w:w="65" w:type="dxa"/>
              <w:end w:w="85" w:type="dxa"/>
            </w:tcMar>
            <w:vAlign w:val="top"/>
          </w:tcPr>
          <w:p>
            <w:r>
              <w:rPr>
                <w:sz w:val="14"/>
              </w:rPr>
              <w:t>Reduce data exfiltration risk for supported services.</w:t>
            </w:r>
          </w:p>
        </w:tc>
      </w:tr>
      <w:tr>
        <w:trPr>
          <w:cantSplit/>
        </w:trPr>
        <w:tc>
          <w:tcPr>
            <w:tcW w:type="dxa" w:w="2232"/>
            <w:tcMar>
              <w:top w:w="65" w:type="dxa"/>
              <w:start w:w="85" w:type="dxa"/>
              <w:bottom w:w="65" w:type="dxa"/>
              <w:end w:w="85" w:type="dxa"/>
            </w:tcMar>
            <w:vAlign w:val="top"/>
          </w:tcPr>
          <w:p>
            <w:r>
              <w:rPr>
                <w:sz w:val="14"/>
              </w:rPr>
              <w:t>Edge</w:t>
            </w:r>
          </w:p>
        </w:tc>
        <w:tc>
          <w:tcPr>
            <w:tcW w:type="dxa" w:w="2952"/>
            <w:tcMar>
              <w:top w:w="65" w:type="dxa"/>
              <w:start w:w="85" w:type="dxa"/>
              <w:bottom w:w="65" w:type="dxa"/>
              <w:end w:w="85" w:type="dxa"/>
            </w:tcMar>
            <w:vAlign w:val="top"/>
          </w:tcPr>
          <w:p>
            <w:r>
              <w:rPr>
                <w:sz w:val="14"/>
              </w:rPr>
              <w:t>Cloud Armor</w:t>
            </w:r>
          </w:p>
        </w:tc>
        <w:tc>
          <w:tcPr>
            <w:tcW w:type="dxa" w:w="4824"/>
            <w:tcMar>
              <w:top w:w="65" w:type="dxa"/>
              <w:start w:w="85" w:type="dxa"/>
              <w:bottom w:w="65" w:type="dxa"/>
              <w:end w:w="85" w:type="dxa"/>
            </w:tcMar>
            <w:vAlign w:val="top"/>
          </w:tcPr>
          <w:p>
            <w:r>
              <w:rPr>
                <w:sz w:val="14"/>
              </w:rPr>
              <w:t>Protect internet-facing applications and APIs.</w:t>
            </w:r>
          </w:p>
        </w:tc>
      </w:tr>
      <w:tr>
        <w:trPr>
          <w:cantSplit/>
        </w:trPr>
        <w:tc>
          <w:tcPr>
            <w:tcW w:type="dxa" w:w="2232"/>
            <w:tcMar>
              <w:top w:w="65" w:type="dxa"/>
              <w:start w:w="85" w:type="dxa"/>
              <w:bottom w:w="65" w:type="dxa"/>
              <w:end w:w="85" w:type="dxa"/>
            </w:tcMar>
            <w:vAlign w:val="top"/>
          </w:tcPr>
          <w:p>
            <w:r>
              <w:rPr>
                <w:sz w:val="14"/>
              </w:rPr>
              <w:t>Network detection</w:t>
            </w:r>
          </w:p>
        </w:tc>
        <w:tc>
          <w:tcPr>
            <w:tcW w:type="dxa" w:w="2952"/>
            <w:tcMar>
              <w:top w:w="65" w:type="dxa"/>
              <w:start w:w="85" w:type="dxa"/>
              <w:bottom w:w="65" w:type="dxa"/>
              <w:end w:w="85" w:type="dxa"/>
            </w:tcMar>
            <w:vAlign w:val="top"/>
          </w:tcPr>
          <w:p>
            <w:r>
              <w:rPr>
                <w:sz w:val="14"/>
              </w:rPr>
              <w:t>Cloud IDS</w:t>
            </w:r>
          </w:p>
        </w:tc>
        <w:tc>
          <w:tcPr>
            <w:tcW w:type="dxa" w:w="4824"/>
            <w:tcMar>
              <w:top w:w="65" w:type="dxa"/>
              <w:start w:w="85" w:type="dxa"/>
              <w:bottom w:w="65" w:type="dxa"/>
              <w:end w:w="85" w:type="dxa"/>
            </w:tcMar>
            <w:vAlign w:val="top"/>
          </w:tcPr>
          <w:p>
            <w:r>
              <w:rPr>
                <w:sz w:val="14"/>
              </w:rPr>
              <w:t>Detect suspicious network activity.</w:t>
            </w:r>
          </w:p>
        </w:tc>
      </w:tr>
    </w:tbl>
    <w:p>
      <w:pPr>
        <w:pStyle w:val="Heading2"/>
        <w:keepNext/>
      </w:pPr>
      <w:r>
        <w:t>Architecture and Operating Decisions</w:t>
      </w:r>
    </w:p>
    <w:p>
      <w:pPr>
        <w:pStyle w:val="ListBullet"/>
      </w:pPr>
      <w:r>
        <w:t>Use Google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vpc service controls and sensitive-data perimeters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security_baseline:</w:t>
              <w:br/>
              <w:t xml:space="preserve">  scc: organization_level_activation</w:t>
              <w:br/>
              <w:t xml:space="preserve">  audit_logs: central_aggregated_sink</w:t>
              <w:br/>
              <w:t xml:space="preserve">  service_account_keys: disabled</w:t>
              <w:br/>
              <w:t xml:space="preserve">  vpc_sc: applied_to_high_value_data_services</w:t>
              <w:br/>
              <w:t xml:space="preserve">  kms: separation_of_key_admin_and_user</w:t>
              <w:br/>
              <w:t xml:space="preserve">  response: finding_to_case_to_containment</w:t>
              <w:br/>
              <w:t>validation: [denied_exfiltration, audit_event, finding_routing, key_access_test]</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google cloud security command center and data perimeters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36: Build a Google Cloud Security Baseline and Data Perimeter Test</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google cloud security command center and data perimeters using fictional enterprise requirements.</w:t>
      </w:r>
    </w:p>
    <w:p>
      <w:pPr>
        <w:ind w:left="360" w:hanging="360"/>
      </w:pPr>
      <w:r>
        <w:rPr>
          <w:b/>
        </w:rPr>
        <w:t xml:space="preserve">2. </w:t>
      </w:r>
      <w:r>
        <w:t>Implement the smallest safe sandbox using Security Command Center, Cloud KMS / Cloud HSM, Secret Manager;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Google Cloud Security Command Center and Data Perimeters?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Google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Security Command Center posture and findings defines a key architecture boundary.</w:t>
      </w:r>
    </w:p>
    <w:p>
      <w:pPr>
        <w:pStyle w:val="ListBullet"/>
      </w:pPr>
      <w:r>
        <w:t>Cloud KMS, Secret Manager and key governance must be automated and least-privileged.</w:t>
      </w:r>
    </w:p>
    <w:p>
      <w:pPr>
        <w:pStyle w:val="ListBullet"/>
      </w:pPr>
      <w:r>
        <w:t>VPC Service Controls and sensitive-data perimeters requires policy, telemetry and recovery evidence.</w:t>
      </w:r>
    </w:p>
    <w:p>
      <w:pPr>
        <w:pStyle w:val="ListBullet"/>
      </w:pPr>
      <w:r>
        <w:t>Cloud Armor, IDS and centralized response should be tested before production and after material change.</w:t>
      </w:r>
    </w:p>
    <w:p>
      <w:r>
        <w:br w:type="page"/>
      </w:r>
    </w:p>
    <w:p>
      <w:pPr>
        <w:jc w:val="center"/>
      </w:pPr>
      <w:r>
        <w:rPr>
          <w:b/>
          <w:color w:val="14919B"/>
          <w:sz w:val="17"/>
        </w:rPr>
        <w:t>VOLUME 12D  |  CHAPTER 37</w:t>
      </w:r>
    </w:p>
    <w:p>
      <w:pPr>
        <w:pStyle w:val="Heading1"/>
        <w:jc w:val="center"/>
      </w:pPr>
      <w:r>
        <w:t>Chapter 37: Google Cloud Reliability, Global Load Balancing and Disaster Recovery</w:t>
      </w:r>
    </w:p>
    <w:p>
      <w:pPr>
        <w:jc w:val="center"/>
      </w:pPr>
      <w:r>
        <w:rPr>
          <w:i/>
          <w:color w:val="4B5563"/>
          <w:sz w:val="20"/>
        </w:rPr>
        <w:t>Designing zonal, regional and multi-region recovery</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Google Cloud global infrastructure provides powerful routing options, but application state and dependencies still determine recoverability. Failover must be rehearsed and reversible.</w:t>
            </w:r>
          </w:p>
        </w:tc>
      </w:tr>
    </w:tbl>
    <w:p>
      <w:pPr>
        <w:spacing w:after="0"/>
      </w:pPr>
    </w:p>
    <w:p>
      <w:pPr>
        <w:pStyle w:val="Heading2"/>
        <w:keepNext/>
      </w:pPr>
      <w:r>
        <w:t>Learning Objectives</w:t>
      </w:r>
    </w:p>
    <w:p>
      <w:pPr>
        <w:pStyle w:val="ListBullet"/>
      </w:pPr>
      <w:r>
        <w:t>Explain the architecture, responsibility boundaries and major trade-offs of zonal and regional workload resilience.</w:t>
      </w:r>
    </w:p>
    <w:p>
      <w:pPr>
        <w:pStyle w:val="ListBullet"/>
      </w:pPr>
      <w:r>
        <w:t>Design global load balancing and health checks for enterprise scale, least privilege and bounded failure.</w:t>
      </w:r>
    </w:p>
    <w:p>
      <w:pPr>
        <w:pStyle w:val="ListBullet"/>
      </w:pPr>
      <w:r>
        <w:t>Implement cross-region data and backup patterns through version-controlled automation and policy checks.</w:t>
      </w:r>
    </w:p>
    <w:p>
      <w:pPr>
        <w:pStyle w:val="ListBullet"/>
      </w:pPr>
      <w:r>
        <w:t>Troubleshoot recovery orchestration and failback using provider-native telemetry and repeatable evidence.</w:t>
      </w:r>
    </w:p>
    <w:p>
      <w:pPr>
        <w:pStyle w:val="ListBullet"/>
      </w:pPr>
      <w:r>
        <w:t>Deliver a sanitized portfolio artifact for run a google cloud regional recovery exercise.</w:t>
      </w:r>
    </w:p>
    <w:p>
      <w:pPr>
        <w:pStyle w:val="Heading2"/>
        <w:keepNext/>
      </w:pPr>
      <w:r>
        <w:t>Core Concepts</w:t>
      </w:r>
    </w:p>
    <w:p>
      <w:pPr>
        <w:pStyle w:val="Heading3"/>
        <w:keepNext/>
      </w:pPr>
      <w:r>
        <w:t>Zonal and regional workload resilience</w:t>
      </w:r>
    </w:p>
    <w:p>
      <w:pPr>
        <w:keepNext w:val="0"/>
      </w:pPr>
      <w:r>
        <w:t>Zonal and regional workload resilience is a design boundary, not merely a console feature. In Google Cloud Reliability, Global Load Balancing and Disaster Recovery, the team must document ownership, trust assumptions, dependency direction, failure impact and the evidence used to prove the control. The recommended implementation uses Regional managed instance groups / GKE regional clusters, Cloud Load Balancing, Cloud DNS routing policies, Spanner / cross-region replicas / database replicas only where they satisfy an explicit requirement; equivalent services are not automatically interchangeable.</w:t>
      </w:r>
    </w:p>
    <w:p>
      <w:pPr>
        <w:pStyle w:val="Heading3"/>
        <w:keepNext/>
      </w:pPr>
      <w:r>
        <w:t>Global load balancing and health checks</w:t>
      </w:r>
    </w:p>
    <w:p>
      <w:pPr>
        <w:keepNext w:val="0"/>
      </w:pPr>
      <w:r>
        <w:t>A production implementation of Global load balancing and health checks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Cross-region data and backup patterns</w:t>
      </w:r>
    </w:p>
    <w:p>
      <w:pPr>
        <w:keepNext w:val="0"/>
      </w:pPr>
      <w:r>
        <w:t>For Cross-region data and backup patterns,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Recovery orchestration and failback</w:t>
      </w:r>
    </w:p>
    <w:p>
      <w:pPr>
        <w:keepNext w:val="0"/>
      </w:pPr>
      <w:r>
        <w:t>The strongest validation for Recovery orchestration and failback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Compute resilience</w:t>
            </w:r>
          </w:p>
        </w:tc>
        <w:tc>
          <w:tcPr>
            <w:tcW w:type="dxa" w:w="2952"/>
            <w:tcMar>
              <w:top w:w="65" w:type="dxa"/>
              <w:start w:w="85" w:type="dxa"/>
              <w:bottom w:w="65" w:type="dxa"/>
              <w:end w:w="85" w:type="dxa"/>
            </w:tcMar>
            <w:vAlign w:val="top"/>
          </w:tcPr>
          <w:p>
            <w:r>
              <w:rPr>
                <w:sz w:val="14"/>
              </w:rPr>
              <w:t>Regional managed instance groups / GKE regional clusters</w:t>
            </w:r>
          </w:p>
        </w:tc>
        <w:tc>
          <w:tcPr>
            <w:tcW w:type="dxa" w:w="4824"/>
            <w:tcMar>
              <w:top w:w="65" w:type="dxa"/>
              <w:start w:w="85" w:type="dxa"/>
              <w:bottom w:w="65" w:type="dxa"/>
              <w:end w:w="85" w:type="dxa"/>
            </w:tcMar>
            <w:vAlign w:val="top"/>
          </w:tcPr>
          <w:p>
            <w:r>
              <w:rPr>
                <w:sz w:val="14"/>
              </w:rPr>
              <w:t>Distribute workloads across zones.</w:t>
            </w:r>
          </w:p>
        </w:tc>
      </w:tr>
      <w:tr>
        <w:trPr>
          <w:cantSplit/>
        </w:trPr>
        <w:tc>
          <w:tcPr>
            <w:tcW w:type="dxa" w:w="2232"/>
            <w:tcMar>
              <w:top w:w="65" w:type="dxa"/>
              <w:start w:w="85" w:type="dxa"/>
              <w:bottom w:w="65" w:type="dxa"/>
              <w:end w:w="85" w:type="dxa"/>
            </w:tcMar>
            <w:vAlign w:val="top"/>
          </w:tcPr>
          <w:p>
            <w:r>
              <w:rPr>
                <w:sz w:val="14"/>
              </w:rPr>
              <w:t>Traffic</w:t>
            </w:r>
          </w:p>
        </w:tc>
        <w:tc>
          <w:tcPr>
            <w:tcW w:type="dxa" w:w="2952"/>
            <w:tcMar>
              <w:top w:w="65" w:type="dxa"/>
              <w:start w:w="85" w:type="dxa"/>
              <w:bottom w:w="65" w:type="dxa"/>
              <w:end w:w="85" w:type="dxa"/>
            </w:tcMar>
            <w:vAlign w:val="top"/>
          </w:tcPr>
          <w:p>
            <w:r>
              <w:rPr>
                <w:sz w:val="14"/>
              </w:rPr>
              <w:t>Cloud Load Balancing</w:t>
            </w:r>
          </w:p>
        </w:tc>
        <w:tc>
          <w:tcPr>
            <w:tcW w:type="dxa" w:w="4824"/>
            <w:tcMar>
              <w:top w:w="65" w:type="dxa"/>
              <w:start w:w="85" w:type="dxa"/>
              <w:bottom w:w="65" w:type="dxa"/>
              <w:end w:w="85" w:type="dxa"/>
            </w:tcMar>
            <w:vAlign w:val="top"/>
          </w:tcPr>
          <w:p>
            <w:r>
              <w:rPr>
                <w:sz w:val="14"/>
              </w:rPr>
              <w:t>Route global or regional traffic using health checks.</w:t>
            </w:r>
          </w:p>
        </w:tc>
      </w:tr>
      <w:tr>
        <w:trPr>
          <w:cantSplit/>
        </w:trPr>
        <w:tc>
          <w:tcPr>
            <w:tcW w:type="dxa" w:w="2232"/>
            <w:tcMar>
              <w:top w:w="65" w:type="dxa"/>
              <w:start w:w="85" w:type="dxa"/>
              <w:bottom w:w="65" w:type="dxa"/>
              <w:end w:w="85" w:type="dxa"/>
            </w:tcMar>
            <w:vAlign w:val="top"/>
          </w:tcPr>
          <w:p>
            <w:r>
              <w:rPr>
                <w:sz w:val="14"/>
              </w:rPr>
              <w:t>DNS</w:t>
            </w:r>
          </w:p>
        </w:tc>
        <w:tc>
          <w:tcPr>
            <w:tcW w:type="dxa" w:w="2952"/>
            <w:tcMar>
              <w:top w:w="65" w:type="dxa"/>
              <w:start w:w="85" w:type="dxa"/>
              <w:bottom w:w="65" w:type="dxa"/>
              <w:end w:w="85" w:type="dxa"/>
            </w:tcMar>
            <w:vAlign w:val="top"/>
          </w:tcPr>
          <w:p>
            <w:r>
              <w:rPr>
                <w:sz w:val="14"/>
              </w:rPr>
              <w:t>Cloud DNS routing policies</w:t>
            </w:r>
          </w:p>
        </w:tc>
        <w:tc>
          <w:tcPr>
            <w:tcW w:type="dxa" w:w="4824"/>
            <w:tcMar>
              <w:top w:w="65" w:type="dxa"/>
              <w:start w:w="85" w:type="dxa"/>
              <w:bottom w:w="65" w:type="dxa"/>
              <w:end w:w="85" w:type="dxa"/>
            </w:tcMar>
            <w:vAlign w:val="top"/>
          </w:tcPr>
          <w:p>
            <w:r>
              <w:rPr>
                <w:sz w:val="14"/>
              </w:rPr>
              <w:t>Provide DNS-based steering where appropriate.</w:t>
            </w:r>
          </w:p>
        </w:tc>
      </w:tr>
      <w:tr>
        <w:trPr>
          <w:cantSplit/>
        </w:trPr>
        <w:tc>
          <w:tcPr>
            <w:tcW w:type="dxa" w:w="2232"/>
            <w:tcMar>
              <w:top w:w="65" w:type="dxa"/>
              <w:start w:w="85" w:type="dxa"/>
              <w:bottom w:w="65" w:type="dxa"/>
              <w:end w:w="85" w:type="dxa"/>
            </w:tcMar>
            <w:vAlign w:val="top"/>
          </w:tcPr>
          <w:p>
            <w:r>
              <w:rPr>
                <w:sz w:val="14"/>
              </w:rPr>
              <w:t>Database continuity</w:t>
            </w:r>
          </w:p>
        </w:tc>
        <w:tc>
          <w:tcPr>
            <w:tcW w:type="dxa" w:w="2952"/>
            <w:tcMar>
              <w:top w:w="65" w:type="dxa"/>
              <w:start w:w="85" w:type="dxa"/>
              <w:bottom w:w="65" w:type="dxa"/>
              <w:end w:w="85" w:type="dxa"/>
            </w:tcMar>
            <w:vAlign w:val="top"/>
          </w:tcPr>
          <w:p>
            <w:r>
              <w:rPr>
                <w:sz w:val="14"/>
              </w:rPr>
              <w:t>Spanner / cross-region replicas / database replicas</w:t>
            </w:r>
          </w:p>
        </w:tc>
        <w:tc>
          <w:tcPr>
            <w:tcW w:type="dxa" w:w="4824"/>
            <w:tcMar>
              <w:top w:w="65" w:type="dxa"/>
              <w:start w:w="85" w:type="dxa"/>
              <w:bottom w:w="65" w:type="dxa"/>
              <w:end w:w="85" w:type="dxa"/>
            </w:tcMar>
            <w:vAlign w:val="top"/>
          </w:tcPr>
          <w:p>
            <w:r>
              <w:rPr>
                <w:sz w:val="14"/>
              </w:rPr>
              <w:t>Protect data according to service capability.</w:t>
            </w:r>
          </w:p>
        </w:tc>
      </w:tr>
      <w:tr>
        <w:trPr>
          <w:cantSplit/>
        </w:trPr>
        <w:tc>
          <w:tcPr>
            <w:tcW w:type="dxa" w:w="2232"/>
            <w:tcMar>
              <w:top w:w="65" w:type="dxa"/>
              <w:start w:w="85" w:type="dxa"/>
              <w:bottom w:w="65" w:type="dxa"/>
              <w:end w:w="85" w:type="dxa"/>
            </w:tcMar>
            <w:vAlign w:val="top"/>
          </w:tcPr>
          <w:p>
            <w:r>
              <w:rPr>
                <w:sz w:val="14"/>
              </w:rPr>
              <w:t>Backup</w:t>
            </w:r>
          </w:p>
        </w:tc>
        <w:tc>
          <w:tcPr>
            <w:tcW w:type="dxa" w:w="2952"/>
            <w:tcMar>
              <w:top w:w="65" w:type="dxa"/>
              <w:start w:w="85" w:type="dxa"/>
              <w:bottom w:w="65" w:type="dxa"/>
              <w:end w:w="85" w:type="dxa"/>
            </w:tcMar>
            <w:vAlign w:val="top"/>
          </w:tcPr>
          <w:p>
            <w:r>
              <w:rPr>
                <w:sz w:val="14"/>
              </w:rPr>
              <w:t>Backup and DR Service / snapshots</w:t>
            </w:r>
          </w:p>
        </w:tc>
        <w:tc>
          <w:tcPr>
            <w:tcW w:type="dxa" w:w="4824"/>
            <w:tcMar>
              <w:top w:w="65" w:type="dxa"/>
              <w:start w:w="85" w:type="dxa"/>
              <w:bottom w:w="65" w:type="dxa"/>
              <w:end w:w="85" w:type="dxa"/>
            </w:tcMar>
            <w:vAlign w:val="top"/>
          </w:tcPr>
          <w:p>
            <w:r>
              <w:rPr>
                <w:sz w:val="14"/>
              </w:rPr>
              <w:t>Protect and recover supported workloads.</w:t>
            </w:r>
          </w:p>
        </w:tc>
      </w:tr>
      <w:tr>
        <w:trPr>
          <w:cantSplit/>
        </w:trPr>
        <w:tc>
          <w:tcPr>
            <w:tcW w:type="dxa" w:w="2232"/>
            <w:tcMar>
              <w:top w:w="65" w:type="dxa"/>
              <w:start w:w="85" w:type="dxa"/>
              <w:bottom w:w="65" w:type="dxa"/>
              <w:end w:w="85" w:type="dxa"/>
            </w:tcMar>
            <w:vAlign w:val="top"/>
          </w:tcPr>
          <w:p>
            <w:r>
              <w:rPr>
                <w:sz w:val="14"/>
              </w:rPr>
              <w:t>Service continuity</w:t>
            </w:r>
          </w:p>
        </w:tc>
        <w:tc>
          <w:tcPr>
            <w:tcW w:type="dxa" w:w="2952"/>
            <w:tcMar>
              <w:top w:w="65" w:type="dxa"/>
              <w:start w:w="85" w:type="dxa"/>
              <w:bottom w:w="65" w:type="dxa"/>
              <w:end w:w="85" w:type="dxa"/>
            </w:tcMar>
            <w:vAlign w:val="top"/>
          </w:tcPr>
          <w:p>
            <w:r>
              <w:rPr>
                <w:sz w:val="14"/>
              </w:rPr>
              <w:t>Cloud Monitoring / Service Health</w:t>
            </w:r>
          </w:p>
        </w:tc>
        <w:tc>
          <w:tcPr>
            <w:tcW w:type="dxa" w:w="4824"/>
            <w:tcMar>
              <w:top w:w="65" w:type="dxa"/>
              <w:start w:w="85" w:type="dxa"/>
              <w:bottom w:w="65" w:type="dxa"/>
              <w:end w:w="85" w:type="dxa"/>
            </w:tcMar>
            <w:vAlign w:val="top"/>
          </w:tcPr>
          <w:p>
            <w:r>
              <w:rPr>
                <w:sz w:val="14"/>
              </w:rPr>
              <w:t>Detect workload and provider impairment.</w:t>
            </w:r>
          </w:p>
        </w:tc>
      </w:tr>
    </w:tbl>
    <w:p>
      <w:pPr>
        <w:pStyle w:val="Heading2"/>
        <w:keepNext/>
      </w:pPr>
      <w:r>
        <w:t>Architecture and Operating Decisions</w:t>
      </w:r>
    </w:p>
    <w:p>
      <w:pPr>
        <w:pStyle w:val="ListBullet"/>
      </w:pPr>
      <w:r>
        <w:t>Use Google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cross-region data and backup patterns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recovery_tiers:</w:t>
              <w:br/>
              <w:t xml:space="preserve">  critical: multi_region_with_global_load_balancing</w:t>
              <w:br/>
              <w:t xml:space="preserve">  important: warm_secondary_and_replication</w:t>
              <w:br/>
              <w:t xml:space="preserve">  standard: backup_restore</w:t>
              <w:br/>
              <w:t>exercise:</w:t>
              <w:br/>
              <w:t xml:space="preserve">  - block_primary_dependency</w:t>
              <w:br/>
              <w:t xml:space="preserve">  - validate_secondary_capacity</w:t>
              <w:br/>
              <w:t xml:space="preserve">  - promote_or_restore_data</w:t>
              <w:br/>
              <w:t xml:space="preserve">  - shift_traffic</w:t>
              <w:br/>
              <w:t xml:space="preserve">  - verify_integrity</w:t>
              <w:br/>
              <w:t xml:space="preserve">  - failback_controlled</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google cloud reliability, global load balancing and disaster recovery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37: Run a Google Cloud Regional Recovery Exercise</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google cloud reliability, global load balancing and disaster recovery using fictional enterprise requirements.</w:t>
      </w:r>
    </w:p>
    <w:p>
      <w:pPr>
        <w:ind w:left="360" w:hanging="360"/>
      </w:pPr>
      <w:r>
        <w:rPr>
          <w:b/>
        </w:rPr>
        <w:t xml:space="preserve">2. </w:t>
      </w:r>
      <w:r>
        <w:t>Implement the smallest safe sandbox using Regional managed instance groups / GKE regional clusters, Cloud Load Balancing, Cloud DNS routing policies;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Google Cloud Reliability, Global Load Balancing and Disaster Recovery?</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Google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Zonal and regional workload resilience defines a key architecture boundary.</w:t>
      </w:r>
    </w:p>
    <w:p>
      <w:pPr>
        <w:pStyle w:val="ListBullet"/>
      </w:pPr>
      <w:r>
        <w:t>Global load balancing and health checks must be automated and least-privileged.</w:t>
      </w:r>
    </w:p>
    <w:p>
      <w:pPr>
        <w:pStyle w:val="ListBullet"/>
      </w:pPr>
      <w:r>
        <w:t>Cross-region data and backup patterns requires policy, telemetry and recovery evidence.</w:t>
      </w:r>
    </w:p>
    <w:p>
      <w:pPr>
        <w:pStyle w:val="ListBullet"/>
      </w:pPr>
      <w:r>
        <w:t>Recovery orchestration and failback should be tested before production and after material change.</w:t>
      </w:r>
    </w:p>
    <w:p>
      <w:r>
        <w:br w:type="page"/>
      </w:r>
    </w:p>
    <w:p>
      <w:pPr>
        <w:jc w:val="center"/>
      </w:pPr>
      <w:r>
        <w:rPr>
          <w:b/>
          <w:color w:val="14919B"/>
          <w:sz w:val="17"/>
        </w:rPr>
        <w:t>VOLUME 12D  |  CHAPTER 38</w:t>
      </w:r>
    </w:p>
    <w:p>
      <w:pPr>
        <w:pStyle w:val="Heading1"/>
        <w:jc w:val="center"/>
      </w:pPr>
      <w:r>
        <w:t>Chapter 38: Google Cloud Operations Suite and OpenTelemetry</w:t>
      </w:r>
    </w:p>
    <w:p>
      <w:pPr>
        <w:jc w:val="center"/>
      </w:pPr>
      <w:r>
        <w:rPr>
          <w:i/>
          <w:color w:val="4B5563"/>
          <w:sz w:val="20"/>
        </w:rPr>
        <w:t>Correlating metrics, logs, traces, profiles and audit data</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Operational visibility should follow the user request and service dependency path. Collection, retention, access and cost need the same governance as other data systems.</w:t>
            </w:r>
          </w:p>
        </w:tc>
      </w:tr>
    </w:tbl>
    <w:p>
      <w:pPr>
        <w:spacing w:after="0"/>
      </w:pPr>
    </w:p>
    <w:p>
      <w:pPr>
        <w:pStyle w:val="Heading2"/>
        <w:keepNext/>
      </w:pPr>
      <w:r>
        <w:t>Learning Objectives</w:t>
      </w:r>
    </w:p>
    <w:p>
      <w:pPr>
        <w:pStyle w:val="ListBullet"/>
      </w:pPr>
      <w:r>
        <w:t>Explain the architecture, responsibility boundaries and major trade-offs of cloud monitoring metrics and alerting.</w:t>
      </w:r>
    </w:p>
    <w:p>
      <w:pPr>
        <w:pStyle w:val="ListBullet"/>
      </w:pPr>
      <w:r>
        <w:t>Design cloud logging and centralized sinks for enterprise scale, least privilege and bounded failure.</w:t>
      </w:r>
    </w:p>
    <w:p>
      <w:pPr>
        <w:pStyle w:val="ListBullet"/>
      </w:pPr>
      <w:r>
        <w:t>Implement cloud trace, profiler and opentelemetry through version-controlled automation and policy checks.</w:t>
      </w:r>
    </w:p>
    <w:p>
      <w:pPr>
        <w:pStyle w:val="ListBullet"/>
      </w:pPr>
      <w:r>
        <w:t>Troubleshoot audit logs, error reporting and incident investigation using provider-native telemetry and repeatable evidence.</w:t>
      </w:r>
    </w:p>
    <w:p>
      <w:pPr>
        <w:pStyle w:val="ListBullet"/>
      </w:pPr>
      <w:r>
        <w:t>Deliver a sanitized portfolio artifact for create a google cloud cross-signal incident investigation.</w:t>
      </w:r>
    </w:p>
    <w:p>
      <w:pPr>
        <w:pStyle w:val="Heading2"/>
        <w:keepNext/>
      </w:pPr>
      <w:r>
        <w:t>Core Concepts</w:t>
      </w:r>
    </w:p>
    <w:p>
      <w:pPr>
        <w:pStyle w:val="Heading3"/>
        <w:keepNext/>
      </w:pPr>
      <w:r>
        <w:t>Cloud Monitoring metrics and alerting</w:t>
      </w:r>
    </w:p>
    <w:p>
      <w:pPr>
        <w:keepNext w:val="0"/>
      </w:pPr>
      <w:r>
        <w:t>Cloud Monitoring metrics and alerting is a design boundary, not merely a console feature. In Google Cloud Operations Suite and OpenTelemetry, the team must document ownership, trust assumptions, dependency direction, failure impact and the evidence used to prove the control. The recommended implementation uses Cloud Monitoring, Cloud Logging, Cloud Trace / OpenTelemetry, Cloud Profiler only where they satisfy an explicit requirement; equivalent services are not automatically interchangeable.</w:t>
      </w:r>
    </w:p>
    <w:p>
      <w:pPr>
        <w:pStyle w:val="Heading3"/>
        <w:keepNext/>
      </w:pPr>
      <w:r>
        <w:t>Cloud Logging and centralized sinks</w:t>
      </w:r>
    </w:p>
    <w:p>
      <w:pPr>
        <w:keepNext w:val="0"/>
      </w:pPr>
      <w:r>
        <w:t>A production implementation of Cloud Logging and centralized sinks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Cloud Trace, Profiler and OpenTelemetry</w:t>
      </w:r>
    </w:p>
    <w:p>
      <w:pPr>
        <w:keepNext w:val="0"/>
      </w:pPr>
      <w:r>
        <w:t>For Cloud Trace, Profiler and OpenTelemetry,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Audit Logs, Error Reporting and incident investigation</w:t>
      </w:r>
    </w:p>
    <w:p>
      <w:pPr>
        <w:keepNext w:val="0"/>
      </w:pPr>
      <w:r>
        <w:t>The strongest validation for Audit Logs, Error Reporting and incident investigation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Metrics</w:t>
            </w:r>
          </w:p>
        </w:tc>
        <w:tc>
          <w:tcPr>
            <w:tcW w:type="dxa" w:w="2952"/>
            <w:tcMar>
              <w:top w:w="65" w:type="dxa"/>
              <w:start w:w="85" w:type="dxa"/>
              <w:bottom w:w="65" w:type="dxa"/>
              <w:end w:w="85" w:type="dxa"/>
            </w:tcMar>
            <w:vAlign w:val="top"/>
          </w:tcPr>
          <w:p>
            <w:r>
              <w:rPr>
                <w:sz w:val="14"/>
              </w:rPr>
              <w:t>Cloud Monitoring</w:t>
            </w:r>
          </w:p>
        </w:tc>
        <w:tc>
          <w:tcPr>
            <w:tcW w:type="dxa" w:w="4824"/>
            <w:tcMar>
              <w:top w:w="65" w:type="dxa"/>
              <w:start w:w="85" w:type="dxa"/>
              <w:bottom w:w="65" w:type="dxa"/>
              <w:end w:w="85" w:type="dxa"/>
            </w:tcMar>
            <w:vAlign w:val="top"/>
          </w:tcPr>
          <w:p>
            <w:r>
              <w:rPr>
                <w:sz w:val="14"/>
              </w:rPr>
              <w:t>Collect platform and custom metrics and SLOs.</w:t>
            </w:r>
          </w:p>
        </w:tc>
      </w:tr>
      <w:tr>
        <w:trPr>
          <w:cantSplit/>
        </w:trPr>
        <w:tc>
          <w:tcPr>
            <w:tcW w:type="dxa" w:w="2232"/>
            <w:tcMar>
              <w:top w:w="65" w:type="dxa"/>
              <w:start w:w="85" w:type="dxa"/>
              <w:bottom w:w="65" w:type="dxa"/>
              <w:end w:w="85" w:type="dxa"/>
            </w:tcMar>
            <w:vAlign w:val="top"/>
          </w:tcPr>
          <w:p>
            <w:r>
              <w:rPr>
                <w:sz w:val="14"/>
              </w:rPr>
              <w:t>Logs</w:t>
            </w:r>
          </w:p>
        </w:tc>
        <w:tc>
          <w:tcPr>
            <w:tcW w:type="dxa" w:w="2952"/>
            <w:tcMar>
              <w:top w:w="65" w:type="dxa"/>
              <w:start w:w="85" w:type="dxa"/>
              <w:bottom w:w="65" w:type="dxa"/>
              <w:end w:w="85" w:type="dxa"/>
            </w:tcMar>
            <w:vAlign w:val="top"/>
          </w:tcPr>
          <w:p>
            <w:r>
              <w:rPr>
                <w:sz w:val="14"/>
              </w:rPr>
              <w:t>Cloud Logging</w:t>
            </w:r>
          </w:p>
        </w:tc>
        <w:tc>
          <w:tcPr>
            <w:tcW w:type="dxa" w:w="4824"/>
            <w:tcMar>
              <w:top w:w="65" w:type="dxa"/>
              <w:start w:w="85" w:type="dxa"/>
              <w:bottom w:w="65" w:type="dxa"/>
              <w:end w:w="85" w:type="dxa"/>
            </w:tcMar>
            <w:vAlign w:val="top"/>
          </w:tcPr>
          <w:p>
            <w:r>
              <w:rPr>
                <w:sz w:val="14"/>
              </w:rPr>
              <w:t>Aggregate, route, retain and query logs.</w:t>
            </w:r>
          </w:p>
        </w:tc>
      </w:tr>
      <w:tr>
        <w:trPr>
          <w:cantSplit/>
        </w:trPr>
        <w:tc>
          <w:tcPr>
            <w:tcW w:type="dxa" w:w="2232"/>
            <w:tcMar>
              <w:top w:w="65" w:type="dxa"/>
              <w:start w:w="85" w:type="dxa"/>
              <w:bottom w:w="65" w:type="dxa"/>
              <w:end w:w="85" w:type="dxa"/>
            </w:tcMar>
            <w:vAlign w:val="top"/>
          </w:tcPr>
          <w:p>
            <w:r>
              <w:rPr>
                <w:sz w:val="14"/>
              </w:rPr>
              <w:t>Tracing</w:t>
            </w:r>
          </w:p>
        </w:tc>
        <w:tc>
          <w:tcPr>
            <w:tcW w:type="dxa" w:w="2952"/>
            <w:tcMar>
              <w:top w:w="65" w:type="dxa"/>
              <w:start w:w="85" w:type="dxa"/>
              <w:bottom w:w="65" w:type="dxa"/>
              <w:end w:w="85" w:type="dxa"/>
            </w:tcMar>
            <w:vAlign w:val="top"/>
          </w:tcPr>
          <w:p>
            <w:r>
              <w:rPr>
                <w:sz w:val="14"/>
              </w:rPr>
              <w:t>Cloud Trace / OpenTelemetry</w:t>
            </w:r>
          </w:p>
        </w:tc>
        <w:tc>
          <w:tcPr>
            <w:tcW w:type="dxa" w:w="4824"/>
            <w:tcMar>
              <w:top w:w="65" w:type="dxa"/>
              <w:start w:w="85" w:type="dxa"/>
              <w:bottom w:w="65" w:type="dxa"/>
              <w:end w:w="85" w:type="dxa"/>
            </w:tcMar>
            <w:vAlign w:val="top"/>
          </w:tcPr>
          <w:p>
            <w:r>
              <w:rPr>
                <w:sz w:val="14"/>
              </w:rPr>
              <w:t>Correlate distributed request latency.</w:t>
            </w:r>
          </w:p>
        </w:tc>
      </w:tr>
      <w:tr>
        <w:trPr>
          <w:cantSplit/>
        </w:trPr>
        <w:tc>
          <w:tcPr>
            <w:tcW w:type="dxa" w:w="2232"/>
            <w:tcMar>
              <w:top w:w="65" w:type="dxa"/>
              <w:start w:w="85" w:type="dxa"/>
              <w:bottom w:w="65" w:type="dxa"/>
              <w:end w:w="85" w:type="dxa"/>
            </w:tcMar>
            <w:vAlign w:val="top"/>
          </w:tcPr>
          <w:p>
            <w:r>
              <w:rPr>
                <w:sz w:val="14"/>
              </w:rPr>
              <w:t>Profiling</w:t>
            </w:r>
          </w:p>
        </w:tc>
        <w:tc>
          <w:tcPr>
            <w:tcW w:type="dxa" w:w="2952"/>
            <w:tcMar>
              <w:top w:w="65" w:type="dxa"/>
              <w:start w:w="85" w:type="dxa"/>
              <w:bottom w:w="65" w:type="dxa"/>
              <w:end w:w="85" w:type="dxa"/>
            </w:tcMar>
            <w:vAlign w:val="top"/>
          </w:tcPr>
          <w:p>
            <w:r>
              <w:rPr>
                <w:sz w:val="14"/>
              </w:rPr>
              <w:t>Cloud Profiler</w:t>
            </w:r>
          </w:p>
        </w:tc>
        <w:tc>
          <w:tcPr>
            <w:tcW w:type="dxa" w:w="4824"/>
            <w:tcMar>
              <w:top w:w="65" w:type="dxa"/>
              <w:start w:w="85" w:type="dxa"/>
              <w:bottom w:w="65" w:type="dxa"/>
              <w:end w:w="85" w:type="dxa"/>
            </w:tcMar>
            <w:vAlign w:val="top"/>
          </w:tcPr>
          <w:p>
            <w:r>
              <w:rPr>
                <w:sz w:val="14"/>
              </w:rPr>
              <w:t>Analyze production CPU and memory behavior.</w:t>
            </w:r>
          </w:p>
        </w:tc>
      </w:tr>
      <w:tr>
        <w:trPr>
          <w:cantSplit/>
        </w:trPr>
        <w:tc>
          <w:tcPr>
            <w:tcW w:type="dxa" w:w="2232"/>
            <w:tcMar>
              <w:top w:w="65" w:type="dxa"/>
              <w:start w:w="85" w:type="dxa"/>
              <w:bottom w:w="65" w:type="dxa"/>
              <w:end w:w="85" w:type="dxa"/>
            </w:tcMar>
            <w:vAlign w:val="top"/>
          </w:tcPr>
          <w:p>
            <w:r>
              <w:rPr>
                <w:sz w:val="14"/>
              </w:rPr>
              <w:t>Errors</w:t>
            </w:r>
          </w:p>
        </w:tc>
        <w:tc>
          <w:tcPr>
            <w:tcW w:type="dxa" w:w="2952"/>
            <w:tcMar>
              <w:top w:w="65" w:type="dxa"/>
              <w:start w:w="85" w:type="dxa"/>
              <w:bottom w:w="65" w:type="dxa"/>
              <w:end w:w="85" w:type="dxa"/>
            </w:tcMar>
            <w:vAlign w:val="top"/>
          </w:tcPr>
          <w:p>
            <w:r>
              <w:rPr>
                <w:sz w:val="14"/>
              </w:rPr>
              <w:t>Error Reporting</w:t>
            </w:r>
          </w:p>
        </w:tc>
        <w:tc>
          <w:tcPr>
            <w:tcW w:type="dxa" w:w="4824"/>
            <w:tcMar>
              <w:top w:w="65" w:type="dxa"/>
              <w:start w:w="85" w:type="dxa"/>
              <w:bottom w:w="65" w:type="dxa"/>
              <w:end w:w="85" w:type="dxa"/>
            </w:tcMar>
            <w:vAlign w:val="top"/>
          </w:tcPr>
          <w:p>
            <w:r>
              <w:rPr>
                <w:sz w:val="14"/>
              </w:rPr>
              <w:t>Group and alert on application errors.</w:t>
            </w:r>
          </w:p>
        </w:tc>
      </w:tr>
      <w:tr>
        <w:trPr>
          <w:cantSplit/>
        </w:trPr>
        <w:tc>
          <w:tcPr>
            <w:tcW w:type="dxa" w:w="2232"/>
            <w:tcMar>
              <w:top w:w="65" w:type="dxa"/>
              <w:start w:w="85" w:type="dxa"/>
              <w:bottom w:w="65" w:type="dxa"/>
              <w:end w:w="85" w:type="dxa"/>
            </w:tcMar>
            <w:vAlign w:val="top"/>
          </w:tcPr>
          <w:p>
            <w:r>
              <w:rPr>
                <w:sz w:val="14"/>
              </w:rPr>
              <w:t>Audit</w:t>
            </w:r>
          </w:p>
        </w:tc>
        <w:tc>
          <w:tcPr>
            <w:tcW w:type="dxa" w:w="2952"/>
            <w:tcMar>
              <w:top w:w="65" w:type="dxa"/>
              <w:start w:w="85" w:type="dxa"/>
              <w:bottom w:w="65" w:type="dxa"/>
              <w:end w:w="85" w:type="dxa"/>
            </w:tcMar>
            <w:vAlign w:val="top"/>
          </w:tcPr>
          <w:p>
            <w:r>
              <w:rPr>
                <w:sz w:val="14"/>
              </w:rPr>
              <w:t>Cloud Audit Logs</w:t>
            </w:r>
          </w:p>
        </w:tc>
        <w:tc>
          <w:tcPr>
            <w:tcW w:type="dxa" w:w="4824"/>
            <w:tcMar>
              <w:top w:w="65" w:type="dxa"/>
              <w:start w:w="85" w:type="dxa"/>
              <w:bottom w:w="65" w:type="dxa"/>
              <w:end w:w="85" w:type="dxa"/>
            </w:tcMar>
            <w:vAlign w:val="top"/>
          </w:tcPr>
          <w:p>
            <w:r>
              <w:rPr>
                <w:sz w:val="14"/>
              </w:rPr>
              <w:t>Investigate administrative and data-access activity.</w:t>
            </w:r>
          </w:p>
        </w:tc>
      </w:tr>
    </w:tbl>
    <w:p>
      <w:pPr>
        <w:pStyle w:val="Heading2"/>
        <w:keepNext/>
      </w:pPr>
      <w:r>
        <w:t>Architecture and Operating Decisions</w:t>
      </w:r>
    </w:p>
    <w:p>
      <w:pPr>
        <w:pStyle w:val="ListBullet"/>
      </w:pPr>
      <w:r>
        <w:t>Use Google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cloud trace, profiler and opentelemetry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observability:</w:t>
              <w:br/>
              <w:t xml:space="preserve">  telemetry: [metrics, structured_logs, traces, profiles, audit]</w:t>
              <w:br/>
              <w:t xml:space="preserve">  routing: aggregated_sinks_by_data_class</w:t>
              <w:br/>
              <w:t xml:space="preserve">  application: opentelemetry</w:t>
              <w:br/>
              <w:t xml:space="preserve">  alerts: user_impact_and_slo_burn</w:t>
              <w:br/>
              <w:t xml:space="preserve">  retention: explicit_per_log_bucket</w:t>
              <w:br/>
              <w:t xml:space="preserve">  access: least_privilege_with_separate_security_evidence</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google cloud operations suite and opentelemetry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38: Create a Google Cloud Cross-Signal Incident Investigation</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google cloud operations suite and opentelemetry using fictional enterprise requirements.</w:t>
      </w:r>
    </w:p>
    <w:p>
      <w:pPr>
        <w:ind w:left="360" w:hanging="360"/>
      </w:pPr>
      <w:r>
        <w:rPr>
          <w:b/>
        </w:rPr>
        <w:t xml:space="preserve">2. </w:t>
      </w:r>
      <w:r>
        <w:t>Implement the smallest safe sandbox using Cloud Monitoring, Cloud Logging, Cloud Trace / OpenTelemetry;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Google Cloud Operations Suite and OpenTelemetry?</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Google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Cloud Monitoring metrics and alerting defines a key architecture boundary.</w:t>
      </w:r>
    </w:p>
    <w:p>
      <w:pPr>
        <w:pStyle w:val="ListBullet"/>
      </w:pPr>
      <w:r>
        <w:t>Cloud Logging and centralized sinks must be automated and least-privileged.</w:t>
      </w:r>
    </w:p>
    <w:p>
      <w:pPr>
        <w:pStyle w:val="ListBullet"/>
      </w:pPr>
      <w:r>
        <w:t>Cloud Trace, Profiler and OpenTelemetry requires policy, telemetry and recovery evidence.</w:t>
      </w:r>
    </w:p>
    <w:p>
      <w:pPr>
        <w:pStyle w:val="ListBullet"/>
      </w:pPr>
      <w:r>
        <w:t>Audit Logs, Error Reporting and incident investigation should be tested before production and after material change.</w:t>
      </w:r>
    </w:p>
    <w:p>
      <w:r>
        <w:br w:type="page"/>
      </w:r>
    </w:p>
    <w:p>
      <w:pPr>
        <w:jc w:val="center"/>
      </w:pPr>
      <w:r>
        <w:rPr>
          <w:b/>
          <w:color w:val="14919B"/>
          <w:sz w:val="17"/>
        </w:rPr>
        <w:t>VOLUME 12D  |  CHAPTER 39</w:t>
      </w:r>
    </w:p>
    <w:p>
      <w:pPr>
        <w:pStyle w:val="Heading1"/>
        <w:jc w:val="center"/>
      </w:pPr>
      <w:r>
        <w:t>Chapter 39: Google Cloud FinOps, Billing Exports and Resource Governance</w:t>
      </w:r>
    </w:p>
    <w:p>
      <w:pPr>
        <w:jc w:val="center"/>
      </w:pPr>
      <w:r>
        <w:rPr>
          <w:i/>
          <w:color w:val="4B5563"/>
          <w:sz w:val="20"/>
        </w:rPr>
        <w:t>Connecting project ownership and usage to business value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Google Cloud cost engineering requires billing export, hierarchy, labels or tags, commitments and workload-level unit metrics. Optimization decisions must include performance and reliability.</w:t>
            </w:r>
          </w:p>
        </w:tc>
      </w:tr>
    </w:tbl>
    <w:p>
      <w:pPr>
        <w:spacing w:after="0"/>
      </w:pPr>
    </w:p>
    <w:p>
      <w:pPr>
        <w:pStyle w:val="Heading2"/>
        <w:keepNext/>
      </w:pPr>
      <w:r>
        <w:t>Learning Objectives</w:t>
      </w:r>
    </w:p>
    <w:p>
      <w:pPr>
        <w:pStyle w:val="ListBullet"/>
      </w:pPr>
      <w:r>
        <w:t>Explain the architecture, responsibility boundaries and major trade-offs of cloud billing export and cost allocation.</w:t>
      </w:r>
    </w:p>
    <w:p>
      <w:pPr>
        <w:pStyle w:val="ListBullet"/>
      </w:pPr>
      <w:r>
        <w:t>Design budgets, quotas and anomaly operations for enterprise scale, least privilege and bounded failure.</w:t>
      </w:r>
    </w:p>
    <w:p>
      <w:pPr>
        <w:pStyle w:val="ListBullet"/>
      </w:pPr>
      <w:r>
        <w:t>Implement committed use discounts and rightsizing through version-controlled automation and policy checks.</w:t>
      </w:r>
    </w:p>
    <w:p>
      <w:pPr>
        <w:pStyle w:val="ListBullet"/>
      </w:pPr>
      <w:r>
        <w:t>Troubleshoot finops hub, active assist and unit economics using provider-native telemetry and repeatable evidence.</w:t>
      </w:r>
    </w:p>
    <w:p>
      <w:pPr>
        <w:pStyle w:val="ListBullet"/>
      </w:pPr>
      <w:r>
        <w:t>Deliver a sanitized portfolio artifact for build a google cloud billing and unit-cost dashboard.</w:t>
      </w:r>
    </w:p>
    <w:p>
      <w:pPr>
        <w:pStyle w:val="Heading2"/>
        <w:keepNext/>
      </w:pPr>
      <w:r>
        <w:t>Core Concepts</w:t>
      </w:r>
    </w:p>
    <w:p>
      <w:pPr>
        <w:pStyle w:val="Heading3"/>
        <w:keepNext/>
      </w:pPr>
      <w:r>
        <w:t>Cloud Billing export and cost allocation</w:t>
      </w:r>
    </w:p>
    <w:p>
      <w:pPr>
        <w:keepNext w:val="0"/>
      </w:pPr>
      <w:r>
        <w:t>Cloud Billing export and cost allocation is a design boundary, not merely a console feature. In Google Cloud FinOps, Billing Exports and Resource Governance, the team must document ownership, trust assumptions, dependency direction, failure impact and the evidence used to prove the control. The recommended implementation uses Cloud Billing export to BigQuery, Budgets and alerts, Active Assist / Recommender, Committed use discounts only where they satisfy an explicit requirement; equivalent services are not automatically interchangeable.</w:t>
      </w:r>
    </w:p>
    <w:p>
      <w:pPr>
        <w:pStyle w:val="Heading3"/>
        <w:keepNext/>
      </w:pPr>
      <w:r>
        <w:t>Budgets, quotas and anomaly operations</w:t>
      </w:r>
    </w:p>
    <w:p>
      <w:pPr>
        <w:keepNext w:val="0"/>
      </w:pPr>
      <w:r>
        <w:t>A production implementation of Budgets, quotas and anomaly operations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Committed use discounts and rightsizing</w:t>
      </w:r>
    </w:p>
    <w:p>
      <w:pPr>
        <w:keepNext w:val="0"/>
      </w:pPr>
      <w:r>
        <w:t>For Committed use discounts and rightsizing,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FinOps Hub, Active Assist and unit economics</w:t>
      </w:r>
    </w:p>
    <w:p>
      <w:pPr>
        <w:keepNext w:val="0"/>
      </w:pPr>
      <w:r>
        <w:t>The strongest validation for FinOps Hub, Active Assist and unit economics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Billing data</w:t>
            </w:r>
          </w:p>
        </w:tc>
        <w:tc>
          <w:tcPr>
            <w:tcW w:type="dxa" w:w="2952"/>
            <w:tcMar>
              <w:top w:w="65" w:type="dxa"/>
              <w:start w:w="85" w:type="dxa"/>
              <w:bottom w:w="65" w:type="dxa"/>
              <w:end w:w="85" w:type="dxa"/>
            </w:tcMar>
            <w:vAlign w:val="top"/>
          </w:tcPr>
          <w:p>
            <w:r>
              <w:rPr>
                <w:sz w:val="14"/>
              </w:rPr>
              <w:t>Cloud Billing export to BigQuery</w:t>
            </w:r>
          </w:p>
        </w:tc>
        <w:tc>
          <w:tcPr>
            <w:tcW w:type="dxa" w:w="4824"/>
            <w:tcMar>
              <w:top w:w="65" w:type="dxa"/>
              <w:start w:w="85" w:type="dxa"/>
              <w:bottom w:w="65" w:type="dxa"/>
              <w:end w:w="85" w:type="dxa"/>
            </w:tcMar>
            <w:vAlign w:val="top"/>
          </w:tcPr>
          <w:p>
            <w:r>
              <w:rPr>
                <w:sz w:val="14"/>
              </w:rPr>
              <w:t>Analyze detailed cost and usage.</w:t>
            </w:r>
          </w:p>
        </w:tc>
      </w:tr>
      <w:tr>
        <w:trPr>
          <w:cantSplit/>
        </w:trPr>
        <w:tc>
          <w:tcPr>
            <w:tcW w:type="dxa" w:w="2232"/>
            <w:tcMar>
              <w:top w:w="65" w:type="dxa"/>
              <w:start w:w="85" w:type="dxa"/>
              <w:bottom w:w="65" w:type="dxa"/>
              <w:end w:w="85" w:type="dxa"/>
            </w:tcMar>
            <w:vAlign w:val="top"/>
          </w:tcPr>
          <w:p>
            <w:r>
              <w:rPr>
                <w:sz w:val="14"/>
              </w:rPr>
              <w:t>Control</w:t>
            </w:r>
          </w:p>
        </w:tc>
        <w:tc>
          <w:tcPr>
            <w:tcW w:type="dxa" w:w="2952"/>
            <w:tcMar>
              <w:top w:w="65" w:type="dxa"/>
              <w:start w:w="85" w:type="dxa"/>
              <w:bottom w:w="65" w:type="dxa"/>
              <w:end w:w="85" w:type="dxa"/>
            </w:tcMar>
            <w:vAlign w:val="top"/>
          </w:tcPr>
          <w:p>
            <w:r>
              <w:rPr>
                <w:sz w:val="14"/>
              </w:rPr>
              <w:t>Budgets and alerts</w:t>
            </w:r>
          </w:p>
        </w:tc>
        <w:tc>
          <w:tcPr>
            <w:tcW w:type="dxa" w:w="4824"/>
            <w:tcMar>
              <w:top w:w="65" w:type="dxa"/>
              <w:start w:w="85" w:type="dxa"/>
              <w:bottom w:w="65" w:type="dxa"/>
              <w:end w:w="85" w:type="dxa"/>
            </w:tcMar>
            <w:vAlign w:val="top"/>
          </w:tcPr>
          <w:p>
            <w:r>
              <w:rPr>
                <w:sz w:val="14"/>
              </w:rPr>
              <w:t>Route forecast and threshold notifications.</w:t>
            </w:r>
          </w:p>
        </w:tc>
      </w:tr>
      <w:tr>
        <w:trPr>
          <w:cantSplit/>
        </w:trPr>
        <w:tc>
          <w:tcPr>
            <w:tcW w:type="dxa" w:w="2232"/>
            <w:tcMar>
              <w:top w:w="65" w:type="dxa"/>
              <w:start w:w="85" w:type="dxa"/>
              <w:bottom w:w="65" w:type="dxa"/>
              <w:end w:w="85" w:type="dxa"/>
            </w:tcMar>
            <w:vAlign w:val="top"/>
          </w:tcPr>
          <w:p>
            <w:r>
              <w:rPr>
                <w:sz w:val="14"/>
              </w:rPr>
              <w:t>Optimization</w:t>
            </w:r>
          </w:p>
        </w:tc>
        <w:tc>
          <w:tcPr>
            <w:tcW w:type="dxa" w:w="2952"/>
            <w:tcMar>
              <w:top w:w="65" w:type="dxa"/>
              <w:start w:w="85" w:type="dxa"/>
              <w:bottom w:w="65" w:type="dxa"/>
              <w:end w:w="85" w:type="dxa"/>
            </w:tcMar>
            <w:vAlign w:val="top"/>
          </w:tcPr>
          <w:p>
            <w:r>
              <w:rPr>
                <w:sz w:val="14"/>
              </w:rPr>
              <w:t>Active Assist / Recommender</w:t>
            </w:r>
          </w:p>
        </w:tc>
        <w:tc>
          <w:tcPr>
            <w:tcW w:type="dxa" w:w="4824"/>
            <w:tcMar>
              <w:top w:w="65" w:type="dxa"/>
              <w:start w:w="85" w:type="dxa"/>
              <w:bottom w:w="65" w:type="dxa"/>
              <w:end w:w="85" w:type="dxa"/>
            </w:tcMar>
            <w:vAlign w:val="top"/>
          </w:tcPr>
          <w:p>
            <w:r>
              <w:rPr>
                <w:sz w:val="14"/>
              </w:rPr>
              <w:t>Identify rightsizing and idle-resource opportunities.</w:t>
            </w:r>
          </w:p>
        </w:tc>
      </w:tr>
      <w:tr>
        <w:trPr>
          <w:cantSplit/>
        </w:trPr>
        <w:tc>
          <w:tcPr>
            <w:tcW w:type="dxa" w:w="2232"/>
            <w:tcMar>
              <w:top w:w="65" w:type="dxa"/>
              <w:start w:w="85" w:type="dxa"/>
              <w:bottom w:w="65" w:type="dxa"/>
              <w:end w:w="85" w:type="dxa"/>
            </w:tcMar>
            <w:vAlign w:val="top"/>
          </w:tcPr>
          <w:p>
            <w:r>
              <w:rPr>
                <w:sz w:val="14"/>
              </w:rPr>
              <w:t>Commitments</w:t>
            </w:r>
          </w:p>
        </w:tc>
        <w:tc>
          <w:tcPr>
            <w:tcW w:type="dxa" w:w="2952"/>
            <w:tcMar>
              <w:top w:w="65" w:type="dxa"/>
              <w:start w:w="85" w:type="dxa"/>
              <w:bottom w:w="65" w:type="dxa"/>
              <w:end w:w="85" w:type="dxa"/>
            </w:tcMar>
            <w:vAlign w:val="top"/>
          </w:tcPr>
          <w:p>
            <w:r>
              <w:rPr>
                <w:sz w:val="14"/>
              </w:rPr>
              <w:t>Committed use discounts</w:t>
            </w:r>
          </w:p>
        </w:tc>
        <w:tc>
          <w:tcPr>
            <w:tcW w:type="dxa" w:w="4824"/>
            <w:tcMar>
              <w:top w:w="65" w:type="dxa"/>
              <w:start w:w="85" w:type="dxa"/>
              <w:bottom w:w="65" w:type="dxa"/>
              <w:end w:w="85" w:type="dxa"/>
            </w:tcMar>
            <w:vAlign w:val="top"/>
          </w:tcPr>
          <w:p>
            <w:r>
              <w:rPr>
                <w:sz w:val="14"/>
              </w:rPr>
              <w:t>Discount stable eligible usage.</w:t>
            </w:r>
          </w:p>
        </w:tc>
      </w:tr>
      <w:tr>
        <w:trPr>
          <w:cantSplit/>
        </w:trPr>
        <w:tc>
          <w:tcPr>
            <w:tcW w:type="dxa" w:w="2232"/>
            <w:tcMar>
              <w:top w:w="65" w:type="dxa"/>
              <w:start w:w="85" w:type="dxa"/>
              <w:bottom w:w="65" w:type="dxa"/>
              <w:end w:w="85" w:type="dxa"/>
            </w:tcMar>
            <w:vAlign w:val="top"/>
          </w:tcPr>
          <w:p>
            <w:r>
              <w:rPr>
                <w:sz w:val="14"/>
              </w:rPr>
              <w:t>Governance</w:t>
            </w:r>
          </w:p>
        </w:tc>
        <w:tc>
          <w:tcPr>
            <w:tcW w:type="dxa" w:w="2952"/>
            <w:tcMar>
              <w:top w:w="65" w:type="dxa"/>
              <w:start w:w="85" w:type="dxa"/>
              <w:bottom w:w="65" w:type="dxa"/>
              <w:end w:w="85" w:type="dxa"/>
            </w:tcMar>
            <w:vAlign w:val="top"/>
          </w:tcPr>
          <w:p>
            <w:r>
              <w:rPr>
                <w:sz w:val="14"/>
              </w:rPr>
              <w:t>Tags / labels / project hierarchy</w:t>
            </w:r>
          </w:p>
        </w:tc>
        <w:tc>
          <w:tcPr>
            <w:tcW w:type="dxa" w:w="4824"/>
            <w:tcMar>
              <w:top w:w="65" w:type="dxa"/>
              <w:start w:w="85" w:type="dxa"/>
              <w:bottom w:w="65" w:type="dxa"/>
              <w:end w:w="85" w:type="dxa"/>
            </w:tcMar>
            <w:vAlign w:val="top"/>
          </w:tcPr>
          <w:p>
            <w:r>
              <w:rPr>
                <w:sz w:val="14"/>
              </w:rPr>
              <w:t>Allocate ownership and apply policy.</w:t>
            </w:r>
          </w:p>
        </w:tc>
      </w:tr>
      <w:tr>
        <w:trPr>
          <w:cantSplit/>
        </w:trPr>
        <w:tc>
          <w:tcPr>
            <w:tcW w:type="dxa" w:w="2232"/>
            <w:tcMar>
              <w:top w:w="65" w:type="dxa"/>
              <w:start w:w="85" w:type="dxa"/>
              <w:bottom w:w="65" w:type="dxa"/>
              <w:end w:w="85" w:type="dxa"/>
            </w:tcMar>
            <w:vAlign w:val="top"/>
          </w:tcPr>
          <w:p>
            <w:r>
              <w:rPr>
                <w:sz w:val="14"/>
              </w:rPr>
              <w:t>FinOps</w:t>
            </w:r>
          </w:p>
        </w:tc>
        <w:tc>
          <w:tcPr>
            <w:tcW w:type="dxa" w:w="2952"/>
            <w:tcMar>
              <w:top w:w="65" w:type="dxa"/>
              <w:start w:w="85" w:type="dxa"/>
              <w:bottom w:w="65" w:type="dxa"/>
              <w:end w:w="85" w:type="dxa"/>
            </w:tcMar>
            <w:vAlign w:val="top"/>
          </w:tcPr>
          <w:p>
            <w:r>
              <w:rPr>
                <w:sz w:val="14"/>
              </w:rPr>
              <w:t>FinOps Hub</w:t>
            </w:r>
          </w:p>
        </w:tc>
        <w:tc>
          <w:tcPr>
            <w:tcW w:type="dxa" w:w="4824"/>
            <w:tcMar>
              <w:top w:w="65" w:type="dxa"/>
              <w:start w:w="85" w:type="dxa"/>
              <w:bottom w:w="65" w:type="dxa"/>
              <w:end w:w="85" w:type="dxa"/>
            </w:tcMar>
            <w:vAlign w:val="top"/>
          </w:tcPr>
          <w:p>
            <w:r>
              <w:rPr>
                <w:sz w:val="14"/>
              </w:rPr>
              <w:t>Centralize optimization and FinOps insights.</w:t>
            </w:r>
          </w:p>
        </w:tc>
      </w:tr>
    </w:tbl>
    <w:p>
      <w:pPr>
        <w:pStyle w:val="Heading2"/>
        <w:keepNext/>
      </w:pPr>
      <w:r>
        <w:t>Architecture and Operating Decisions</w:t>
      </w:r>
    </w:p>
    <w:p>
      <w:pPr>
        <w:pStyle w:val="ListBullet"/>
      </w:pPr>
      <w:r>
        <w:t>Use Google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committed use discounts and rightsizing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finops:</w:t>
              <w:br/>
              <w:t xml:space="preserve">  export: detailed_billing_to_bigquery</w:t>
              <w:br/>
              <w:t xml:space="preserve">  allocation: project_plus_tags</w:t>
              <w:br/>
              <w:t xml:space="preserve">  budgets: owner_and_product</w:t>
              <w:br/>
              <w:t xml:space="preserve">  recommendations: reviewed_with_slo_context</w:t>
              <w:br/>
              <w:t xml:space="preserve">  commitments: conservative_baseline</w:t>
              <w:br/>
              <w:t xml:space="preserve">  unit_metrics: [cost_per_request, cost_per_dataset_processed]</w:t>
              <w:br/>
              <w:t xml:space="preserve">  cadence: weekly_operations_monthly_commitments</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google cloud finops, billing exports and resource governance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39: Build a Google Cloud Billing and Unit-Cost Dashboard</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google cloud finops, billing exports and resource governance using fictional enterprise requirements.</w:t>
      </w:r>
    </w:p>
    <w:p>
      <w:pPr>
        <w:ind w:left="360" w:hanging="360"/>
      </w:pPr>
      <w:r>
        <w:rPr>
          <w:b/>
        </w:rPr>
        <w:t xml:space="preserve">2. </w:t>
      </w:r>
      <w:r>
        <w:t>Implement the smallest safe sandbox using Cloud Billing export to BigQuery, Budgets and alerts, Active Assist / Recommender;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Google Cloud FinOps, Billing Exports and Resource Governance?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Google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Cloud Billing export and cost allocation defines a key architecture boundary.</w:t>
      </w:r>
    </w:p>
    <w:p>
      <w:pPr>
        <w:pStyle w:val="ListBullet"/>
      </w:pPr>
      <w:r>
        <w:t>Budgets, quotas and anomaly operations must be automated and least-privileged.</w:t>
      </w:r>
    </w:p>
    <w:p>
      <w:pPr>
        <w:pStyle w:val="ListBullet"/>
      </w:pPr>
      <w:r>
        <w:t>Committed use discounts and rightsizing requires policy, telemetry and recovery evidence.</w:t>
      </w:r>
    </w:p>
    <w:p>
      <w:pPr>
        <w:pStyle w:val="ListBullet"/>
      </w:pPr>
      <w:r>
        <w:t>FinOps Hub, Active Assist and unit economics should be tested before production and after material change.</w:t>
      </w:r>
    </w:p>
    <w:p>
      <w:r>
        <w:br w:type="page"/>
      </w:r>
    </w:p>
    <w:p>
      <w:pPr>
        <w:jc w:val="center"/>
      </w:pPr>
      <w:r>
        <w:rPr>
          <w:b/>
          <w:color w:val="14919B"/>
          <w:sz w:val="17"/>
        </w:rPr>
        <w:t>VOLUME 12D  |  CHAPTER 40</w:t>
      </w:r>
    </w:p>
    <w:p>
      <w:pPr>
        <w:pStyle w:val="Heading1"/>
        <w:jc w:val="center"/>
      </w:pPr>
      <w:r>
        <w:t>Chapter 40: Google Cloud Enterprise Foundation Capstone</w:t>
      </w:r>
    </w:p>
    <w:p>
      <w:pPr>
        <w:jc w:val="center"/>
      </w:pPr>
      <w:r>
        <w:rPr>
          <w:i/>
          <w:color w:val="4B5563"/>
          <w:sz w:val="20"/>
        </w:rPr>
        <w:t>Delivering a governed project from request to recovery and closure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The Google Cloud foundation is complete when project vending, Shared VPC, IAM, policy, security, telemetry, cost and recovery operate as one tested platform product.</w:t>
            </w:r>
          </w:p>
        </w:tc>
      </w:tr>
    </w:tbl>
    <w:p>
      <w:pPr>
        <w:spacing w:after="0"/>
      </w:pPr>
    </w:p>
    <w:p>
      <w:pPr>
        <w:pStyle w:val="Heading2"/>
        <w:keepNext/>
      </w:pPr>
      <w:r>
        <w:t>Learning Objectives</w:t>
      </w:r>
    </w:p>
    <w:p>
      <w:pPr>
        <w:pStyle w:val="ListBullet"/>
      </w:pPr>
      <w:r>
        <w:t>Explain the architecture, responsibility boundaries and major trade-offs of project factory and organization policy.</w:t>
      </w:r>
    </w:p>
    <w:p>
      <w:pPr>
        <w:pStyle w:val="ListBullet"/>
      </w:pPr>
      <w:r>
        <w:t>Design shared vpc and private connectivity for enterprise scale, least privilege and bounded failure.</w:t>
      </w:r>
    </w:p>
    <w:p>
      <w:pPr>
        <w:pStyle w:val="ListBullet"/>
      </w:pPr>
      <w:r>
        <w:t>Implement workload deployment and recovery through version-controlled automation and policy checks.</w:t>
      </w:r>
    </w:p>
    <w:p>
      <w:pPr>
        <w:pStyle w:val="ListBullet"/>
      </w:pPr>
      <w:r>
        <w:t>Troubleshoot security, operations, cost and lifecycle evidence using provider-native telemetry and repeatable evidence.</w:t>
      </w:r>
    </w:p>
    <w:p>
      <w:pPr>
        <w:pStyle w:val="ListBullet"/>
      </w:pPr>
      <w:r>
        <w:t>Deliver a sanitized portfolio artifact for deliver the google cloud enterprise foundation capstone.</w:t>
      </w:r>
    </w:p>
    <w:p>
      <w:pPr>
        <w:pStyle w:val="Heading2"/>
        <w:keepNext/>
      </w:pPr>
      <w:r>
        <w:t>Core Concepts</w:t>
      </w:r>
    </w:p>
    <w:p>
      <w:pPr>
        <w:pStyle w:val="Heading3"/>
        <w:keepNext/>
      </w:pPr>
      <w:r>
        <w:t>Project factory and organization policy</w:t>
      </w:r>
    </w:p>
    <w:p>
      <w:pPr>
        <w:keepNext w:val="0"/>
      </w:pPr>
      <w:r>
        <w:t>Project factory and organization policy is a design boundary, not merely a console feature. In Google Cloud Enterprise Foundation Capstone, the team must document ownership, trust assumptions, dependency direction, failure impact and the evidence used to prove the control. The recommended implementation uses Organization / folders / projects, IAM / federation / workload identity, Shared VPC / Interconnect / PSC, SCC / VPC SC / KMS only where they satisfy an explicit requirement; equivalent services are not automatically interchangeable.</w:t>
      </w:r>
    </w:p>
    <w:p>
      <w:pPr>
        <w:pStyle w:val="Heading3"/>
        <w:keepNext/>
      </w:pPr>
      <w:r>
        <w:t>Shared VPC and private connectivity</w:t>
      </w:r>
    </w:p>
    <w:p>
      <w:pPr>
        <w:keepNext w:val="0"/>
      </w:pPr>
      <w:r>
        <w:t>A production implementation of Shared VPC and private connectivity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Workload deployment and recovery</w:t>
      </w:r>
    </w:p>
    <w:p>
      <w:pPr>
        <w:keepNext w:val="0"/>
      </w:pPr>
      <w:r>
        <w:t>For Workload deployment and recovery,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Security, operations, cost and lifecycle evidence</w:t>
      </w:r>
    </w:p>
    <w:p>
      <w:pPr>
        <w:keepNext w:val="0"/>
      </w:pPr>
      <w:r>
        <w:t>The strongest validation for Security, operations, cost and lifecycle evidence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Hierarchy</w:t>
            </w:r>
          </w:p>
        </w:tc>
        <w:tc>
          <w:tcPr>
            <w:tcW w:type="dxa" w:w="2952"/>
            <w:tcMar>
              <w:top w:w="65" w:type="dxa"/>
              <w:start w:w="85" w:type="dxa"/>
              <w:bottom w:w="65" w:type="dxa"/>
              <w:end w:w="85" w:type="dxa"/>
            </w:tcMar>
            <w:vAlign w:val="top"/>
          </w:tcPr>
          <w:p>
            <w:r>
              <w:rPr>
                <w:sz w:val="14"/>
              </w:rPr>
              <w:t>Organization / folders / projects</w:t>
            </w:r>
          </w:p>
        </w:tc>
        <w:tc>
          <w:tcPr>
            <w:tcW w:type="dxa" w:w="4824"/>
            <w:tcMar>
              <w:top w:w="65" w:type="dxa"/>
              <w:start w:w="85" w:type="dxa"/>
              <w:bottom w:w="65" w:type="dxa"/>
              <w:end w:w="85" w:type="dxa"/>
            </w:tcMar>
            <w:vAlign w:val="top"/>
          </w:tcPr>
          <w:p>
            <w:r>
              <w:rPr>
                <w:sz w:val="14"/>
              </w:rPr>
              <w:t>Provide governance and workload boundaries.</w:t>
            </w:r>
          </w:p>
        </w:tc>
      </w:tr>
      <w:tr>
        <w:trPr>
          <w:cantSplit/>
        </w:trPr>
        <w:tc>
          <w:tcPr>
            <w:tcW w:type="dxa" w:w="2232"/>
            <w:tcMar>
              <w:top w:w="65" w:type="dxa"/>
              <w:start w:w="85" w:type="dxa"/>
              <w:bottom w:w="65" w:type="dxa"/>
              <w:end w:w="85" w:type="dxa"/>
            </w:tcMar>
            <w:vAlign w:val="top"/>
          </w:tcPr>
          <w:p>
            <w:r>
              <w:rPr>
                <w:sz w:val="14"/>
              </w:rPr>
              <w:t>Identity</w:t>
            </w:r>
          </w:p>
        </w:tc>
        <w:tc>
          <w:tcPr>
            <w:tcW w:type="dxa" w:w="2952"/>
            <w:tcMar>
              <w:top w:w="65" w:type="dxa"/>
              <w:start w:w="85" w:type="dxa"/>
              <w:bottom w:w="65" w:type="dxa"/>
              <w:end w:w="85" w:type="dxa"/>
            </w:tcMar>
            <w:vAlign w:val="top"/>
          </w:tcPr>
          <w:p>
            <w:r>
              <w:rPr>
                <w:sz w:val="14"/>
              </w:rPr>
              <w:t>IAM / federation / workload identity</w:t>
            </w:r>
          </w:p>
        </w:tc>
        <w:tc>
          <w:tcPr>
            <w:tcW w:type="dxa" w:w="4824"/>
            <w:tcMar>
              <w:top w:w="65" w:type="dxa"/>
              <w:start w:w="85" w:type="dxa"/>
              <w:bottom w:w="65" w:type="dxa"/>
              <w:end w:w="85" w:type="dxa"/>
            </w:tcMar>
            <w:vAlign w:val="top"/>
          </w:tcPr>
          <w:p>
            <w:r>
              <w:rPr>
                <w:sz w:val="14"/>
              </w:rPr>
              <w:t>Control workforce and software access.</w:t>
            </w:r>
          </w:p>
        </w:tc>
      </w:tr>
      <w:tr>
        <w:trPr>
          <w:cantSplit/>
        </w:trPr>
        <w:tc>
          <w:tcPr>
            <w:tcW w:type="dxa" w:w="2232"/>
            <w:tcMar>
              <w:top w:w="65" w:type="dxa"/>
              <w:start w:w="85" w:type="dxa"/>
              <w:bottom w:w="65" w:type="dxa"/>
              <w:end w:w="85" w:type="dxa"/>
            </w:tcMar>
            <w:vAlign w:val="top"/>
          </w:tcPr>
          <w:p>
            <w:r>
              <w:rPr>
                <w:sz w:val="14"/>
              </w:rPr>
              <w:t>Network</w:t>
            </w:r>
          </w:p>
        </w:tc>
        <w:tc>
          <w:tcPr>
            <w:tcW w:type="dxa" w:w="2952"/>
            <w:tcMar>
              <w:top w:w="65" w:type="dxa"/>
              <w:start w:w="85" w:type="dxa"/>
              <w:bottom w:w="65" w:type="dxa"/>
              <w:end w:w="85" w:type="dxa"/>
            </w:tcMar>
            <w:vAlign w:val="top"/>
          </w:tcPr>
          <w:p>
            <w:r>
              <w:rPr>
                <w:sz w:val="14"/>
              </w:rPr>
              <w:t>Shared VPC / Interconnect / PSC</w:t>
            </w:r>
          </w:p>
        </w:tc>
        <w:tc>
          <w:tcPr>
            <w:tcW w:type="dxa" w:w="4824"/>
            <w:tcMar>
              <w:top w:w="65" w:type="dxa"/>
              <w:start w:w="85" w:type="dxa"/>
              <w:bottom w:w="65" w:type="dxa"/>
              <w:end w:w="85" w:type="dxa"/>
            </w:tcMar>
            <w:vAlign w:val="top"/>
          </w:tcPr>
          <w:p>
            <w:r>
              <w:rPr>
                <w:sz w:val="14"/>
              </w:rPr>
              <w:t>Provide governed connectivity.</w:t>
            </w:r>
          </w:p>
        </w:tc>
      </w:tr>
      <w:tr>
        <w:trPr>
          <w:cantSplit/>
        </w:trPr>
        <w:tc>
          <w:tcPr>
            <w:tcW w:type="dxa" w:w="2232"/>
            <w:tcMar>
              <w:top w:w="65" w:type="dxa"/>
              <w:start w:w="85" w:type="dxa"/>
              <w:bottom w:w="65" w:type="dxa"/>
              <w:end w:w="85" w:type="dxa"/>
            </w:tcMar>
            <w:vAlign w:val="top"/>
          </w:tcPr>
          <w:p>
            <w:r>
              <w:rPr>
                <w:sz w:val="14"/>
              </w:rPr>
              <w:t>Security</w:t>
            </w:r>
          </w:p>
        </w:tc>
        <w:tc>
          <w:tcPr>
            <w:tcW w:type="dxa" w:w="2952"/>
            <w:tcMar>
              <w:top w:w="65" w:type="dxa"/>
              <w:start w:w="85" w:type="dxa"/>
              <w:bottom w:w="65" w:type="dxa"/>
              <w:end w:w="85" w:type="dxa"/>
            </w:tcMar>
            <w:vAlign w:val="top"/>
          </w:tcPr>
          <w:p>
            <w:r>
              <w:rPr>
                <w:sz w:val="14"/>
              </w:rPr>
              <w:t>SCC / VPC SC / KMS</w:t>
            </w:r>
          </w:p>
        </w:tc>
        <w:tc>
          <w:tcPr>
            <w:tcW w:type="dxa" w:w="4824"/>
            <w:tcMar>
              <w:top w:w="65" w:type="dxa"/>
              <w:start w:w="85" w:type="dxa"/>
              <w:bottom w:w="65" w:type="dxa"/>
              <w:end w:w="85" w:type="dxa"/>
            </w:tcMar>
            <w:vAlign w:val="top"/>
          </w:tcPr>
          <w:p>
            <w:r>
              <w:rPr>
                <w:sz w:val="14"/>
              </w:rPr>
              <w:t>Protect configuration and sensitive data.</w:t>
            </w:r>
          </w:p>
        </w:tc>
      </w:tr>
      <w:tr>
        <w:trPr>
          <w:cantSplit/>
        </w:trPr>
        <w:tc>
          <w:tcPr>
            <w:tcW w:type="dxa" w:w="2232"/>
            <w:tcMar>
              <w:top w:w="65" w:type="dxa"/>
              <w:start w:w="85" w:type="dxa"/>
              <w:bottom w:w="65" w:type="dxa"/>
              <w:end w:w="85" w:type="dxa"/>
            </w:tcMar>
            <w:vAlign w:val="top"/>
          </w:tcPr>
          <w:p>
            <w:r>
              <w:rPr>
                <w:sz w:val="14"/>
              </w:rPr>
              <w:t>Operations</w:t>
            </w:r>
          </w:p>
        </w:tc>
        <w:tc>
          <w:tcPr>
            <w:tcW w:type="dxa" w:w="2952"/>
            <w:tcMar>
              <w:top w:w="65" w:type="dxa"/>
              <w:start w:w="85" w:type="dxa"/>
              <w:bottom w:w="65" w:type="dxa"/>
              <w:end w:w="85" w:type="dxa"/>
            </w:tcMar>
            <w:vAlign w:val="top"/>
          </w:tcPr>
          <w:p>
            <w:r>
              <w:rPr>
                <w:sz w:val="14"/>
              </w:rPr>
              <w:t>Cloud Operations suite</w:t>
            </w:r>
          </w:p>
        </w:tc>
        <w:tc>
          <w:tcPr>
            <w:tcW w:type="dxa" w:w="4824"/>
            <w:tcMar>
              <w:top w:w="65" w:type="dxa"/>
              <w:start w:w="85" w:type="dxa"/>
              <w:bottom w:w="65" w:type="dxa"/>
              <w:end w:w="85" w:type="dxa"/>
            </w:tcMar>
            <w:vAlign w:val="top"/>
          </w:tcPr>
          <w:p>
            <w:r>
              <w:rPr>
                <w:sz w:val="14"/>
              </w:rPr>
              <w:t>Monitor and investigate workloads.</w:t>
            </w:r>
          </w:p>
        </w:tc>
      </w:tr>
      <w:tr>
        <w:trPr>
          <w:cantSplit/>
        </w:trPr>
        <w:tc>
          <w:tcPr>
            <w:tcW w:type="dxa" w:w="2232"/>
            <w:tcMar>
              <w:top w:w="65" w:type="dxa"/>
              <w:start w:w="85" w:type="dxa"/>
              <w:bottom w:w="65" w:type="dxa"/>
              <w:end w:w="85" w:type="dxa"/>
            </w:tcMar>
            <w:vAlign w:val="top"/>
          </w:tcPr>
          <w:p>
            <w:r>
              <w:rPr>
                <w:sz w:val="14"/>
              </w:rPr>
              <w:t>Cost</w:t>
            </w:r>
          </w:p>
        </w:tc>
        <w:tc>
          <w:tcPr>
            <w:tcW w:type="dxa" w:w="2952"/>
            <w:tcMar>
              <w:top w:w="65" w:type="dxa"/>
              <w:start w:w="85" w:type="dxa"/>
              <w:bottom w:w="65" w:type="dxa"/>
              <w:end w:w="85" w:type="dxa"/>
            </w:tcMar>
            <w:vAlign w:val="top"/>
          </w:tcPr>
          <w:p>
            <w:r>
              <w:rPr>
                <w:sz w:val="14"/>
              </w:rPr>
              <w:t>Billing export / budgets</w:t>
            </w:r>
          </w:p>
        </w:tc>
        <w:tc>
          <w:tcPr>
            <w:tcW w:type="dxa" w:w="4824"/>
            <w:tcMar>
              <w:top w:w="65" w:type="dxa"/>
              <w:start w:w="85" w:type="dxa"/>
              <w:bottom w:w="65" w:type="dxa"/>
              <w:end w:w="85" w:type="dxa"/>
            </w:tcMar>
            <w:vAlign w:val="top"/>
          </w:tcPr>
          <w:p>
            <w:r>
              <w:rPr>
                <w:sz w:val="14"/>
              </w:rPr>
              <w:t>Allocate and govern spend.</w:t>
            </w:r>
          </w:p>
        </w:tc>
      </w:tr>
    </w:tbl>
    <w:p>
      <w:pPr>
        <w:pStyle w:val="Heading2"/>
        <w:keepNext/>
      </w:pPr>
      <w:r>
        <w:t>Architecture and Operating Decisions</w:t>
      </w:r>
    </w:p>
    <w:p>
      <w:pPr>
        <w:pStyle w:val="ListBullet"/>
      </w:pPr>
      <w:r>
        <w:t>Use Google Cloud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workload deployment and recovery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acceptance:</w:t>
              <w:br/>
              <w:t xml:space="preserve">  project_vending_minutes: 30</w:t>
              <w:br/>
              <w:t xml:space="preserve">  service_account_keys: 0</w:t>
              <w:br/>
              <w:t xml:space="preserve">  public_storage_prevention: enforced</w:t>
              <w:br/>
              <w:t xml:space="preserve">  central_audit_visibility_minutes: 5</w:t>
              <w:br/>
              <w:t xml:space="preserve">  regional_recovery_tested: true</w:t>
              <w:br/>
              <w:t xml:space="preserve">  allocation_coverage_percent: 100</w:t>
              <w:br/>
              <w:t xml:space="preserve">  teardown_residual_billable_resources: 0</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google cloud enterprise foundation capstone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40: Deliver the Google Cloud Enterprise Foundation Capstone</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google cloud enterprise foundation capstone using fictional enterprise requirements.</w:t>
      </w:r>
    </w:p>
    <w:p>
      <w:pPr>
        <w:ind w:left="360" w:hanging="360"/>
      </w:pPr>
      <w:r>
        <w:rPr>
          <w:b/>
        </w:rPr>
        <w:t xml:space="preserve">2. </w:t>
      </w:r>
      <w:r>
        <w:t>Implement the smallest safe sandbox using Organization / folders / projects, IAM / federation / workload identity, Shared VPC / Interconnect / PSC;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Google Cloud Enterprise Foundation Capstone?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Google Cloud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Project factory and organization policy defines a key architecture boundary.</w:t>
      </w:r>
    </w:p>
    <w:p>
      <w:pPr>
        <w:pStyle w:val="ListBullet"/>
      </w:pPr>
      <w:r>
        <w:t>Shared VPC and private connectivity must be automated and least-privileged.</w:t>
      </w:r>
    </w:p>
    <w:p>
      <w:pPr>
        <w:pStyle w:val="ListBullet"/>
      </w:pPr>
      <w:r>
        <w:t>Workload deployment and recovery requires policy, telemetry and recovery evidence.</w:t>
      </w:r>
    </w:p>
    <w:p>
      <w:pPr>
        <w:pStyle w:val="ListBullet"/>
      </w:pPr>
      <w:r>
        <w:t>Security, operations, cost and lifecycle evidence should be tested before production and after material change.</w:t>
      </w:r>
    </w:p>
    <w:p>
      <w:r>
        <w:br w:type="page"/>
      </w:r>
    </w:p>
    <w:p>
      <w:pPr>
        <w:pStyle w:val="Heading1"/>
        <w:keepNext w:val="0"/>
      </w:pPr>
      <w:r>
        <w:t>Google Cloud Enterprise Architecture and Operations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Use this reference to review architecture outcomes, implementation controls and the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176B87"/>
            <w:tcMar>
              <w:top w:w="65" w:type="dxa"/>
              <w:start w:w="85" w:type="dxa"/>
              <w:bottom w:w="65" w:type="dxa"/>
              <w:end w:w="85" w:type="dxa"/>
            </w:tcMar>
            <w:vAlign w:val="center"/>
          </w:tcPr>
          <w:p>
            <w:r>
              <w:rPr>
                <w:b/>
                <w:color w:val="FFFFFF"/>
                <w:sz w:val="14"/>
              </w:rPr>
              <w:t>Domain</w:t>
            </w:r>
          </w:p>
        </w:tc>
        <w:tc>
          <w:tcPr>
            <w:tcW w:type="dxa" w:w="4104"/>
            <w:shd w:fill="176B87"/>
            <w:tcMar>
              <w:top w:w="65" w:type="dxa"/>
              <w:start w:w="85" w:type="dxa"/>
              <w:bottom w:w="65" w:type="dxa"/>
              <w:end w:w="85" w:type="dxa"/>
            </w:tcMar>
            <w:vAlign w:val="center"/>
          </w:tcPr>
          <w:p>
            <w:r>
              <w:rPr>
                <w:b/>
                <w:color w:val="FFFFFF"/>
                <w:sz w:val="14"/>
              </w:rPr>
              <w:t>Required outcome</w:t>
            </w:r>
          </w:p>
        </w:tc>
        <w:tc>
          <w:tcPr>
            <w:tcW w:type="dxa" w:w="4464"/>
            <w:shd w:fill="176B87"/>
            <w:tcMar>
              <w:top w:w="65" w:type="dxa"/>
              <w:start w:w="85" w:type="dxa"/>
              <w:bottom w:w="65" w:type="dxa"/>
              <w:end w:w="85" w:type="dxa"/>
            </w:tcMar>
            <w:vAlign w:val="center"/>
          </w:tcPr>
          <w:p>
            <w:r>
              <w:rPr>
                <w:b/>
                <w:color w:val="FFFFFF"/>
                <w:sz w:val="14"/>
              </w:rPr>
              <w:t>Validation evidence</w:t>
            </w:r>
          </w:p>
        </w:tc>
      </w:tr>
      <w:tr>
        <w:trPr>
          <w:cantSplit/>
        </w:trPr>
        <w:tc>
          <w:tcPr>
            <w:tcW w:type="dxa" w:w="1512"/>
            <w:tcMar>
              <w:top w:w="65" w:type="dxa"/>
              <w:start w:w="85" w:type="dxa"/>
              <w:bottom w:w="65" w:type="dxa"/>
              <w:end w:w="85" w:type="dxa"/>
            </w:tcMar>
            <w:vAlign w:val="top"/>
          </w:tcPr>
          <w:p>
            <w:r>
              <w:rPr>
                <w:sz w:val="14"/>
              </w:rPr>
              <w:t>Hierarchy and ownership</w:t>
            </w:r>
          </w:p>
        </w:tc>
        <w:tc>
          <w:tcPr>
            <w:tcW w:type="dxa" w:w="4104"/>
            <w:tcMar>
              <w:top w:w="65" w:type="dxa"/>
              <w:start w:w="85" w:type="dxa"/>
              <w:bottom w:w="65" w:type="dxa"/>
              <w:end w:w="85" w:type="dxa"/>
            </w:tcMar>
            <w:vAlign w:val="top"/>
          </w:tcPr>
          <w:p>
            <w:r>
              <w:rPr>
                <w:sz w:val="14"/>
              </w:rPr>
              <w:t>Durable resource boundaries with accountable owners</w:t>
            </w:r>
          </w:p>
        </w:tc>
        <w:tc>
          <w:tcPr>
            <w:tcW w:type="dxa" w:w="4464"/>
            <w:tcMar>
              <w:top w:w="65" w:type="dxa"/>
              <w:start w:w="85" w:type="dxa"/>
              <w:bottom w:w="65" w:type="dxa"/>
              <w:end w:w="85" w:type="dxa"/>
            </w:tcMar>
            <w:vAlign w:val="top"/>
          </w:tcPr>
          <w:p>
            <w:r>
              <w:rPr>
                <w:sz w:val="14"/>
              </w:rPr>
              <w:t>Inventory, effective policy and lifecycle tests</w:t>
            </w:r>
          </w:p>
        </w:tc>
      </w:tr>
      <w:tr>
        <w:trPr>
          <w:cantSplit/>
        </w:trPr>
        <w:tc>
          <w:tcPr>
            <w:tcW w:type="dxa" w:w="1512"/>
            <w:tcMar>
              <w:top w:w="65" w:type="dxa"/>
              <w:start w:w="85" w:type="dxa"/>
              <w:bottom w:w="65" w:type="dxa"/>
              <w:end w:w="85" w:type="dxa"/>
            </w:tcMar>
            <w:vAlign w:val="top"/>
          </w:tcPr>
          <w:p>
            <w:r>
              <w:rPr>
                <w:sz w:val="14"/>
              </w:rPr>
              <w:t>Identity</w:t>
            </w:r>
          </w:p>
        </w:tc>
        <w:tc>
          <w:tcPr>
            <w:tcW w:type="dxa" w:w="4104"/>
            <w:tcMar>
              <w:top w:w="65" w:type="dxa"/>
              <w:start w:w="85" w:type="dxa"/>
              <w:bottom w:w="65" w:type="dxa"/>
              <w:end w:w="85" w:type="dxa"/>
            </w:tcMar>
            <w:vAlign w:val="top"/>
          </w:tcPr>
          <w:p>
            <w:r>
              <w:rPr>
                <w:sz w:val="14"/>
              </w:rPr>
              <w:t>Federated humans and keyless workloads</w:t>
            </w:r>
          </w:p>
        </w:tc>
        <w:tc>
          <w:tcPr>
            <w:tcW w:type="dxa" w:w="4464"/>
            <w:tcMar>
              <w:top w:w="65" w:type="dxa"/>
              <w:start w:w="85" w:type="dxa"/>
              <w:bottom w:w="65" w:type="dxa"/>
              <w:end w:w="85" w:type="dxa"/>
            </w:tcMar>
            <w:vAlign w:val="top"/>
          </w:tcPr>
          <w:p>
            <w:r>
              <w:rPr>
                <w:sz w:val="14"/>
              </w:rPr>
              <w:t>Token, role, access-review and denied-action evidence</w:t>
            </w:r>
          </w:p>
        </w:tc>
      </w:tr>
      <w:tr>
        <w:trPr>
          <w:cantSplit/>
        </w:trPr>
        <w:tc>
          <w:tcPr>
            <w:tcW w:type="dxa" w:w="1512"/>
            <w:tcMar>
              <w:top w:w="65" w:type="dxa"/>
              <w:start w:w="85" w:type="dxa"/>
              <w:bottom w:w="65" w:type="dxa"/>
              <w:end w:w="85" w:type="dxa"/>
            </w:tcMar>
            <w:vAlign w:val="top"/>
          </w:tcPr>
          <w:p>
            <w:r>
              <w:rPr>
                <w:sz w:val="14"/>
              </w:rPr>
              <w:t>Network</w:t>
            </w:r>
          </w:p>
        </w:tc>
        <w:tc>
          <w:tcPr>
            <w:tcW w:type="dxa" w:w="4104"/>
            <w:tcMar>
              <w:top w:w="65" w:type="dxa"/>
              <w:start w:w="85" w:type="dxa"/>
              <w:bottom w:w="65" w:type="dxa"/>
              <w:end w:w="85" w:type="dxa"/>
            </w:tcMar>
            <w:vAlign w:val="top"/>
          </w:tcPr>
          <w:p>
            <w:r>
              <w:rPr>
                <w:sz w:val="14"/>
              </w:rPr>
              <w:t>Approved routes, DNS, private access and egress</w:t>
            </w:r>
          </w:p>
        </w:tc>
        <w:tc>
          <w:tcPr>
            <w:tcW w:type="dxa" w:w="4464"/>
            <w:tcMar>
              <w:top w:w="65" w:type="dxa"/>
              <w:start w:w="85" w:type="dxa"/>
              <w:bottom w:w="65" w:type="dxa"/>
              <w:end w:w="85" w:type="dxa"/>
            </w:tcMar>
            <w:vAlign w:val="top"/>
          </w:tcPr>
          <w:p>
            <w:r>
              <w:rPr>
                <w:sz w:val="14"/>
              </w:rPr>
              <w:t>Reachability, flow, DNS, latency and failover tests</w:t>
            </w:r>
          </w:p>
        </w:tc>
      </w:tr>
      <w:tr>
        <w:trPr>
          <w:cantSplit/>
        </w:trPr>
        <w:tc>
          <w:tcPr>
            <w:tcW w:type="dxa" w:w="1512"/>
            <w:tcMar>
              <w:top w:w="65" w:type="dxa"/>
              <w:start w:w="85" w:type="dxa"/>
              <w:bottom w:w="65" w:type="dxa"/>
              <w:end w:w="85" w:type="dxa"/>
            </w:tcMar>
            <w:vAlign w:val="top"/>
          </w:tcPr>
          <w:p>
            <w:r>
              <w:rPr>
                <w:sz w:val="14"/>
              </w:rPr>
              <w:t>Data</w:t>
            </w:r>
          </w:p>
        </w:tc>
        <w:tc>
          <w:tcPr>
            <w:tcW w:type="dxa" w:w="4104"/>
            <w:tcMar>
              <w:top w:w="65" w:type="dxa"/>
              <w:start w:w="85" w:type="dxa"/>
              <w:bottom w:w="65" w:type="dxa"/>
              <w:end w:w="85" w:type="dxa"/>
            </w:tcMar>
            <w:vAlign w:val="top"/>
          </w:tcPr>
          <w:p>
            <w:r>
              <w:rPr>
                <w:sz w:val="14"/>
              </w:rPr>
              <w:t>Classified, encrypted and recoverable state</w:t>
            </w:r>
          </w:p>
        </w:tc>
        <w:tc>
          <w:tcPr>
            <w:tcW w:type="dxa" w:w="4464"/>
            <w:tcMar>
              <w:top w:w="65" w:type="dxa"/>
              <w:start w:w="85" w:type="dxa"/>
              <w:bottom w:w="65" w:type="dxa"/>
              <w:end w:w="85" w:type="dxa"/>
            </w:tcMar>
            <w:vAlign w:val="top"/>
          </w:tcPr>
          <w:p>
            <w:r>
              <w:rPr>
                <w:sz w:val="14"/>
              </w:rPr>
              <w:t>Backup, restore, reconciliation and exit evidence</w:t>
            </w:r>
          </w:p>
        </w:tc>
      </w:tr>
      <w:tr>
        <w:trPr>
          <w:cantSplit/>
        </w:trPr>
        <w:tc>
          <w:tcPr>
            <w:tcW w:type="dxa" w:w="1512"/>
            <w:tcMar>
              <w:top w:w="65" w:type="dxa"/>
              <w:start w:w="85" w:type="dxa"/>
              <w:bottom w:w="65" w:type="dxa"/>
              <w:end w:w="85" w:type="dxa"/>
            </w:tcMar>
            <w:vAlign w:val="top"/>
          </w:tcPr>
          <w:p>
            <w:r>
              <w:rPr>
                <w:sz w:val="14"/>
              </w:rPr>
              <w:t>Security</w:t>
            </w:r>
          </w:p>
        </w:tc>
        <w:tc>
          <w:tcPr>
            <w:tcW w:type="dxa" w:w="4104"/>
            <w:tcMar>
              <w:top w:w="65" w:type="dxa"/>
              <w:start w:w="85" w:type="dxa"/>
              <w:bottom w:w="65" w:type="dxa"/>
              <w:end w:w="85" w:type="dxa"/>
            </w:tcMar>
            <w:vAlign w:val="top"/>
          </w:tcPr>
          <w:p>
            <w:r>
              <w:rPr>
                <w:sz w:val="14"/>
              </w:rPr>
              <w:t>Preventive, detective and recovery controls</w:t>
            </w:r>
          </w:p>
        </w:tc>
        <w:tc>
          <w:tcPr>
            <w:tcW w:type="dxa" w:w="4464"/>
            <w:tcMar>
              <w:top w:w="65" w:type="dxa"/>
              <w:start w:w="85" w:type="dxa"/>
              <w:bottom w:w="65" w:type="dxa"/>
              <w:end w:w="85" w:type="dxa"/>
            </w:tcMar>
            <w:vAlign w:val="top"/>
          </w:tcPr>
          <w:p>
            <w:r>
              <w:rPr>
                <w:sz w:val="14"/>
              </w:rPr>
              <w:t>Policy results, findings, containment and audit timeline</w:t>
            </w:r>
          </w:p>
        </w:tc>
      </w:tr>
      <w:tr>
        <w:trPr>
          <w:cantSplit/>
        </w:trPr>
        <w:tc>
          <w:tcPr>
            <w:tcW w:type="dxa" w:w="1512"/>
            <w:tcMar>
              <w:top w:w="65" w:type="dxa"/>
              <w:start w:w="85" w:type="dxa"/>
              <w:bottom w:w="65" w:type="dxa"/>
              <w:end w:w="85" w:type="dxa"/>
            </w:tcMar>
            <w:vAlign w:val="top"/>
          </w:tcPr>
          <w:p>
            <w:r>
              <w:rPr>
                <w:sz w:val="14"/>
              </w:rPr>
              <w:t>Operations</w:t>
            </w:r>
          </w:p>
        </w:tc>
        <w:tc>
          <w:tcPr>
            <w:tcW w:type="dxa" w:w="4104"/>
            <w:tcMar>
              <w:top w:w="65" w:type="dxa"/>
              <w:start w:w="85" w:type="dxa"/>
              <w:bottom w:w="65" w:type="dxa"/>
              <w:end w:w="85" w:type="dxa"/>
            </w:tcMar>
            <w:vAlign w:val="top"/>
          </w:tcPr>
          <w:p>
            <w:r>
              <w:rPr>
                <w:sz w:val="14"/>
              </w:rPr>
              <w:t>SLOs, telemetry, runbooks and incident process</w:t>
            </w:r>
          </w:p>
        </w:tc>
        <w:tc>
          <w:tcPr>
            <w:tcW w:type="dxa" w:w="4464"/>
            <w:tcMar>
              <w:top w:w="65" w:type="dxa"/>
              <w:start w:w="85" w:type="dxa"/>
              <w:bottom w:w="65" w:type="dxa"/>
              <w:end w:w="85" w:type="dxa"/>
            </w:tcMar>
            <w:vAlign w:val="top"/>
          </w:tcPr>
          <w:p>
            <w:r>
              <w:rPr>
                <w:sz w:val="14"/>
              </w:rPr>
              <w:t>Dashboards, alerts, drill timeline and postmortem</w:t>
            </w:r>
          </w:p>
        </w:tc>
      </w:tr>
      <w:tr>
        <w:trPr>
          <w:cantSplit/>
        </w:trPr>
        <w:tc>
          <w:tcPr>
            <w:tcW w:type="dxa" w:w="1512"/>
            <w:tcMar>
              <w:top w:w="65" w:type="dxa"/>
              <w:start w:w="85" w:type="dxa"/>
              <w:bottom w:w="65" w:type="dxa"/>
              <w:end w:w="85" w:type="dxa"/>
            </w:tcMar>
            <w:vAlign w:val="top"/>
          </w:tcPr>
          <w:p>
            <w:r>
              <w:rPr>
                <w:sz w:val="14"/>
              </w:rPr>
              <w:t>FinOps</w:t>
            </w:r>
          </w:p>
        </w:tc>
        <w:tc>
          <w:tcPr>
            <w:tcW w:type="dxa" w:w="4104"/>
            <w:tcMar>
              <w:top w:w="65" w:type="dxa"/>
              <w:start w:w="85" w:type="dxa"/>
              <w:bottom w:w="65" w:type="dxa"/>
              <w:end w:w="85" w:type="dxa"/>
            </w:tcMar>
            <w:vAlign w:val="top"/>
          </w:tcPr>
          <w:p>
            <w:r>
              <w:rPr>
                <w:sz w:val="14"/>
              </w:rPr>
              <w:t>Allocation, budgets, unit economics and commitment governance</w:t>
            </w:r>
          </w:p>
        </w:tc>
        <w:tc>
          <w:tcPr>
            <w:tcW w:type="dxa" w:w="4464"/>
            <w:tcMar>
              <w:top w:w="65" w:type="dxa"/>
              <w:start w:w="85" w:type="dxa"/>
              <w:bottom w:w="65" w:type="dxa"/>
              <w:end w:w="85" w:type="dxa"/>
            </w:tcMar>
            <w:vAlign w:val="top"/>
          </w:tcPr>
          <w:p>
            <w:r>
              <w:rPr>
                <w:sz w:val="14"/>
              </w:rPr>
              <w:t>Billing export, owner coverage and optimization record</w:t>
            </w:r>
          </w:p>
        </w:tc>
      </w:tr>
      <w:tr>
        <w:trPr>
          <w:cantSplit/>
        </w:trPr>
        <w:tc>
          <w:tcPr>
            <w:tcW w:type="dxa" w:w="1512"/>
            <w:tcMar>
              <w:top w:w="65" w:type="dxa"/>
              <w:start w:w="85" w:type="dxa"/>
              <w:bottom w:w="65" w:type="dxa"/>
              <w:end w:w="85" w:type="dxa"/>
            </w:tcMar>
            <w:vAlign w:val="top"/>
          </w:tcPr>
          <w:p>
            <w:r>
              <w:rPr>
                <w:sz w:val="14"/>
              </w:rPr>
              <w:t>Delivery</w:t>
            </w:r>
          </w:p>
        </w:tc>
        <w:tc>
          <w:tcPr>
            <w:tcW w:type="dxa" w:w="4104"/>
            <w:tcMar>
              <w:top w:w="65" w:type="dxa"/>
              <w:start w:w="85" w:type="dxa"/>
              <w:bottom w:w="65" w:type="dxa"/>
              <w:end w:w="85" w:type="dxa"/>
            </w:tcMar>
            <w:vAlign w:val="top"/>
          </w:tcPr>
          <w:p>
            <w:r>
              <w:rPr>
                <w:sz w:val="14"/>
              </w:rPr>
              <w:t>Reviewed IaC and immutable artifact promotion</w:t>
            </w:r>
          </w:p>
        </w:tc>
        <w:tc>
          <w:tcPr>
            <w:tcW w:type="dxa" w:w="4464"/>
            <w:tcMar>
              <w:top w:w="65" w:type="dxa"/>
              <w:start w:w="85" w:type="dxa"/>
              <w:bottom w:w="65" w:type="dxa"/>
              <w:end w:w="85" w:type="dxa"/>
            </w:tcMar>
            <w:vAlign w:val="top"/>
          </w:tcPr>
          <w:p>
            <w:r>
              <w:rPr>
                <w:sz w:val="14"/>
              </w:rPr>
              <w:t>Plan, policy, signature, deployment and rollback chain</w:t>
            </w:r>
          </w:p>
        </w:tc>
      </w:tr>
      <w:tr>
        <w:trPr>
          <w:cantSplit/>
        </w:trPr>
        <w:tc>
          <w:tcPr>
            <w:tcW w:type="dxa" w:w="1512"/>
            <w:tcMar>
              <w:top w:w="65" w:type="dxa"/>
              <w:start w:w="85" w:type="dxa"/>
              <w:bottom w:w="65" w:type="dxa"/>
              <w:end w:w="85" w:type="dxa"/>
            </w:tcMar>
            <w:vAlign w:val="top"/>
          </w:tcPr>
          <w:p>
            <w:r>
              <w:rPr>
                <w:sz w:val="14"/>
              </w:rPr>
              <w:t>Reliability</w:t>
            </w:r>
          </w:p>
        </w:tc>
        <w:tc>
          <w:tcPr>
            <w:tcW w:type="dxa" w:w="4104"/>
            <w:tcMar>
              <w:top w:w="65" w:type="dxa"/>
              <w:start w:w="85" w:type="dxa"/>
              <w:bottom w:w="65" w:type="dxa"/>
              <w:end w:w="85" w:type="dxa"/>
            </w:tcMar>
            <w:vAlign w:val="top"/>
          </w:tcPr>
          <w:p>
            <w:r>
              <w:rPr>
                <w:sz w:val="14"/>
              </w:rPr>
              <w:t>Measured capacity, RTO/RPO and failback</w:t>
            </w:r>
          </w:p>
        </w:tc>
        <w:tc>
          <w:tcPr>
            <w:tcW w:type="dxa" w:w="4464"/>
            <w:tcMar>
              <w:top w:w="65" w:type="dxa"/>
              <w:start w:w="85" w:type="dxa"/>
              <w:bottom w:w="65" w:type="dxa"/>
              <w:end w:w="85" w:type="dxa"/>
            </w:tcMar>
            <w:vAlign w:val="top"/>
          </w:tcPr>
          <w:p>
            <w:r>
              <w:rPr>
                <w:sz w:val="14"/>
              </w:rPr>
              <w:t>Load, failure, recovery and integrity tests</w:t>
            </w:r>
          </w:p>
        </w:tc>
      </w:tr>
      <w:tr>
        <w:trPr>
          <w:cantSplit/>
        </w:trPr>
        <w:tc>
          <w:tcPr>
            <w:tcW w:type="dxa" w:w="1512"/>
            <w:tcMar>
              <w:top w:w="65" w:type="dxa"/>
              <w:start w:w="85" w:type="dxa"/>
              <w:bottom w:w="65" w:type="dxa"/>
              <w:end w:w="85" w:type="dxa"/>
            </w:tcMar>
            <w:vAlign w:val="top"/>
          </w:tcPr>
          <w:p>
            <w:r>
              <w:rPr>
                <w:sz w:val="14"/>
              </w:rPr>
              <w:t>Lifecycle</w:t>
            </w:r>
          </w:p>
        </w:tc>
        <w:tc>
          <w:tcPr>
            <w:tcW w:type="dxa" w:w="4104"/>
            <w:tcMar>
              <w:top w:w="65" w:type="dxa"/>
              <w:start w:w="85" w:type="dxa"/>
              <w:bottom w:w="65" w:type="dxa"/>
              <w:end w:w="85" w:type="dxa"/>
            </w:tcMar>
            <w:vAlign w:val="top"/>
          </w:tcPr>
          <w:p>
            <w:r>
              <w:rPr>
                <w:sz w:val="14"/>
              </w:rPr>
              <w:t>Vending, upgrade, exception and closure</w:t>
            </w:r>
          </w:p>
        </w:tc>
        <w:tc>
          <w:tcPr>
            <w:tcW w:type="dxa" w:w="4464"/>
            <w:tcMar>
              <w:top w:w="65" w:type="dxa"/>
              <w:start w:w="85" w:type="dxa"/>
              <w:bottom w:w="65" w:type="dxa"/>
              <w:end w:w="85" w:type="dxa"/>
            </w:tcMar>
            <w:vAlign w:val="top"/>
          </w:tcPr>
          <w:p>
            <w:r>
              <w:rPr>
                <w:sz w:val="14"/>
              </w:rPr>
              <w:t>Fresh deployment, drift and zero-residual teardown</w:t>
            </w:r>
          </w:p>
        </w:tc>
      </w:tr>
    </w:tbl>
    <w:p>
      <w:pPr>
        <w:pStyle w:val="Heading1"/>
        <w:keepNext w:val="0"/>
      </w:pPr>
      <w:r>
        <w:t>Completion Checklist</w:t>
      </w:r>
    </w:p>
    <w:p>
      <w:pPr>
        <w:ind w:left="259" w:hanging="259"/>
      </w:pPr>
      <w:r>
        <w:t>☐ I can explain the architecture and trade-offs in every chapter of 12D.</w:t>
      </w:r>
    </w:p>
    <w:p>
      <w:pPr>
        <w:ind w:left="259" w:hanging="259"/>
      </w:pPr>
      <w:r>
        <w:t>☐ I can implement at least one sandbox pattern through IaC and short-lived identity.</w:t>
      </w:r>
    </w:p>
    <w:p>
      <w:pPr>
        <w:ind w:left="259" w:hanging="259"/>
      </w:pPr>
      <w:r>
        <w:t>☐ I can demonstrate approved, denied and failure behavior with provider-native evidence.</w:t>
      </w:r>
    </w:p>
    <w:p>
      <w:pPr>
        <w:ind w:left="259" w:hanging="259"/>
      </w:pPr>
      <w:r>
        <w:t>☐ I can design private connectivity, data protection, recovery and cost governance.</w:t>
      </w:r>
    </w:p>
    <w:p>
      <w:pPr>
        <w:ind w:left="259" w:hanging="259"/>
      </w:pPr>
      <w:r>
        <w:t>☐ I can produce architecture diagrams, ADRs, runbooks and troubleshooting timelines.</w:t>
      </w:r>
    </w:p>
    <w:p>
      <w:pPr>
        <w:ind w:left="259" w:hanging="259"/>
      </w:pPr>
      <w:r>
        <w:t>☐ I can destroy the lab safely and prove that no unexpected billable resource remains.</w:t>
      </w:r>
    </w:p>
    <w:p>
      <w:pPr>
        <w:pStyle w:val="Heading1"/>
        <w:keepNext w:val="0"/>
      </w:pPr>
      <w:r>
        <w:t>Additional Portfolio Projects</w:t>
      </w:r>
    </w:p>
    <w:p>
      <w:r>
        <w:rPr>
          <w:b/>
        </w:rPr>
        <w:t xml:space="preserve">1. </w:t>
      </w:r>
      <w:r>
        <w:t>Resource vending workflow with ownership, policy, budget and closure automation.</w:t>
      </w:r>
    </w:p>
    <w:p>
      <w:r>
        <w:rPr>
          <w:b/>
        </w:rPr>
        <w:t xml:space="preserve">2. </w:t>
      </w:r>
      <w:r>
        <w:t>Keyless CI/CD identity module and effective-access test harness.</w:t>
      </w:r>
    </w:p>
    <w:p>
      <w:r>
        <w:rPr>
          <w:b/>
        </w:rPr>
        <w:t xml:space="preserve">3. </w:t>
      </w:r>
      <w:r>
        <w:t>Private network and DNS validation pack with route and failure scenarios.</w:t>
      </w:r>
    </w:p>
    <w:p>
      <w:r>
        <w:rPr>
          <w:b/>
        </w:rPr>
        <w:t xml:space="preserve">4. </w:t>
      </w:r>
      <w:r>
        <w:t>Managed data backup, restore and reconciliation project.</w:t>
      </w:r>
    </w:p>
    <w:p>
      <w:r>
        <w:rPr>
          <w:b/>
        </w:rPr>
        <w:t xml:space="preserve">5. </w:t>
      </w:r>
      <w:r>
        <w:t>Security finding triage and automated containment simulation.</w:t>
      </w:r>
    </w:p>
    <w:p>
      <w:r>
        <w:rPr>
          <w:b/>
        </w:rPr>
        <w:t xml:space="preserve">6. </w:t>
      </w:r>
      <w:r>
        <w:t>SLO dashboard and incident-command game day.</w:t>
      </w:r>
    </w:p>
    <w:p>
      <w:r>
        <w:rPr>
          <w:b/>
        </w:rPr>
        <w:t xml:space="preserve">7. </w:t>
      </w:r>
      <w:r>
        <w:t>Billing export, allocation coverage and unit-cost dashboard.</w:t>
      </w:r>
    </w:p>
    <w:p>
      <w:r>
        <w:rPr>
          <w:b/>
        </w:rPr>
        <w:t xml:space="preserve">8. </w:t>
      </w:r>
      <w:r>
        <w:t>IaC provider-upgrade and drift-remediation pipeline.</w:t>
      </w:r>
    </w:p>
    <w:p>
      <w:r>
        <w:rPr>
          <w:b/>
        </w:rPr>
        <w:t xml:space="preserve">9. </w:t>
      </w:r>
      <w:r>
        <w:t>Regional or cross-provider disaster-recovery exercise.</w:t>
      </w:r>
    </w:p>
    <w:p>
      <w:r>
        <w:rPr>
          <w:b/>
        </w:rPr>
        <w:t xml:space="preserve">10. </w:t>
      </w:r>
      <w:r>
        <w:t>Executive architecture brief with decisions, risks, roadmap and measured outcomes.</w:t>
      </w:r>
    </w:p>
    <w:p>
      <w:pPr>
        <w:pStyle w:val="Heading1"/>
        <w:keepNext w:val="0"/>
      </w:pPr>
      <w:r>
        <w:t>30-Day 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65" w:type="dxa"/>
              <w:start w:w="85" w:type="dxa"/>
              <w:bottom w:w="65" w:type="dxa"/>
              <w:end w:w="85" w:type="dxa"/>
            </w:tcMar>
            <w:vAlign w:val="center"/>
          </w:tcPr>
          <w:p>
            <w:r>
              <w:rPr>
                <w:b/>
                <w:color w:val="FFFFFF"/>
                <w:sz w:val="14"/>
              </w:rPr>
              <w:t>Days</w:t>
            </w:r>
          </w:p>
        </w:tc>
        <w:tc>
          <w:tcPr>
            <w:tcW w:type="dxa" w:w="2952"/>
            <w:shd w:fill="176B87"/>
            <w:tcMar>
              <w:top w:w="65" w:type="dxa"/>
              <w:start w:w="85" w:type="dxa"/>
              <w:bottom w:w="65" w:type="dxa"/>
              <w:end w:w="85" w:type="dxa"/>
            </w:tcMar>
            <w:vAlign w:val="center"/>
          </w:tcPr>
          <w:p>
            <w:r>
              <w:rPr>
                <w:b/>
                <w:color w:val="FFFFFF"/>
                <w:sz w:val="14"/>
              </w:rPr>
              <w:t>Focus</w:t>
            </w:r>
          </w:p>
        </w:tc>
        <w:tc>
          <w:tcPr>
            <w:tcW w:type="dxa" w:w="5904"/>
            <w:shd w:fill="176B87"/>
            <w:tcMar>
              <w:top w:w="65" w:type="dxa"/>
              <w:start w:w="85" w:type="dxa"/>
              <w:bottom w:w="65" w:type="dxa"/>
              <w:end w:w="85" w:type="dxa"/>
            </w:tcMar>
            <w:vAlign w:val="center"/>
          </w:tcPr>
          <w:p>
            <w:r>
              <w:rPr>
                <w:b/>
                <w:color w:val="FFFFFF"/>
                <w:sz w:val="14"/>
              </w:rPr>
              <w:t>Required output</w:t>
            </w:r>
          </w:p>
        </w:tc>
      </w:tr>
      <w:tr>
        <w:trPr>
          <w:cantSplit/>
        </w:trPr>
        <w:tc>
          <w:tcPr>
            <w:tcW w:type="dxa" w:w="1080"/>
            <w:tcMar>
              <w:top w:w="65" w:type="dxa"/>
              <w:start w:w="85" w:type="dxa"/>
              <w:bottom w:w="65" w:type="dxa"/>
              <w:end w:w="85" w:type="dxa"/>
            </w:tcMar>
            <w:vAlign w:val="top"/>
          </w:tcPr>
          <w:p>
            <w:r>
              <w:rPr>
                <w:sz w:val="14"/>
              </w:rPr>
              <w:t>1-4</w:t>
            </w:r>
          </w:p>
        </w:tc>
        <w:tc>
          <w:tcPr>
            <w:tcW w:type="dxa" w:w="2952"/>
            <w:tcMar>
              <w:top w:w="65" w:type="dxa"/>
              <w:start w:w="85" w:type="dxa"/>
              <w:bottom w:w="65" w:type="dxa"/>
              <w:end w:w="85" w:type="dxa"/>
            </w:tcMar>
            <w:vAlign w:val="top"/>
          </w:tcPr>
          <w:p>
            <w:r>
              <w:rPr>
                <w:sz w:val="14"/>
              </w:rPr>
              <w:t>Hierarchy, ownership and identity</w:t>
            </w:r>
          </w:p>
        </w:tc>
        <w:tc>
          <w:tcPr>
            <w:tcW w:type="dxa" w:w="5904"/>
            <w:tcMar>
              <w:top w:w="65" w:type="dxa"/>
              <w:start w:w="85" w:type="dxa"/>
              <w:bottom w:w="65" w:type="dxa"/>
              <w:end w:w="85" w:type="dxa"/>
            </w:tcMar>
            <w:vAlign w:val="top"/>
          </w:tcPr>
          <w:p>
            <w:r>
              <w:rPr>
                <w:sz w:val="14"/>
              </w:rPr>
              <w:t>Architecture diagram, RACI and access tests</w:t>
            </w:r>
          </w:p>
        </w:tc>
      </w:tr>
      <w:tr>
        <w:trPr>
          <w:cantSplit/>
        </w:trPr>
        <w:tc>
          <w:tcPr>
            <w:tcW w:type="dxa" w:w="1080"/>
            <w:tcMar>
              <w:top w:w="65" w:type="dxa"/>
              <w:start w:w="85" w:type="dxa"/>
              <w:bottom w:w="65" w:type="dxa"/>
              <w:end w:w="85" w:type="dxa"/>
            </w:tcMar>
            <w:vAlign w:val="top"/>
          </w:tcPr>
          <w:p>
            <w:r>
              <w:rPr>
                <w:sz w:val="14"/>
              </w:rPr>
              <w:t>5-8</w:t>
            </w:r>
          </w:p>
        </w:tc>
        <w:tc>
          <w:tcPr>
            <w:tcW w:type="dxa" w:w="2952"/>
            <w:tcMar>
              <w:top w:w="65" w:type="dxa"/>
              <w:start w:w="85" w:type="dxa"/>
              <w:bottom w:w="65" w:type="dxa"/>
              <w:end w:w="85" w:type="dxa"/>
            </w:tcMar>
            <w:vAlign w:val="top"/>
          </w:tcPr>
          <w:p>
            <w:r>
              <w:rPr>
                <w:sz w:val="14"/>
              </w:rPr>
              <w:t>Networking and private services</w:t>
            </w:r>
          </w:p>
        </w:tc>
        <w:tc>
          <w:tcPr>
            <w:tcW w:type="dxa" w:w="5904"/>
            <w:tcMar>
              <w:top w:w="65" w:type="dxa"/>
              <w:start w:w="85" w:type="dxa"/>
              <w:bottom w:w="65" w:type="dxa"/>
              <w:end w:w="85" w:type="dxa"/>
            </w:tcMar>
            <w:vAlign w:val="top"/>
          </w:tcPr>
          <w:p>
            <w:r>
              <w:rPr>
                <w:sz w:val="14"/>
              </w:rPr>
              <w:t>IP plan, flow matrix and reachability evidence</w:t>
            </w:r>
          </w:p>
        </w:tc>
      </w:tr>
      <w:tr>
        <w:trPr>
          <w:cantSplit/>
        </w:trPr>
        <w:tc>
          <w:tcPr>
            <w:tcW w:type="dxa" w:w="1080"/>
            <w:tcMar>
              <w:top w:w="65" w:type="dxa"/>
              <w:start w:w="85" w:type="dxa"/>
              <w:bottom w:w="65" w:type="dxa"/>
              <w:end w:w="85" w:type="dxa"/>
            </w:tcMar>
            <w:vAlign w:val="top"/>
          </w:tcPr>
          <w:p>
            <w:r>
              <w:rPr>
                <w:sz w:val="14"/>
              </w:rPr>
              <w:t>9-12</w:t>
            </w:r>
          </w:p>
        </w:tc>
        <w:tc>
          <w:tcPr>
            <w:tcW w:type="dxa" w:w="2952"/>
            <w:tcMar>
              <w:top w:w="65" w:type="dxa"/>
              <w:start w:w="85" w:type="dxa"/>
              <w:bottom w:w="65" w:type="dxa"/>
              <w:end w:w="85" w:type="dxa"/>
            </w:tcMar>
            <w:vAlign w:val="top"/>
          </w:tcPr>
          <w:p>
            <w:r>
              <w:rPr>
                <w:sz w:val="14"/>
              </w:rPr>
              <w:t>Compute and delivery</w:t>
            </w:r>
          </w:p>
        </w:tc>
        <w:tc>
          <w:tcPr>
            <w:tcW w:type="dxa" w:w="5904"/>
            <w:tcMar>
              <w:top w:w="65" w:type="dxa"/>
              <w:start w:w="85" w:type="dxa"/>
              <w:bottom w:w="65" w:type="dxa"/>
              <w:end w:w="85" w:type="dxa"/>
            </w:tcMar>
            <w:vAlign w:val="top"/>
          </w:tcPr>
          <w:p>
            <w:r>
              <w:rPr>
                <w:sz w:val="14"/>
              </w:rPr>
              <w:t>Workload deployment, autoscaling and rollback</w:t>
            </w:r>
          </w:p>
        </w:tc>
      </w:tr>
      <w:tr>
        <w:trPr>
          <w:cantSplit/>
        </w:trPr>
        <w:tc>
          <w:tcPr>
            <w:tcW w:type="dxa" w:w="1080"/>
            <w:tcMar>
              <w:top w:w="65" w:type="dxa"/>
              <w:start w:w="85" w:type="dxa"/>
              <w:bottom w:w="65" w:type="dxa"/>
              <w:end w:w="85" w:type="dxa"/>
            </w:tcMar>
            <w:vAlign w:val="top"/>
          </w:tcPr>
          <w:p>
            <w:r>
              <w:rPr>
                <w:sz w:val="14"/>
              </w:rPr>
              <w:t>13-16</w:t>
            </w:r>
          </w:p>
        </w:tc>
        <w:tc>
          <w:tcPr>
            <w:tcW w:type="dxa" w:w="2952"/>
            <w:tcMar>
              <w:top w:w="65" w:type="dxa"/>
              <w:start w:w="85" w:type="dxa"/>
              <w:bottom w:w="65" w:type="dxa"/>
              <w:end w:w="85" w:type="dxa"/>
            </w:tcMar>
            <w:vAlign w:val="top"/>
          </w:tcPr>
          <w:p>
            <w:r>
              <w:rPr>
                <w:sz w:val="14"/>
              </w:rPr>
              <w:t>Data and recovery</w:t>
            </w:r>
          </w:p>
        </w:tc>
        <w:tc>
          <w:tcPr>
            <w:tcW w:type="dxa" w:w="5904"/>
            <w:tcMar>
              <w:top w:w="65" w:type="dxa"/>
              <w:start w:w="85" w:type="dxa"/>
              <w:bottom w:w="65" w:type="dxa"/>
              <w:end w:w="85" w:type="dxa"/>
            </w:tcMar>
            <w:vAlign w:val="top"/>
          </w:tcPr>
          <w:p>
            <w:r>
              <w:rPr>
                <w:sz w:val="14"/>
              </w:rPr>
              <w:t>Backup, restore and integrity report</w:t>
            </w:r>
          </w:p>
        </w:tc>
      </w:tr>
      <w:tr>
        <w:trPr>
          <w:cantSplit/>
        </w:trPr>
        <w:tc>
          <w:tcPr>
            <w:tcW w:type="dxa" w:w="1080"/>
            <w:tcMar>
              <w:top w:w="65" w:type="dxa"/>
              <w:start w:w="85" w:type="dxa"/>
              <w:bottom w:w="65" w:type="dxa"/>
              <w:end w:w="85" w:type="dxa"/>
            </w:tcMar>
            <w:vAlign w:val="top"/>
          </w:tcPr>
          <w:p>
            <w:r>
              <w:rPr>
                <w:sz w:val="14"/>
              </w:rPr>
              <w:t>17-20</w:t>
            </w:r>
          </w:p>
        </w:tc>
        <w:tc>
          <w:tcPr>
            <w:tcW w:type="dxa" w:w="2952"/>
            <w:tcMar>
              <w:top w:w="65" w:type="dxa"/>
              <w:start w:w="85" w:type="dxa"/>
              <w:bottom w:w="65" w:type="dxa"/>
              <w:end w:w="85" w:type="dxa"/>
            </w:tcMar>
            <w:vAlign w:val="top"/>
          </w:tcPr>
          <w:p>
            <w:r>
              <w:rPr>
                <w:sz w:val="14"/>
              </w:rPr>
              <w:t>Security and audit</w:t>
            </w:r>
          </w:p>
        </w:tc>
        <w:tc>
          <w:tcPr>
            <w:tcW w:type="dxa" w:w="5904"/>
            <w:tcMar>
              <w:top w:w="65" w:type="dxa"/>
              <w:start w:w="85" w:type="dxa"/>
              <w:bottom w:w="65" w:type="dxa"/>
              <w:end w:w="85" w:type="dxa"/>
            </w:tcMar>
            <w:vAlign w:val="top"/>
          </w:tcPr>
          <w:p>
            <w:r>
              <w:rPr>
                <w:sz w:val="14"/>
              </w:rPr>
              <w:t>Threat model, policy tests and finding workflow</w:t>
            </w:r>
          </w:p>
        </w:tc>
      </w:tr>
      <w:tr>
        <w:trPr>
          <w:cantSplit/>
        </w:trPr>
        <w:tc>
          <w:tcPr>
            <w:tcW w:type="dxa" w:w="1080"/>
            <w:tcMar>
              <w:top w:w="65" w:type="dxa"/>
              <w:start w:w="85" w:type="dxa"/>
              <w:bottom w:w="65" w:type="dxa"/>
              <w:end w:w="85" w:type="dxa"/>
            </w:tcMar>
            <w:vAlign w:val="top"/>
          </w:tcPr>
          <w:p>
            <w:r>
              <w:rPr>
                <w:sz w:val="14"/>
              </w:rPr>
              <w:t>21-23</w:t>
            </w:r>
          </w:p>
        </w:tc>
        <w:tc>
          <w:tcPr>
            <w:tcW w:type="dxa" w:w="2952"/>
            <w:tcMar>
              <w:top w:w="65" w:type="dxa"/>
              <w:start w:w="85" w:type="dxa"/>
              <w:bottom w:w="65" w:type="dxa"/>
              <w:end w:w="85" w:type="dxa"/>
            </w:tcMar>
            <w:vAlign w:val="top"/>
          </w:tcPr>
          <w:p>
            <w:r>
              <w:rPr>
                <w:sz w:val="14"/>
              </w:rPr>
              <w:t>Observability and incidents</w:t>
            </w:r>
          </w:p>
        </w:tc>
        <w:tc>
          <w:tcPr>
            <w:tcW w:type="dxa" w:w="5904"/>
            <w:tcMar>
              <w:top w:w="65" w:type="dxa"/>
              <w:start w:w="85" w:type="dxa"/>
              <w:bottom w:w="65" w:type="dxa"/>
              <w:end w:w="85" w:type="dxa"/>
            </w:tcMar>
            <w:vAlign w:val="top"/>
          </w:tcPr>
          <w:p>
            <w:r>
              <w:rPr>
                <w:sz w:val="14"/>
              </w:rPr>
              <w:t>SLO, dashboard and incident timeline</w:t>
            </w:r>
          </w:p>
        </w:tc>
      </w:tr>
      <w:tr>
        <w:trPr>
          <w:cantSplit/>
        </w:trPr>
        <w:tc>
          <w:tcPr>
            <w:tcW w:type="dxa" w:w="1080"/>
            <w:tcMar>
              <w:top w:w="65" w:type="dxa"/>
              <w:start w:w="85" w:type="dxa"/>
              <w:bottom w:w="65" w:type="dxa"/>
              <w:end w:w="85" w:type="dxa"/>
            </w:tcMar>
            <w:vAlign w:val="top"/>
          </w:tcPr>
          <w:p>
            <w:r>
              <w:rPr>
                <w:sz w:val="14"/>
              </w:rPr>
              <w:t>24-26</w:t>
            </w:r>
          </w:p>
        </w:tc>
        <w:tc>
          <w:tcPr>
            <w:tcW w:type="dxa" w:w="2952"/>
            <w:tcMar>
              <w:top w:w="65" w:type="dxa"/>
              <w:start w:w="85" w:type="dxa"/>
              <w:bottom w:w="65" w:type="dxa"/>
              <w:end w:w="85" w:type="dxa"/>
            </w:tcMar>
            <w:vAlign w:val="top"/>
          </w:tcPr>
          <w:p>
            <w:r>
              <w:rPr>
                <w:sz w:val="14"/>
              </w:rPr>
              <w:t>FinOps and governance</w:t>
            </w:r>
          </w:p>
        </w:tc>
        <w:tc>
          <w:tcPr>
            <w:tcW w:type="dxa" w:w="5904"/>
            <w:tcMar>
              <w:top w:w="65" w:type="dxa"/>
              <w:start w:w="85" w:type="dxa"/>
              <w:bottom w:w="65" w:type="dxa"/>
              <w:end w:w="85" w:type="dxa"/>
            </w:tcMar>
            <w:vAlign w:val="top"/>
          </w:tcPr>
          <w:p>
            <w:r>
              <w:rPr>
                <w:sz w:val="14"/>
              </w:rPr>
              <w:t>Allocation, budget and unit-cost review</w:t>
            </w:r>
          </w:p>
        </w:tc>
      </w:tr>
      <w:tr>
        <w:trPr>
          <w:cantSplit/>
        </w:trPr>
        <w:tc>
          <w:tcPr>
            <w:tcW w:type="dxa" w:w="1080"/>
            <w:tcMar>
              <w:top w:w="65" w:type="dxa"/>
              <w:start w:w="85" w:type="dxa"/>
              <w:bottom w:w="65" w:type="dxa"/>
              <w:end w:w="85" w:type="dxa"/>
            </w:tcMar>
            <w:vAlign w:val="top"/>
          </w:tcPr>
          <w:p>
            <w:r>
              <w:rPr>
                <w:sz w:val="14"/>
              </w:rPr>
              <w:t>27-28</w:t>
            </w:r>
          </w:p>
        </w:tc>
        <w:tc>
          <w:tcPr>
            <w:tcW w:type="dxa" w:w="2952"/>
            <w:tcMar>
              <w:top w:w="65" w:type="dxa"/>
              <w:start w:w="85" w:type="dxa"/>
              <w:bottom w:w="65" w:type="dxa"/>
              <w:end w:w="85" w:type="dxa"/>
            </w:tcMar>
            <w:vAlign w:val="top"/>
          </w:tcPr>
          <w:p>
            <w:r>
              <w:rPr>
                <w:sz w:val="14"/>
              </w:rPr>
              <w:t>Failure drills</w:t>
            </w:r>
          </w:p>
        </w:tc>
        <w:tc>
          <w:tcPr>
            <w:tcW w:type="dxa" w:w="5904"/>
            <w:tcMar>
              <w:top w:w="65" w:type="dxa"/>
              <w:start w:w="85" w:type="dxa"/>
              <w:bottom w:w="65" w:type="dxa"/>
              <w:end w:w="85" w:type="dxa"/>
            </w:tcMar>
            <w:vAlign w:val="top"/>
          </w:tcPr>
          <w:p>
            <w:r>
              <w:rPr>
                <w:sz w:val="14"/>
              </w:rPr>
              <w:t>Bounded outage and recovery evidence</w:t>
            </w:r>
          </w:p>
        </w:tc>
      </w:tr>
      <w:tr>
        <w:trPr>
          <w:cantSplit/>
        </w:trPr>
        <w:tc>
          <w:tcPr>
            <w:tcW w:type="dxa" w:w="1080"/>
            <w:tcMar>
              <w:top w:w="65" w:type="dxa"/>
              <w:start w:w="85" w:type="dxa"/>
              <w:bottom w:w="65" w:type="dxa"/>
              <w:end w:w="85" w:type="dxa"/>
            </w:tcMar>
            <w:vAlign w:val="top"/>
          </w:tcPr>
          <w:p>
            <w:r>
              <w:rPr>
                <w:sz w:val="14"/>
              </w:rPr>
              <w:t>29-30</w:t>
            </w:r>
          </w:p>
        </w:tc>
        <w:tc>
          <w:tcPr>
            <w:tcW w:type="dxa" w:w="2952"/>
            <w:tcMar>
              <w:top w:w="65" w:type="dxa"/>
              <w:start w:w="85" w:type="dxa"/>
              <w:bottom w:w="65" w:type="dxa"/>
              <w:end w:w="85" w:type="dxa"/>
            </w:tcMar>
            <w:vAlign w:val="top"/>
          </w:tcPr>
          <w:p>
            <w:r>
              <w:rPr>
                <w:sz w:val="14"/>
              </w:rPr>
              <w:t>Capstone and portfolio</w:t>
            </w:r>
          </w:p>
        </w:tc>
        <w:tc>
          <w:tcPr>
            <w:tcW w:type="dxa" w:w="5904"/>
            <w:tcMar>
              <w:top w:w="65" w:type="dxa"/>
              <w:start w:w="85" w:type="dxa"/>
              <w:bottom w:w="65" w:type="dxa"/>
              <w:end w:w="85" w:type="dxa"/>
            </w:tcMar>
            <w:vAlign w:val="top"/>
          </w:tcPr>
          <w:p>
            <w:r>
              <w:rPr>
                <w:sz w:val="14"/>
              </w:rPr>
              <w:t>Architecture defense, cleanup and sanitized report</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65" w:type="dxa"/>
              <w:start w:w="85" w:type="dxa"/>
              <w:bottom w:w="65" w:type="dxa"/>
              <w:end w:w="85" w:type="dxa"/>
            </w:tcMar>
            <w:vAlign w:val="center"/>
          </w:tcPr>
          <w:p>
            <w:r>
              <w:rPr>
                <w:b/>
                <w:color w:val="FFFFFF"/>
                <w:sz w:val="15"/>
              </w:rPr>
              <w:t>Term</w:t>
            </w:r>
          </w:p>
        </w:tc>
        <w:tc>
          <w:tcPr>
            <w:tcW w:type="dxa" w:w="7848"/>
            <w:shd w:fill="176B87"/>
            <w:tcMar>
              <w:top w:w="65" w:type="dxa"/>
              <w:start w:w="85" w:type="dxa"/>
              <w:bottom w:w="65" w:type="dxa"/>
              <w:end w:w="85" w:type="dxa"/>
            </w:tcMar>
            <w:vAlign w:val="center"/>
          </w:tcPr>
          <w:p>
            <w:r>
              <w:rPr>
                <w:b/>
                <w:color w:val="FFFFFF"/>
                <w:sz w:val="15"/>
              </w:rPr>
              <w:t>Definition</w:t>
            </w:r>
          </w:p>
        </w:tc>
      </w:tr>
      <w:tr>
        <w:trPr>
          <w:cantSplit/>
        </w:trPr>
        <w:tc>
          <w:tcPr>
            <w:tcW w:type="dxa" w:w="2088"/>
            <w:tcMar>
              <w:top w:w="65" w:type="dxa"/>
              <w:start w:w="85" w:type="dxa"/>
              <w:bottom w:w="65" w:type="dxa"/>
              <w:end w:w="85" w:type="dxa"/>
            </w:tcMar>
            <w:vAlign w:val="top"/>
          </w:tcPr>
          <w:p>
            <w:r>
              <w:rPr>
                <w:sz w:val="15"/>
              </w:rPr>
              <w:t>Application landing zone</w:t>
            </w:r>
          </w:p>
        </w:tc>
        <w:tc>
          <w:tcPr>
            <w:tcW w:type="dxa" w:w="7848"/>
            <w:tcMar>
              <w:top w:w="65" w:type="dxa"/>
              <w:start w:w="85" w:type="dxa"/>
              <w:bottom w:w="65" w:type="dxa"/>
              <w:end w:w="85" w:type="dxa"/>
            </w:tcMar>
            <w:vAlign w:val="top"/>
          </w:tcPr>
          <w:p>
            <w:r>
              <w:rPr>
                <w:sz w:val="15"/>
              </w:rPr>
              <w:t>A governed environment in which a workload team deploys and operates applications.</w:t>
            </w:r>
          </w:p>
        </w:tc>
      </w:tr>
      <w:tr>
        <w:trPr>
          <w:cantSplit/>
        </w:trPr>
        <w:tc>
          <w:tcPr>
            <w:tcW w:type="dxa" w:w="2088"/>
            <w:tcMar>
              <w:top w:w="65" w:type="dxa"/>
              <w:start w:w="85" w:type="dxa"/>
              <w:bottom w:w="65" w:type="dxa"/>
              <w:end w:w="85" w:type="dxa"/>
            </w:tcMar>
            <w:vAlign w:val="top"/>
          </w:tcPr>
          <w:p>
            <w:r>
              <w:rPr>
                <w:sz w:val="15"/>
              </w:rPr>
              <w:t>Blast radius</w:t>
            </w:r>
          </w:p>
        </w:tc>
        <w:tc>
          <w:tcPr>
            <w:tcW w:type="dxa" w:w="7848"/>
            <w:tcMar>
              <w:top w:w="65" w:type="dxa"/>
              <w:start w:w="85" w:type="dxa"/>
              <w:bottom w:w="65" w:type="dxa"/>
              <w:end w:w="85" w:type="dxa"/>
            </w:tcMar>
            <w:vAlign w:val="top"/>
          </w:tcPr>
          <w:p>
            <w:r>
              <w:rPr>
                <w:sz w:val="15"/>
              </w:rPr>
              <w:t>The maximum scope of impact from a failure, credential or change.</w:t>
            </w:r>
          </w:p>
        </w:tc>
      </w:tr>
      <w:tr>
        <w:trPr>
          <w:cantSplit/>
        </w:trPr>
        <w:tc>
          <w:tcPr>
            <w:tcW w:type="dxa" w:w="2088"/>
            <w:tcMar>
              <w:top w:w="65" w:type="dxa"/>
              <w:start w:w="85" w:type="dxa"/>
              <w:bottom w:w="65" w:type="dxa"/>
              <w:end w:w="85" w:type="dxa"/>
            </w:tcMar>
            <w:vAlign w:val="top"/>
          </w:tcPr>
          <w:p>
            <w:r>
              <w:rPr>
                <w:sz w:val="15"/>
              </w:rPr>
              <w:t>Control plane</w:t>
            </w:r>
          </w:p>
        </w:tc>
        <w:tc>
          <w:tcPr>
            <w:tcW w:type="dxa" w:w="7848"/>
            <w:tcMar>
              <w:top w:w="65" w:type="dxa"/>
              <w:start w:w="85" w:type="dxa"/>
              <w:bottom w:w="65" w:type="dxa"/>
              <w:end w:w="85" w:type="dxa"/>
            </w:tcMar>
            <w:vAlign w:val="top"/>
          </w:tcPr>
          <w:p>
            <w:r>
              <w:rPr>
                <w:sz w:val="15"/>
              </w:rPr>
              <w:t>Interfaces and services used to administer a cloud or platform.</w:t>
            </w:r>
          </w:p>
        </w:tc>
      </w:tr>
      <w:tr>
        <w:trPr>
          <w:cantSplit/>
        </w:trPr>
        <w:tc>
          <w:tcPr>
            <w:tcW w:type="dxa" w:w="2088"/>
            <w:tcMar>
              <w:top w:w="65" w:type="dxa"/>
              <w:start w:w="85" w:type="dxa"/>
              <w:bottom w:w="65" w:type="dxa"/>
              <w:end w:w="85" w:type="dxa"/>
            </w:tcMar>
            <w:vAlign w:val="top"/>
          </w:tcPr>
          <w:p>
            <w:r>
              <w:rPr>
                <w:sz w:val="15"/>
              </w:rPr>
              <w:t>Data plane</w:t>
            </w:r>
          </w:p>
        </w:tc>
        <w:tc>
          <w:tcPr>
            <w:tcW w:type="dxa" w:w="7848"/>
            <w:tcMar>
              <w:top w:w="65" w:type="dxa"/>
              <w:start w:w="85" w:type="dxa"/>
              <w:bottom w:w="65" w:type="dxa"/>
              <w:end w:w="85" w:type="dxa"/>
            </w:tcMar>
            <w:vAlign w:val="top"/>
          </w:tcPr>
          <w:p>
            <w:r>
              <w:rPr>
                <w:sz w:val="15"/>
              </w:rPr>
              <w:t>The runtime path that processes application traffic and data.</w:t>
            </w:r>
          </w:p>
        </w:tc>
      </w:tr>
      <w:tr>
        <w:trPr>
          <w:cantSplit/>
        </w:trPr>
        <w:tc>
          <w:tcPr>
            <w:tcW w:type="dxa" w:w="2088"/>
            <w:tcMar>
              <w:top w:w="65" w:type="dxa"/>
              <w:start w:w="85" w:type="dxa"/>
              <w:bottom w:w="65" w:type="dxa"/>
              <w:end w:w="85" w:type="dxa"/>
            </w:tcMar>
            <w:vAlign w:val="top"/>
          </w:tcPr>
          <w:p>
            <w:r>
              <w:rPr>
                <w:sz w:val="15"/>
              </w:rPr>
              <w:t>Federation</w:t>
            </w:r>
          </w:p>
        </w:tc>
        <w:tc>
          <w:tcPr>
            <w:tcW w:type="dxa" w:w="7848"/>
            <w:tcMar>
              <w:top w:w="65" w:type="dxa"/>
              <w:start w:w="85" w:type="dxa"/>
              <w:bottom w:w="65" w:type="dxa"/>
              <w:end w:w="85" w:type="dxa"/>
            </w:tcMar>
            <w:vAlign w:val="top"/>
          </w:tcPr>
          <w:p>
            <w:r>
              <w:rPr>
                <w:sz w:val="15"/>
              </w:rPr>
              <w:t>Trust that allows an external identity source to authenticate without duplicate long-lived credentials.</w:t>
            </w:r>
          </w:p>
        </w:tc>
      </w:tr>
      <w:tr>
        <w:trPr>
          <w:cantSplit/>
        </w:trPr>
        <w:tc>
          <w:tcPr>
            <w:tcW w:type="dxa" w:w="2088"/>
            <w:tcMar>
              <w:top w:w="65" w:type="dxa"/>
              <w:start w:w="85" w:type="dxa"/>
              <w:bottom w:w="65" w:type="dxa"/>
              <w:end w:w="85" w:type="dxa"/>
            </w:tcMar>
            <w:vAlign w:val="top"/>
          </w:tcPr>
          <w:p>
            <w:r>
              <w:rPr>
                <w:sz w:val="15"/>
              </w:rPr>
              <w:t>Guardrail</w:t>
            </w:r>
          </w:p>
        </w:tc>
        <w:tc>
          <w:tcPr>
            <w:tcW w:type="dxa" w:w="7848"/>
            <w:tcMar>
              <w:top w:w="65" w:type="dxa"/>
              <w:start w:w="85" w:type="dxa"/>
              <w:bottom w:w="65" w:type="dxa"/>
              <w:end w:w="85" w:type="dxa"/>
            </w:tcMar>
            <w:vAlign w:val="top"/>
          </w:tcPr>
          <w:p>
            <w:r>
              <w:rPr>
                <w:sz w:val="15"/>
              </w:rPr>
              <w:t>A preventive, detective or corrective control that constrains activity.</w:t>
            </w:r>
          </w:p>
        </w:tc>
      </w:tr>
      <w:tr>
        <w:trPr>
          <w:cantSplit/>
        </w:trPr>
        <w:tc>
          <w:tcPr>
            <w:tcW w:type="dxa" w:w="2088"/>
            <w:tcMar>
              <w:top w:w="65" w:type="dxa"/>
              <w:start w:w="85" w:type="dxa"/>
              <w:bottom w:w="65" w:type="dxa"/>
              <w:end w:w="85" w:type="dxa"/>
            </w:tcMar>
            <w:vAlign w:val="top"/>
          </w:tcPr>
          <w:p>
            <w:r>
              <w:rPr>
                <w:sz w:val="15"/>
              </w:rPr>
              <w:t>Landing zone</w:t>
            </w:r>
          </w:p>
        </w:tc>
        <w:tc>
          <w:tcPr>
            <w:tcW w:type="dxa" w:w="7848"/>
            <w:tcMar>
              <w:top w:w="65" w:type="dxa"/>
              <w:start w:w="85" w:type="dxa"/>
              <w:bottom w:w="65" w:type="dxa"/>
              <w:end w:w="85" w:type="dxa"/>
            </w:tcMar>
            <w:vAlign w:val="top"/>
          </w:tcPr>
          <w:p>
            <w:r>
              <w:rPr>
                <w:sz w:val="15"/>
              </w:rPr>
              <w:t>A scalable cloud foundation for hierarchy, identity, network, security, logging and cost.</w:t>
            </w:r>
          </w:p>
        </w:tc>
      </w:tr>
      <w:tr>
        <w:trPr>
          <w:cantSplit/>
        </w:trPr>
        <w:tc>
          <w:tcPr>
            <w:tcW w:type="dxa" w:w="2088"/>
            <w:tcMar>
              <w:top w:w="65" w:type="dxa"/>
              <w:start w:w="85" w:type="dxa"/>
              <w:bottom w:w="65" w:type="dxa"/>
              <w:end w:w="85" w:type="dxa"/>
            </w:tcMar>
            <w:vAlign w:val="top"/>
          </w:tcPr>
          <w:p>
            <w:r>
              <w:rPr>
                <w:sz w:val="15"/>
              </w:rPr>
              <w:t>Private endpoint</w:t>
            </w:r>
          </w:p>
        </w:tc>
        <w:tc>
          <w:tcPr>
            <w:tcW w:type="dxa" w:w="7848"/>
            <w:tcMar>
              <w:top w:w="65" w:type="dxa"/>
              <w:start w:w="85" w:type="dxa"/>
              <w:bottom w:w="65" w:type="dxa"/>
              <w:end w:w="85" w:type="dxa"/>
            </w:tcMar>
            <w:vAlign w:val="top"/>
          </w:tcPr>
          <w:p>
            <w:r>
              <w:rPr>
                <w:sz w:val="15"/>
              </w:rPr>
              <w:t>A private network interface used to access a managed service without a public path.</w:t>
            </w:r>
          </w:p>
        </w:tc>
      </w:tr>
      <w:tr>
        <w:trPr>
          <w:cantSplit/>
        </w:trPr>
        <w:tc>
          <w:tcPr>
            <w:tcW w:type="dxa" w:w="2088"/>
            <w:tcMar>
              <w:top w:w="65" w:type="dxa"/>
              <w:start w:w="85" w:type="dxa"/>
              <w:bottom w:w="65" w:type="dxa"/>
              <w:end w:w="85" w:type="dxa"/>
            </w:tcMar>
            <w:vAlign w:val="top"/>
          </w:tcPr>
          <w:p>
            <w:r>
              <w:rPr>
                <w:sz w:val="15"/>
              </w:rPr>
              <w:t>RPO</w:t>
            </w:r>
          </w:p>
        </w:tc>
        <w:tc>
          <w:tcPr>
            <w:tcW w:type="dxa" w:w="7848"/>
            <w:tcMar>
              <w:top w:w="65" w:type="dxa"/>
              <w:start w:w="85" w:type="dxa"/>
              <w:bottom w:w="65" w:type="dxa"/>
              <w:end w:w="85" w:type="dxa"/>
            </w:tcMar>
            <w:vAlign w:val="top"/>
          </w:tcPr>
          <w:p>
            <w:r>
              <w:rPr>
                <w:sz w:val="15"/>
              </w:rPr>
              <w:t>Maximum acceptable data loss measured in time.</w:t>
            </w:r>
          </w:p>
        </w:tc>
      </w:tr>
      <w:tr>
        <w:trPr>
          <w:cantSplit/>
        </w:trPr>
        <w:tc>
          <w:tcPr>
            <w:tcW w:type="dxa" w:w="2088"/>
            <w:tcMar>
              <w:top w:w="65" w:type="dxa"/>
              <w:start w:w="85" w:type="dxa"/>
              <w:bottom w:w="65" w:type="dxa"/>
              <w:end w:w="85" w:type="dxa"/>
            </w:tcMar>
            <w:vAlign w:val="top"/>
          </w:tcPr>
          <w:p>
            <w:r>
              <w:rPr>
                <w:sz w:val="15"/>
              </w:rPr>
              <w:t>RTO</w:t>
            </w:r>
          </w:p>
        </w:tc>
        <w:tc>
          <w:tcPr>
            <w:tcW w:type="dxa" w:w="7848"/>
            <w:tcMar>
              <w:top w:w="65" w:type="dxa"/>
              <w:start w:w="85" w:type="dxa"/>
              <w:bottom w:w="65" w:type="dxa"/>
              <w:end w:w="85" w:type="dxa"/>
            </w:tcMar>
            <w:vAlign w:val="top"/>
          </w:tcPr>
          <w:p>
            <w:r>
              <w:rPr>
                <w:sz w:val="15"/>
              </w:rPr>
              <w:t>Target time to restore a service after disruption.</w:t>
            </w:r>
          </w:p>
        </w:tc>
      </w:tr>
      <w:tr>
        <w:trPr>
          <w:cantSplit/>
        </w:trPr>
        <w:tc>
          <w:tcPr>
            <w:tcW w:type="dxa" w:w="2088"/>
            <w:tcMar>
              <w:top w:w="65" w:type="dxa"/>
              <w:start w:w="85" w:type="dxa"/>
              <w:bottom w:w="65" w:type="dxa"/>
              <w:end w:w="85" w:type="dxa"/>
            </w:tcMar>
            <w:vAlign w:val="top"/>
          </w:tcPr>
          <w:p>
            <w:r>
              <w:rPr>
                <w:sz w:val="15"/>
              </w:rPr>
              <w:t>Unit cost</w:t>
            </w:r>
          </w:p>
        </w:tc>
        <w:tc>
          <w:tcPr>
            <w:tcW w:type="dxa" w:w="7848"/>
            <w:tcMar>
              <w:top w:w="65" w:type="dxa"/>
              <w:start w:w="85" w:type="dxa"/>
              <w:bottom w:w="65" w:type="dxa"/>
              <w:end w:w="85" w:type="dxa"/>
            </w:tcMar>
            <w:vAlign w:val="top"/>
          </w:tcPr>
          <w:p>
            <w:r>
              <w:rPr>
                <w:sz w:val="15"/>
              </w:rPr>
              <w:t>Technology cost per useful business or technical output.</w:t>
            </w:r>
          </w:p>
        </w:tc>
      </w:tr>
      <w:tr>
        <w:trPr>
          <w:cantSplit/>
        </w:trPr>
        <w:tc>
          <w:tcPr>
            <w:tcW w:type="dxa" w:w="2088"/>
            <w:tcMar>
              <w:top w:w="65" w:type="dxa"/>
              <w:start w:w="85" w:type="dxa"/>
              <w:bottom w:w="65" w:type="dxa"/>
              <w:end w:w="85" w:type="dxa"/>
            </w:tcMar>
            <w:vAlign w:val="top"/>
          </w:tcPr>
          <w:p>
            <w:r>
              <w:rPr>
                <w:sz w:val="15"/>
              </w:rPr>
              <w:t>Workload identity</w:t>
            </w:r>
          </w:p>
        </w:tc>
        <w:tc>
          <w:tcPr>
            <w:tcW w:type="dxa" w:w="7848"/>
            <w:tcMar>
              <w:top w:w="65" w:type="dxa"/>
              <w:start w:w="85" w:type="dxa"/>
              <w:bottom w:w="65" w:type="dxa"/>
              <w:end w:w="85" w:type="dxa"/>
            </w:tcMar>
            <w:vAlign w:val="top"/>
          </w:tcPr>
          <w:p>
            <w:r>
              <w:rPr>
                <w:sz w:val="15"/>
              </w:rPr>
              <w:t>A short-lived identity issued to software based on trusted runtime context.</w:t>
            </w:r>
          </w:p>
        </w:tc>
      </w:tr>
    </w:tbl>
    <w:p>
      <w:pPr>
        <w:pStyle w:val="Heading1"/>
        <w:keepNext w:val="0"/>
      </w:pPr>
      <w:r>
        <w:t>Official Documentation Index</w:t>
      </w:r>
    </w:p>
    <w:p>
      <w:pPr>
        <w:keepNext w:val="0"/>
      </w:pPr>
      <w:r>
        <w:t>The following official sources were checked for this 2026 edition. Verify current service behavior, quotas, prices and certification requirements before production use or exam registration.</w:t>
      </w:r>
    </w:p>
    <w:p>
      <w:pPr>
        <w:pStyle w:val="ListBullet"/>
      </w:pPr>
      <w:hyperlink r:id="rId66">
        <w:r>
          <w:rPr>
            <w:color w:val="176B87"/>
            <w:u w:val="single"/>
          </w:rPr>
          <w:t>Google Cloud Landing Zone Design</w:t>
        </w:r>
      </w:hyperlink>
    </w:p>
    <w:p>
      <w:pPr>
        <w:pStyle w:val="ListBullet"/>
      </w:pPr>
      <w:hyperlink r:id="rId72">
        <w:r>
          <w:rPr>
            <w:color w:val="176B87"/>
            <w:u w:val="single"/>
          </w:rPr>
          <w:t>Enterprise Foundations Blueprint</w:t>
        </w:r>
      </w:hyperlink>
    </w:p>
    <w:p>
      <w:pPr>
        <w:pStyle w:val="ListBullet"/>
      </w:pPr>
      <w:hyperlink r:id="rId65">
        <w:r>
          <w:rPr>
            <w:color w:val="176B87"/>
            <w:u w:val="single"/>
          </w:rPr>
          <w:t>Google Cloud Well-Architected Framework</w:t>
        </w:r>
      </w:hyperlink>
    </w:p>
    <w:p>
      <w:pPr>
        <w:pStyle w:val="ListBullet"/>
      </w:pPr>
      <w:hyperlink r:id="rId73">
        <w:r>
          <w:rPr>
            <w:color w:val="176B87"/>
            <w:u w:val="single"/>
          </w:rPr>
          <w:t>Cloud IAM Documentation</w:t>
        </w:r>
      </w:hyperlink>
    </w:p>
    <w:p>
      <w:pPr>
        <w:pStyle w:val="ListBullet"/>
      </w:pPr>
      <w:hyperlink r:id="rId74">
        <w:r>
          <w:rPr>
            <w:color w:val="176B87"/>
            <w:u w:val="single"/>
          </w:rPr>
          <w:t>Shared VPC Overview</w:t>
        </w:r>
      </w:hyperlink>
    </w:p>
    <w:p>
      <w:pPr>
        <w:pStyle w:val="ListBullet"/>
      </w:pPr>
      <w:hyperlink r:id="rId75">
        <w:r>
          <w:rPr>
            <w:color w:val="176B87"/>
            <w:u w:val="single"/>
          </w:rPr>
          <w:t>Network Connectivity Center</w:t>
        </w:r>
      </w:hyperlink>
    </w:p>
    <w:p>
      <w:pPr>
        <w:pStyle w:val="ListBullet"/>
      </w:pPr>
      <w:hyperlink r:id="rId76">
        <w:r>
          <w:rPr>
            <w:color w:val="176B87"/>
            <w:u w:val="single"/>
          </w:rPr>
          <w:t>Security Command Center</w:t>
        </w:r>
      </w:hyperlink>
    </w:p>
    <w:p>
      <w:pPr>
        <w:pStyle w:val="ListBullet"/>
      </w:pPr>
      <w:hyperlink r:id="rId77">
        <w:r>
          <w:rPr>
            <w:color w:val="176B87"/>
            <w:u w:val="single"/>
          </w:rPr>
          <w:t>Cloud Billing Export</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324D"/>
              </w:rPr>
              <w:t>Volume 12D completion: preserve your architecture, code, test evidence, recovery timeline, cost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12D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12D - GOOGLE CLOUD ENTERPRISE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docs.cloud.google.com/architecture/blueprints/security-foundations" TargetMode="External"/><Relationship Id="rId73" Type="http://schemas.openxmlformats.org/officeDocument/2006/relationships/hyperlink" Target="https://docs.cloud.google.com/iam/docs" TargetMode="External"/><Relationship Id="rId74" Type="http://schemas.openxmlformats.org/officeDocument/2006/relationships/hyperlink" Target="https://docs.cloud.google.com/vpc/docs/shared-vpc" TargetMode="External"/><Relationship Id="rId75" Type="http://schemas.openxmlformats.org/officeDocument/2006/relationships/hyperlink" Target="https://docs.cloud.google.com/network-connectivity/docs/network-connectivity-center/concepts/overview" TargetMode="External"/><Relationship Id="rId76" Type="http://schemas.openxmlformats.org/officeDocument/2006/relationships/hyperlink" Target="https://docs.cloud.google.com/security-command-center/docs/concepts-security-command-center-overview" TargetMode="External"/><Relationship Id="rId77" Type="http://schemas.openxmlformats.org/officeDocument/2006/relationships/hyperlink" Target="https://docs.cloud.google.com/billing/docs/how-to/export-data-bigqu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12D - Google Cloud Enterprise Engineering</dc:title>
  <dc:subject>Organization • IAM • Shared VPC • Compute • Data • Security • Reliability • Operations • FinOps</dc:subject>
  <dc:creator>OpenAI</dc:creator>
  <cp:keywords>DevOps, Cloud, AWS, Azure, Google Cloud, Multi-Cloud, Terraform, Architecture, FinOps, Security, Reliability</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