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12E</w:t>
      </w:r>
    </w:p>
    <w:p>
      <w:pPr>
        <w:jc w:val="center"/>
      </w:pPr>
      <w:r>
        <w:rPr>
          <w:b/>
          <w:color w:val="17324D"/>
          <w:sz w:val="40"/>
        </w:rPr>
        <w:t>Hybrid and Multi-Cloud Operations, Migration, DR, Security and FinOps</w:t>
      </w:r>
    </w:p>
    <w:p>
      <w:pPr>
        <w:pStyle w:val="Subtitle"/>
        <w:jc w:val="center"/>
      </w:pPr>
      <w:r>
        <w:t>Federation • Connectivity • Kubernetes • IaC • Delivery • Data • Migration • Recovery • Governance</w:t>
      </w:r>
    </w:p>
    <w:p>
      <w:pPr>
        <w:keepNext w:val="0"/>
        <w:jc w:val="center"/>
      </w:pPr>
      <w:r>
        <w:t>Chapters 41-55  |  2026 Edition</w:t>
      </w:r>
    </w:p>
    <w:p/>
    <w:p>
      <w:pPr>
        <w:keepNext w:val="0"/>
        <w:jc w:val="center"/>
      </w:pPr>
      <w:r>
        <w:t>Beginner to Enterprise Cloud Architecture and Operations</w:t>
      </w:r>
    </w:p>
    <w:p>
      <w:r>
        <w:br w:type="page"/>
      </w:r>
    </w:p>
    <w:p>
      <w:pPr>
        <w:pStyle w:val="Heading1"/>
        <w:keepNext w:val="0"/>
      </w:pPr>
      <w:r>
        <w:t>About This Part</w:t>
      </w:r>
    </w:p>
    <w:p>
      <w:pPr>
        <w:keepNext w:val="0"/>
      </w:pPr>
      <w:r>
        <w:t>Part E moves from provider-specific engineering to the cross-cloud operating model. It covers federated identity, selective connectivity, hybrid Kubernetes, IaC, artifact promotion, data mobility, migration waves, database cutover, disaster recovery, security operations, observability, FinOps and compliance.</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2026 platform note: The 2026 edition treats multi-cloud as an intentional operating model. It does not claim that two provider accounts create resilience; recovery, portability and compliance are validated through data, identity, connectivity, capacity and runbook evidence.</w:t>
            </w:r>
          </w:p>
        </w:tc>
      </w:tr>
    </w:tbl>
    <w:p>
      <w:pPr>
        <w:spacing w:after="0"/>
      </w:pPr>
    </w:p>
    <w:p>
      <w:pPr>
        <w:pStyle w:val="Heading2"/>
        <w:keepNext w:val="0"/>
      </w:pPr>
      <w:r>
        <w:t>Volume 12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864"/>
            <w:shd w:fill="176B87"/>
            <w:tcMar>
              <w:top w:w="65" w:type="dxa"/>
              <w:start w:w="85" w:type="dxa"/>
              <w:bottom w:w="65" w:type="dxa"/>
              <w:end w:w="85" w:type="dxa"/>
            </w:tcMar>
            <w:vAlign w:val="center"/>
          </w:tcPr>
          <w:p>
            <w:r>
              <w:rPr>
                <w:b/>
                <w:color w:val="FFFFFF"/>
                <w:sz w:val="14"/>
              </w:rPr>
              <w:t>Part</w:t>
            </w:r>
          </w:p>
        </w:tc>
        <w:tc>
          <w:tcPr>
            <w:tcW w:type="dxa" w:w="6984"/>
            <w:shd w:fill="176B87"/>
            <w:tcMar>
              <w:top w:w="65" w:type="dxa"/>
              <w:start w:w="85" w:type="dxa"/>
              <w:bottom w:w="65" w:type="dxa"/>
              <w:end w:w="85" w:type="dxa"/>
            </w:tcMar>
            <w:vAlign w:val="center"/>
          </w:tcPr>
          <w:p>
            <w:r>
              <w:rPr>
                <w:b/>
                <w:color w:val="FFFFFF"/>
                <w:sz w:val="14"/>
              </w:rPr>
              <w:t>Coverage</w:t>
            </w:r>
          </w:p>
        </w:tc>
        <w:tc>
          <w:tcPr>
            <w:tcW w:type="dxa" w:w="2088"/>
            <w:shd w:fill="176B87"/>
            <w:tcMar>
              <w:top w:w="65" w:type="dxa"/>
              <w:start w:w="85" w:type="dxa"/>
              <w:bottom w:w="65" w:type="dxa"/>
              <w:end w:w="85" w:type="dxa"/>
            </w:tcMar>
            <w:vAlign w:val="center"/>
          </w:tcPr>
          <w:p>
            <w:r>
              <w:rPr>
                <w:b/>
                <w:color w:val="FFFFFF"/>
                <w:sz w:val="14"/>
              </w:rPr>
              <w:t>Status</w:t>
            </w:r>
          </w:p>
        </w:tc>
      </w:tr>
      <w:tr>
        <w:trPr>
          <w:cantSplit/>
        </w:trPr>
        <w:tc>
          <w:tcPr>
            <w:tcW w:type="dxa" w:w="864"/>
            <w:tcMar>
              <w:top w:w="65" w:type="dxa"/>
              <w:start w:w="85" w:type="dxa"/>
              <w:bottom w:w="65" w:type="dxa"/>
              <w:end w:w="85" w:type="dxa"/>
            </w:tcMar>
            <w:vAlign w:val="top"/>
          </w:tcPr>
          <w:p>
            <w:r>
              <w:rPr>
                <w:sz w:val="14"/>
              </w:rPr>
              <w:t>12A</w:t>
            </w:r>
          </w:p>
        </w:tc>
        <w:tc>
          <w:tcPr>
            <w:tcW w:type="dxa" w:w="6984"/>
            <w:tcMar>
              <w:top w:w="65" w:type="dxa"/>
              <w:start w:w="85" w:type="dxa"/>
              <w:bottom w:w="65" w:type="dxa"/>
              <w:end w:w="85" w:type="dxa"/>
            </w:tcMar>
            <w:vAlign w:val="top"/>
          </w:tcPr>
          <w:p>
            <w:r>
              <w:rPr>
                <w:sz w:val="14"/>
              </w:rPr>
              <w:t>Multi-cloud architecture and landing-zone foundations</w:t>
            </w:r>
          </w:p>
        </w:tc>
        <w:tc>
          <w:tcPr>
            <w:tcW w:type="dxa" w:w="2088"/>
            <w:tcMar>
              <w:top w:w="65" w:type="dxa"/>
              <w:start w:w="85" w:type="dxa"/>
              <w:bottom w:w="65" w:type="dxa"/>
              <w:end w:w="85" w:type="dxa"/>
            </w:tcMar>
            <w:vAlign w:val="top"/>
          </w:tcPr>
          <w:p>
            <w:r>
              <w:rPr>
                <w:sz w:val="14"/>
              </w:rPr>
              <w:t>Completed</w:t>
            </w:r>
          </w:p>
        </w:tc>
      </w:tr>
      <w:tr>
        <w:trPr>
          <w:cantSplit/>
        </w:trPr>
        <w:tc>
          <w:tcPr>
            <w:tcW w:type="dxa" w:w="864"/>
            <w:tcMar>
              <w:top w:w="65" w:type="dxa"/>
              <w:start w:w="85" w:type="dxa"/>
              <w:bottom w:w="65" w:type="dxa"/>
              <w:end w:w="85" w:type="dxa"/>
            </w:tcMar>
            <w:vAlign w:val="top"/>
          </w:tcPr>
          <w:p>
            <w:r>
              <w:rPr>
                <w:sz w:val="14"/>
              </w:rPr>
              <w:t>12B</w:t>
            </w:r>
          </w:p>
        </w:tc>
        <w:tc>
          <w:tcPr>
            <w:tcW w:type="dxa" w:w="6984"/>
            <w:tcMar>
              <w:top w:w="65" w:type="dxa"/>
              <w:start w:w="85" w:type="dxa"/>
              <w:bottom w:w="65" w:type="dxa"/>
              <w:end w:w="85" w:type="dxa"/>
            </w:tcMar>
            <w:vAlign w:val="top"/>
          </w:tcPr>
          <w:p>
            <w:r>
              <w:rPr>
                <w:sz w:val="14"/>
              </w:rPr>
              <w:t>AWS enterprise cloud engineering</w:t>
            </w:r>
          </w:p>
        </w:tc>
        <w:tc>
          <w:tcPr>
            <w:tcW w:type="dxa" w:w="2088"/>
            <w:tcMar>
              <w:top w:w="65" w:type="dxa"/>
              <w:start w:w="85" w:type="dxa"/>
              <w:bottom w:w="65" w:type="dxa"/>
              <w:end w:w="85" w:type="dxa"/>
            </w:tcMar>
            <w:vAlign w:val="top"/>
          </w:tcPr>
          <w:p>
            <w:r>
              <w:rPr>
                <w:sz w:val="14"/>
              </w:rPr>
              <w:t>Course sequence</w:t>
            </w:r>
          </w:p>
        </w:tc>
      </w:tr>
      <w:tr>
        <w:trPr>
          <w:cantSplit/>
        </w:trPr>
        <w:tc>
          <w:tcPr>
            <w:tcW w:type="dxa" w:w="864"/>
            <w:tcMar>
              <w:top w:w="65" w:type="dxa"/>
              <w:start w:w="85" w:type="dxa"/>
              <w:bottom w:w="65" w:type="dxa"/>
              <w:end w:w="85" w:type="dxa"/>
            </w:tcMar>
            <w:vAlign w:val="top"/>
          </w:tcPr>
          <w:p>
            <w:r>
              <w:rPr>
                <w:sz w:val="14"/>
              </w:rPr>
              <w:t>12C</w:t>
            </w:r>
          </w:p>
        </w:tc>
        <w:tc>
          <w:tcPr>
            <w:tcW w:type="dxa" w:w="6984"/>
            <w:tcMar>
              <w:top w:w="65" w:type="dxa"/>
              <w:start w:w="85" w:type="dxa"/>
              <w:bottom w:w="65" w:type="dxa"/>
              <w:end w:w="85" w:type="dxa"/>
            </w:tcMar>
            <w:vAlign w:val="top"/>
          </w:tcPr>
          <w:p>
            <w:r>
              <w:rPr>
                <w:sz w:val="14"/>
              </w:rPr>
              <w:t>Azure enterprise cloud engineering</w:t>
            </w:r>
          </w:p>
        </w:tc>
        <w:tc>
          <w:tcPr>
            <w:tcW w:type="dxa" w:w="2088"/>
            <w:tcMar>
              <w:top w:w="65" w:type="dxa"/>
              <w:start w:w="85" w:type="dxa"/>
              <w:bottom w:w="65" w:type="dxa"/>
              <w:end w:w="85" w:type="dxa"/>
            </w:tcMar>
            <w:vAlign w:val="top"/>
          </w:tcPr>
          <w:p>
            <w:r>
              <w:rPr>
                <w:sz w:val="14"/>
              </w:rPr>
              <w:t>Course sequence</w:t>
            </w:r>
          </w:p>
        </w:tc>
      </w:tr>
      <w:tr>
        <w:trPr>
          <w:cantSplit/>
        </w:trPr>
        <w:tc>
          <w:tcPr>
            <w:tcW w:type="dxa" w:w="864"/>
            <w:tcMar>
              <w:top w:w="65" w:type="dxa"/>
              <w:start w:w="85" w:type="dxa"/>
              <w:bottom w:w="65" w:type="dxa"/>
              <w:end w:w="85" w:type="dxa"/>
            </w:tcMar>
            <w:vAlign w:val="top"/>
          </w:tcPr>
          <w:p>
            <w:r>
              <w:rPr>
                <w:sz w:val="14"/>
              </w:rPr>
              <w:t>12D</w:t>
            </w:r>
          </w:p>
        </w:tc>
        <w:tc>
          <w:tcPr>
            <w:tcW w:type="dxa" w:w="6984"/>
            <w:tcMar>
              <w:top w:w="65" w:type="dxa"/>
              <w:start w:w="85" w:type="dxa"/>
              <w:bottom w:w="65" w:type="dxa"/>
              <w:end w:w="85" w:type="dxa"/>
            </w:tcMar>
            <w:vAlign w:val="top"/>
          </w:tcPr>
          <w:p>
            <w:r>
              <w:rPr>
                <w:sz w:val="14"/>
              </w:rPr>
              <w:t>Google Cloud enterprise engineering</w:t>
            </w:r>
          </w:p>
        </w:tc>
        <w:tc>
          <w:tcPr>
            <w:tcW w:type="dxa" w:w="2088"/>
            <w:tcMar>
              <w:top w:w="65" w:type="dxa"/>
              <w:start w:w="85" w:type="dxa"/>
              <w:bottom w:w="65" w:type="dxa"/>
              <w:end w:w="85" w:type="dxa"/>
            </w:tcMar>
            <w:vAlign w:val="top"/>
          </w:tcPr>
          <w:p>
            <w:r>
              <w:rPr>
                <w:sz w:val="14"/>
              </w:rPr>
              <w:t>Course sequence</w:t>
            </w:r>
          </w:p>
        </w:tc>
      </w:tr>
      <w:tr>
        <w:trPr>
          <w:cantSplit/>
        </w:trPr>
        <w:tc>
          <w:tcPr>
            <w:tcW w:type="dxa" w:w="864"/>
            <w:tcMar>
              <w:top w:w="65" w:type="dxa"/>
              <w:start w:w="85" w:type="dxa"/>
              <w:bottom w:w="65" w:type="dxa"/>
              <w:end w:w="85" w:type="dxa"/>
            </w:tcMar>
            <w:vAlign w:val="top"/>
          </w:tcPr>
          <w:p>
            <w:r>
              <w:rPr>
                <w:sz w:val="14"/>
              </w:rPr>
              <w:t>12E</w:t>
            </w:r>
          </w:p>
        </w:tc>
        <w:tc>
          <w:tcPr>
            <w:tcW w:type="dxa" w:w="6984"/>
            <w:tcMar>
              <w:top w:w="65" w:type="dxa"/>
              <w:start w:w="85" w:type="dxa"/>
              <w:bottom w:w="65" w:type="dxa"/>
              <w:end w:w="85" w:type="dxa"/>
            </w:tcMar>
            <w:vAlign w:val="top"/>
          </w:tcPr>
          <w:p>
            <w:r>
              <w:rPr>
                <w:sz w:val="14"/>
              </w:rPr>
              <w:t>Hybrid and multi-cloud operations, migration, DR, security and FinOps</w:t>
            </w:r>
          </w:p>
        </w:tc>
        <w:tc>
          <w:tcPr>
            <w:tcW w:type="dxa" w:w="2088"/>
            <w:tcMar>
              <w:top w:w="65" w:type="dxa"/>
              <w:start w:w="85" w:type="dxa"/>
              <w:bottom w:w="65" w:type="dxa"/>
              <w:end w:w="85" w:type="dxa"/>
            </w:tcMar>
            <w:vAlign w:val="top"/>
          </w:tcPr>
          <w:p>
            <w:r>
              <w:rPr>
                <w:sz w:val="14"/>
              </w:rPr>
              <w:t>Completed in this package</w:t>
            </w:r>
          </w:p>
        </w:tc>
      </w:tr>
      <w:tr>
        <w:trPr>
          <w:cantSplit/>
        </w:trPr>
        <w:tc>
          <w:tcPr>
            <w:tcW w:type="dxa" w:w="864"/>
            <w:tcMar>
              <w:top w:w="65" w:type="dxa"/>
              <w:start w:w="85" w:type="dxa"/>
              <w:bottom w:w="65" w:type="dxa"/>
              <w:end w:w="85" w:type="dxa"/>
            </w:tcMar>
            <w:vAlign w:val="top"/>
          </w:tcPr>
          <w:p>
            <w:r>
              <w:rPr>
                <w:sz w:val="14"/>
              </w:rPr>
              <w:t>12F</w:t>
            </w:r>
          </w:p>
        </w:tc>
        <w:tc>
          <w:tcPr>
            <w:tcW w:type="dxa" w:w="6984"/>
            <w:tcMar>
              <w:top w:w="65" w:type="dxa"/>
              <w:start w:w="85" w:type="dxa"/>
              <w:bottom w:w="65" w:type="dxa"/>
              <w:end w:w="85" w:type="dxa"/>
            </w:tcMar>
            <w:vAlign w:val="top"/>
          </w:tcPr>
          <w:p>
            <w:r>
              <w:rPr>
                <w:sz w:val="14"/>
              </w:rPr>
              <w:t>Enterprise projects, certifications, interviews and final capstone</w:t>
            </w:r>
          </w:p>
        </w:tc>
        <w:tc>
          <w:tcPr>
            <w:tcW w:type="dxa" w:w="2088"/>
            <w:tcMar>
              <w:top w:w="65" w:type="dxa"/>
              <w:start w:w="85" w:type="dxa"/>
              <w:bottom w:w="65" w:type="dxa"/>
              <w:end w:w="85" w:type="dxa"/>
            </w:tcMar>
            <w:vAlign w:val="top"/>
          </w:tcPr>
          <w:p>
            <w:r>
              <w:rPr>
                <w:sz w:val="14"/>
              </w:rPr>
              <w:t>Course sequence</w:t>
            </w:r>
          </w:p>
        </w:tc>
      </w:tr>
    </w:tbl>
    <w:p>
      <w:pPr>
        <w:pStyle w:val="Heading2"/>
        <w:keepNext w:val="0"/>
      </w:pPr>
      <w:r>
        <w:t>Scope, Safety and Cost Controls</w:t>
      </w:r>
    </w:p>
    <w:p>
      <w:pPr>
        <w:pStyle w:val="ListBullet"/>
      </w:pPr>
      <w:r>
        <w:t>Use disposable sandboxes, free tiers, local simulations or approved training subscriptions. Configure budgets and expiry before creating resources.</w:t>
      </w:r>
    </w:p>
    <w:p>
      <w:pPr>
        <w:pStyle w:val="ListBullet"/>
      </w:pPr>
      <w:r>
        <w:t>Never use production identities, customer data, employer account structures, internal IP ranges or confidential contracts in course artifacts.</w:t>
      </w:r>
    </w:p>
    <w:p>
      <w:pPr>
        <w:pStyle w:val="ListBullet"/>
      </w:pPr>
      <w:r>
        <w:t>Cloud services, prices, limits, recommendations and certifications change. Verify official documentation before production use or exam registration.</w:t>
      </w:r>
    </w:p>
    <w:p>
      <w:pPr>
        <w:pStyle w:val="ListBullet"/>
      </w:pPr>
      <w:r>
        <w:t>Run failure, security and recovery tests only in approved nonproduction environments with explicit stop conditions.</w:t>
      </w:r>
    </w:p>
    <w:p>
      <w:pPr>
        <w:pStyle w:val="ListBullet"/>
      </w:pPr>
      <w:r>
        <w:t>Destroy resources, revoke credentials, remove local state copies and verify billing inventory after every lab.</w:t>
      </w:r>
    </w:p>
    <w:p>
      <w:pPr>
        <w:pStyle w:val="Heading2"/>
        <w:keepNext w:val="0"/>
      </w:pPr>
      <w:r>
        <w:t>Learning Outcomes</w:t>
      </w:r>
    </w:p>
    <w:p>
      <w:pPr>
        <w:pStyle w:val="ListBullet"/>
      </w:pPr>
      <w:r>
        <w:t>Explain and design the major architecture domains covered by Hybrid and Multi-Cloud Operations, Migration, DR, Security and FinOps.</w:t>
      </w:r>
    </w:p>
    <w:p>
      <w:pPr>
        <w:pStyle w:val="ListBullet"/>
      </w:pPr>
      <w:r>
        <w:t>Implement provider or cross-cloud controls through version-controlled automation.</w:t>
      </w:r>
    </w:p>
    <w:p>
      <w:pPr>
        <w:pStyle w:val="ListBullet"/>
      </w:pPr>
      <w:r>
        <w:t>Test identity, network, security, reliability, operations and cost behavior.</w:t>
      </w:r>
    </w:p>
    <w:p>
      <w:pPr>
        <w:pStyle w:val="ListBullet"/>
      </w:pPr>
      <w:r>
        <w:t>Troubleshoot failures using effective policy, route, service and telemetry evidence.</w:t>
      </w:r>
    </w:p>
    <w:p>
      <w:pPr>
        <w:pStyle w:val="ListBullet"/>
      </w:pPr>
      <w:r>
        <w:t>Produce sanitized architecture, runbook, laboratory and interview portfolio artifacts.</w:t>
      </w:r>
    </w:p>
    <w:p>
      <w:r>
        <w:br w:type="page"/>
      </w:r>
    </w:p>
    <w:p>
      <w:pPr>
        <w:pStyle w:val="Heading1"/>
        <w:keepNext w:val="0"/>
      </w:pPr>
      <w:r>
        <w:t>Table of Contents</w:t>
      </w:r>
    </w:p>
    <w:p>
      <w:pPr>
        <w:keepNext w:val="0"/>
      </w:pPr>
      <w:r>
        <w:t>Chapter 41  Multi-Cloud Operating Model and Control Plane</w:t>
      </w:r>
    </w:p>
    <w:p>
      <w:pPr>
        <w:keepNext w:val="0"/>
      </w:pPr>
      <w:r>
        <w:t>Chapter 42  Cross-Cloud Identity Federation and Privileged Access</w:t>
      </w:r>
    </w:p>
    <w:p>
      <w:pPr>
        <w:keepNext w:val="0"/>
      </w:pPr>
      <w:r>
        <w:t>Chapter 43  Multi-Cloud Networking, DNS and Zero-Trust Connectivity</w:t>
      </w:r>
    </w:p>
    <w:p>
      <w:pPr>
        <w:keepNext w:val="0"/>
      </w:pPr>
      <w:r>
        <w:t>Chapter 44  Hybrid Kubernetes and Fleet Management</w:t>
      </w:r>
    </w:p>
    <w:p>
      <w:pPr>
        <w:keepNext w:val="0"/>
      </w:pPr>
      <w:r>
        <w:t>Chapter 45  Multi-Cloud Infrastructure as Code and State Governance</w:t>
      </w:r>
    </w:p>
    <w:p>
      <w:pPr>
        <w:keepNext w:val="0"/>
      </w:pPr>
      <w:r>
        <w:t>Chapter 46  Multi-Cloud CI/CD, GitOps and Artifact Promotion</w:t>
      </w:r>
    </w:p>
    <w:p>
      <w:pPr>
        <w:keepNext w:val="0"/>
      </w:pPr>
      <w:r>
        <w:t>Chapter 47  Data Portability, Replication and Sovereignty</w:t>
      </w:r>
    </w:p>
    <w:p>
      <w:pPr>
        <w:keepNext w:val="0"/>
      </w:pPr>
      <w:r>
        <w:t>Chapter 48  Application Migration Strategy and Wave Planning</w:t>
      </w:r>
    </w:p>
    <w:p>
      <w:pPr>
        <w:keepNext w:val="0"/>
      </w:pPr>
      <w:r>
        <w:t>Chapter 49  Database Migration and Modernization</w:t>
      </w:r>
    </w:p>
    <w:p>
      <w:pPr>
        <w:keepNext w:val="0"/>
      </w:pPr>
      <w:r>
        <w:t>Chapter 50  Multi-Cloud Resilience and Disaster Recovery</w:t>
      </w:r>
    </w:p>
    <w:p>
      <w:pPr>
        <w:keepNext w:val="0"/>
      </w:pPr>
      <w:r>
        <w:t>Chapter 51  Cloud Security Posture, CNAPP and SOC Integration</w:t>
      </w:r>
    </w:p>
    <w:p>
      <w:pPr>
        <w:keepNext w:val="0"/>
      </w:pPr>
      <w:r>
        <w:t>Chapter 52  Multi-Cloud Observability and Incident Response</w:t>
      </w:r>
    </w:p>
    <w:p>
      <w:pPr>
        <w:keepNext w:val="0"/>
      </w:pPr>
      <w:r>
        <w:t>Chapter 53  Multi-Cloud FinOps, Contracts and Unit Economics</w:t>
      </w:r>
    </w:p>
    <w:p>
      <w:pPr>
        <w:keepNext w:val="0"/>
      </w:pPr>
      <w:r>
        <w:t>Chapter 54  Cross-Cloud Policy, Compliance and Audit Evidence</w:t>
      </w:r>
    </w:p>
    <w:p>
      <w:pPr>
        <w:keepNext w:val="0"/>
      </w:pPr>
      <w:r>
        <w:t>Chapter 55  Hybrid and Multi-Cloud Operations Capstone</w:t>
      </w:r>
    </w:p>
    <w:p>
      <w:pPr>
        <w:keepNext w:val="0"/>
      </w:pPr>
      <w:r>
        <w:t>Hybrid and Multi-Cloud Operations Reference</w:t>
      </w:r>
    </w:p>
    <w:p>
      <w:pPr>
        <w:keepNext w:val="0"/>
      </w:pPr>
      <w:r>
        <w:t>Completion Checklist</w:t>
      </w:r>
    </w:p>
    <w:p>
      <w:pPr>
        <w:keepNext w:val="0"/>
      </w:pPr>
      <w:r>
        <w:t>Additional Portfolio Projects</w:t>
      </w:r>
    </w:p>
    <w:p>
      <w:pPr>
        <w:keepNext w:val="0"/>
      </w:pPr>
      <w:r>
        <w:t>30-Day Practice Plan</w:t>
      </w:r>
    </w:p>
    <w:p>
      <w:pPr>
        <w:keepNext w:val="0"/>
      </w:pPr>
      <w:r>
        <w:t>Glossary</w:t>
      </w:r>
    </w:p>
    <w:p>
      <w:pPr>
        <w:keepNext w:val="0"/>
      </w:pPr>
      <w:r>
        <w:t>Official Documentation Index</w:t>
      </w:r>
    </w:p>
    <w:p>
      <w:r>
        <w:br w:type="page"/>
      </w:r>
    </w:p>
    <w:p>
      <w:pPr>
        <w:jc w:val="center"/>
      </w:pPr>
      <w:r>
        <w:rPr>
          <w:b/>
          <w:color w:val="14919B"/>
          <w:sz w:val="17"/>
        </w:rPr>
        <w:t>VOLUME 12E  |  CHAPTER 41</w:t>
      </w:r>
    </w:p>
    <w:p>
      <w:pPr>
        <w:pStyle w:val="Heading1"/>
        <w:jc w:val="center"/>
      </w:pPr>
      <w:r>
        <w:t>Chapter 41: Multi-Cloud Operating Model and Control Plane</w:t>
      </w:r>
    </w:p>
    <w:p>
      <w:pPr>
        <w:jc w:val="center"/>
      </w:pPr>
      <w:r>
        <w:rPr>
          <w:i/>
          <w:color w:val="4B5563"/>
          <w:sz w:val="20"/>
        </w:rPr>
        <w:t>Defining provider roles, ownership and platform contracts</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Cross-cloud operations fail when each provider is managed as an unrelated island or when a central team attempts to hide all provider differences. A federated model needs common controls and provider-deep ownership.</w:t>
            </w:r>
          </w:p>
        </w:tc>
      </w:tr>
    </w:tbl>
    <w:p>
      <w:pPr>
        <w:spacing w:after="0"/>
      </w:pPr>
    </w:p>
    <w:p>
      <w:pPr>
        <w:pStyle w:val="Heading2"/>
        <w:keepNext/>
      </w:pPr>
      <w:r>
        <w:t>Learning Objectives</w:t>
      </w:r>
    </w:p>
    <w:p>
      <w:pPr>
        <w:pStyle w:val="ListBullet"/>
      </w:pPr>
      <w:r>
        <w:t>Explain the architecture, responsibility boundaries and major trade-offs of provider role and workload placement governance.</w:t>
      </w:r>
    </w:p>
    <w:p>
      <w:pPr>
        <w:pStyle w:val="ListBullet"/>
      </w:pPr>
      <w:r>
        <w:t>Design central standards versus provider-specific implementation for enterprise scale, least privilege and bounded failure.</w:t>
      </w:r>
    </w:p>
    <w:p>
      <w:pPr>
        <w:pStyle w:val="ListBullet"/>
      </w:pPr>
      <w:r>
        <w:t>Implement platform product ownership and service catalog through version-controlled automation and policy checks.</w:t>
      </w:r>
    </w:p>
    <w:p>
      <w:pPr>
        <w:pStyle w:val="ListBullet"/>
      </w:pPr>
      <w:r>
        <w:t>Troubleshoot exception, lifecycle and architecture review using provider-native telemetry and repeatable evidence.</w:t>
      </w:r>
    </w:p>
    <w:p>
      <w:pPr>
        <w:pStyle w:val="ListBullet"/>
      </w:pPr>
      <w:r>
        <w:t>Deliver a sanitized portfolio artifact for design the multi-cloud platform operating model.</w:t>
      </w:r>
    </w:p>
    <w:p>
      <w:pPr>
        <w:pStyle w:val="Heading2"/>
        <w:keepNext/>
      </w:pPr>
      <w:r>
        <w:t>Core Concepts</w:t>
      </w:r>
    </w:p>
    <w:p>
      <w:pPr>
        <w:pStyle w:val="Heading3"/>
        <w:keepNext/>
      </w:pPr>
      <w:r>
        <w:t>Provider role and workload placement governance</w:t>
      </w:r>
    </w:p>
    <w:p>
      <w:pPr>
        <w:keepNext w:val="0"/>
      </w:pPr>
      <w:r>
        <w:t>Provider role and workload placement governance is a design boundary, not merely a console feature. In Multi-Cloud Operating Model and Control Plane, the team must document ownership, trust assumptions, dependency direction, failure impact and the evidence used to prove the control. The recommended implementation uses Cloud strategy board, Provider foundation teams, Product teams, Cloud security engineering only where they satisfy an explicit requirement; equivalent services are not automatically interchangeable.</w:t>
      </w:r>
    </w:p>
    <w:p>
      <w:pPr>
        <w:pStyle w:val="Heading3"/>
        <w:keepNext/>
      </w:pPr>
      <w:r>
        <w:t>Central standards versus provider-specific implementation</w:t>
      </w:r>
    </w:p>
    <w:p>
      <w:pPr>
        <w:keepNext w:val="0"/>
      </w:pPr>
      <w:r>
        <w:t>A production implementation of Central standards versus provider-specific implementation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Platform product ownership and service catalog</w:t>
      </w:r>
    </w:p>
    <w:p>
      <w:pPr>
        <w:keepNext w:val="0"/>
      </w:pPr>
      <w:r>
        <w:t>For Platform product ownership and service catalog,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Exception, lifecycle and architecture review</w:t>
      </w:r>
    </w:p>
    <w:p>
      <w:pPr>
        <w:keepNext w:val="0"/>
      </w:pPr>
      <w:r>
        <w:t>The strongest validation for Exception, lifecycle and architecture review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Governance</w:t>
            </w:r>
          </w:p>
        </w:tc>
        <w:tc>
          <w:tcPr>
            <w:tcW w:type="dxa" w:w="2952"/>
            <w:tcMar>
              <w:top w:w="65" w:type="dxa"/>
              <w:start w:w="85" w:type="dxa"/>
              <w:bottom w:w="65" w:type="dxa"/>
              <w:end w:w="85" w:type="dxa"/>
            </w:tcMar>
            <w:vAlign w:val="top"/>
          </w:tcPr>
          <w:p>
            <w:r>
              <w:rPr>
                <w:sz w:val="14"/>
              </w:rPr>
              <w:t>Cloud strategy board</w:t>
            </w:r>
          </w:p>
        </w:tc>
        <w:tc>
          <w:tcPr>
            <w:tcW w:type="dxa" w:w="4824"/>
            <w:tcMar>
              <w:top w:w="65" w:type="dxa"/>
              <w:start w:w="85" w:type="dxa"/>
              <w:bottom w:w="65" w:type="dxa"/>
              <w:end w:w="85" w:type="dxa"/>
            </w:tcMar>
            <w:vAlign w:val="top"/>
          </w:tcPr>
          <w:p>
            <w:r>
              <w:rPr>
                <w:sz w:val="14"/>
              </w:rPr>
              <w:t>Approve provider roles and workload placement.</w:t>
            </w:r>
          </w:p>
        </w:tc>
      </w:tr>
      <w:tr>
        <w:trPr>
          <w:cantSplit/>
        </w:trPr>
        <w:tc>
          <w:tcPr>
            <w:tcW w:type="dxa" w:w="2232"/>
            <w:tcMar>
              <w:top w:w="65" w:type="dxa"/>
              <w:start w:w="85" w:type="dxa"/>
              <w:bottom w:w="65" w:type="dxa"/>
              <w:end w:w="85" w:type="dxa"/>
            </w:tcMar>
            <w:vAlign w:val="top"/>
          </w:tcPr>
          <w:p>
            <w:r>
              <w:rPr>
                <w:sz w:val="14"/>
              </w:rPr>
              <w:t>Platform</w:t>
            </w:r>
          </w:p>
        </w:tc>
        <w:tc>
          <w:tcPr>
            <w:tcW w:type="dxa" w:w="2952"/>
            <w:tcMar>
              <w:top w:w="65" w:type="dxa"/>
              <w:start w:w="85" w:type="dxa"/>
              <w:bottom w:w="65" w:type="dxa"/>
              <w:end w:w="85" w:type="dxa"/>
            </w:tcMar>
            <w:vAlign w:val="top"/>
          </w:tcPr>
          <w:p>
            <w:r>
              <w:rPr>
                <w:sz w:val="14"/>
              </w:rPr>
              <w:t>Provider foundation teams</w:t>
            </w:r>
          </w:p>
        </w:tc>
        <w:tc>
          <w:tcPr>
            <w:tcW w:type="dxa" w:w="4824"/>
            <w:tcMar>
              <w:top w:w="65" w:type="dxa"/>
              <w:start w:w="85" w:type="dxa"/>
              <w:bottom w:w="65" w:type="dxa"/>
              <w:end w:w="85" w:type="dxa"/>
            </w:tcMar>
            <w:vAlign w:val="top"/>
          </w:tcPr>
          <w:p>
            <w:r>
              <w:rPr>
                <w:sz w:val="14"/>
              </w:rPr>
              <w:t>Operate landing zones and shared capabilities.</w:t>
            </w:r>
          </w:p>
        </w:tc>
      </w:tr>
      <w:tr>
        <w:trPr>
          <w:cantSplit/>
        </w:trPr>
        <w:tc>
          <w:tcPr>
            <w:tcW w:type="dxa" w:w="2232"/>
            <w:tcMar>
              <w:top w:w="65" w:type="dxa"/>
              <w:start w:w="85" w:type="dxa"/>
              <w:bottom w:w="65" w:type="dxa"/>
              <w:end w:w="85" w:type="dxa"/>
            </w:tcMar>
            <w:vAlign w:val="top"/>
          </w:tcPr>
          <w:p>
            <w:r>
              <w:rPr>
                <w:sz w:val="14"/>
              </w:rPr>
              <w:t>Workloads</w:t>
            </w:r>
          </w:p>
        </w:tc>
        <w:tc>
          <w:tcPr>
            <w:tcW w:type="dxa" w:w="2952"/>
            <w:tcMar>
              <w:top w:w="65" w:type="dxa"/>
              <w:start w:w="85" w:type="dxa"/>
              <w:bottom w:w="65" w:type="dxa"/>
              <w:end w:w="85" w:type="dxa"/>
            </w:tcMar>
            <w:vAlign w:val="top"/>
          </w:tcPr>
          <w:p>
            <w:r>
              <w:rPr>
                <w:sz w:val="14"/>
              </w:rPr>
              <w:t>Product teams</w:t>
            </w:r>
          </w:p>
        </w:tc>
        <w:tc>
          <w:tcPr>
            <w:tcW w:type="dxa" w:w="4824"/>
            <w:tcMar>
              <w:top w:w="65" w:type="dxa"/>
              <w:start w:w="85" w:type="dxa"/>
              <w:bottom w:w="65" w:type="dxa"/>
              <w:end w:w="85" w:type="dxa"/>
            </w:tcMar>
            <w:vAlign w:val="top"/>
          </w:tcPr>
          <w:p>
            <w:r>
              <w:rPr>
                <w:sz w:val="14"/>
              </w:rPr>
              <w:t>Own service objectives and application controls.</w:t>
            </w:r>
          </w:p>
        </w:tc>
      </w:tr>
      <w:tr>
        <w:trPr>
          <w:cantSplit/>
        </w:trPr>
        <w:tc>
          <w:tcPr>
            <w:tcW w:type="dxa" w:w="2232"/>
            <w:tcMar>
              <w:top w:w="65" w:type="dxa"/>
              <w:start w:w="85" w:type="dxa"/>
              <w:bottom w:w="65" w:type="dxa"/>
              <w:end w:w="85" w:type="dxa"/>
            </w:tcMar>
            <w:vAlign w:val="top"/>
          </w:tcPr>
          <w:p>
            <w:r>
              <w:rPr>
                <w:sz w:val="14"/>
              </w:rPr>
              <w:t>Security</w:t>
            </w:r>
          </w:p>
        </w:tc>
        <w:tc>
          <w:tcPr>
            <w:tcW w:type="dxa" w:w="2952"/>
            <w:tcMar>
              <w:top w:w="65" w:type="dxa"/>
              <w:start w:w="85" w:type="dxa"/>
              <w:bottom w:w="65" w:type="dxa"/>
              <w:end w:w="85" w:type="dxa"/>
            </w:tcMar>
            <w:vAlign w:val="top"/>
          </w:tcPr>
          <w:p>
            <w:r>
              <w:rPr>
                <w:sz w:val="14"/>
              </w:rPr>
              <w:t>Cloud security engineering</w:t>
            </w:r>
          </w:p>
        </w:tc>
        <w:tc>
          <w:tcPr>
            <w:tcW w:type="dxa" w:w="4824"/>
            <w:tcMar>
              <w:top w:w="65" w:type="dxa"/>
              <w:start w:w="85" w:type="dxa"/>
              <w:bottom w:w="65" w:type="dxa"/>
              <w:end w:w="85" w:type="dxa"/>
            </w:tcMar>
            <w:vAlign w:val="top"/>
          </w:tcPr>
          <w:p>
            <w:r>
              <w:rPr>
                <w:sz w:val="14"/>
              </w:rPr>
              <w:t>Define guardrails and evidence requirements.</w:t>
            </w:r>
          </w:p>
        </w:tc>
      </w:tr>
      <w:tr>
        <w:trPr>
          <w:cantSplit/>
        </w:trPr>
        <w:tc>
          <w:tcPr>
            <w:tcW w:type="dxa" w:w="2232"/>
            <w:tcMar>
              <w:top w:w="65" w:type="dxa"/>
              <w:start w:w="85" w:type="dxa"/>
              <w:bottom w:w="65" w:type="dxa"/>
              <w:end w:w="85" w:type="dxa"/>
            </w:tcMar>
            <w:vAlign w:val="top"/>
          </w:tcPr>
          <w:p>
            <w:r>
              <w:rPr>
                <w:sz w:val="14"/>
              </w:rPr>
              <w:t>Finance</w:t>
            </w:r>
          </w:p>
        </w:tc>
        <w:tc>
          <w:tcPr>
            <w:tcW w:type="dxa" w:w="2952"/>
            <w:tcMar>
              <w:top w:w="65" w:type="dxa"/>
              <w:start w:w="85" w:type="dxa"/>
              <w:bottom w:w="65" w:type="dxa"/>
              <w:end w:w="85" w:type="dxa"/>
            </w:tcMar>
            <w:vAlign w:val="top"/>
          </w:tcPr>
          <w:p>
            <w:r>
              <w:rPr>
                <w:sz w:val="14"/>
              </w:rPr>
              <w:t>FinOps practice</w:t>
            </w:r>
          </w:p>
        </w:tc>
        <w:tc>
          <w:tcPr>
            <w:tcW w:type="dxa" w:w="4824"/>
            <w:tcMar>
              <w:top w:w="65" w:type="dxa"/>
              <w:start w:w="85" w:type="dxa"/>
              <w:bottom w:w="65" w:type="dxa"/>
              <w:end w:w="85" w:type="dxa"/>
            </w:tcMar>
            <w:vAlign w:val="top"/>
          </w:tcPr>
          <w:p>
            <w:r>
              <w:rPr>
                <w:sz w:val="14"/>
              </w:rPr>
              <w:t>Allocate spend and optimize value.</w:t>
            </w:r>
          </w:p>
        </w:tc>
      </w:tr>
      <w:tr>
        <w:trPr>
          <w:cantSplit/>
        </w:trPr>
        <w:tc>
          <w:tcPr>
            <w:tcW w:type="dxa" w:w="2232"/>
            <w:tcMar>
              <w:top w:w="65" w:type="dxa"/>
              <w:start w:w="85" w:type="dxa"/>
              <w:bottom w:w="65" w:type="dxa"/>
              <w:end w:w="85" w:type="dxa"/>
            </w:tcMar>
            <w:vAlign w:val="top"/>
          </w:tcPr>
          <w:p>
            <w:r>
              <w:rPr>
                <w:sz w:val="14"/>
              </w:rPr>
              <w:t>Vendors</w:t>
            </w:r>
          </w:p>
        </w:tc>
        <w:tc>
          <w:tcPr>
            <w:tcW w:type="dxa" w:w="2952"/>
            <w:tcMar>
              <w:top w:w="65" w:type="dxa"/>
              <w:start w:w="85" w:type="dxa"/>
              <w:bottom w:w="65" w:type="dxa"/>
              <w:end w:w="85" w:type="dxa"/>
            </w:tcMar>
            <w:vAlign w:val="top"/>
          </w:tcPr>
          <w:p>
            <w:r>
              <w:rPr>
                <w:sz w:val="14"/>
              </w:rPr>
              <w:t>Commercial management</w:t>
            </w:r>
          </w:p>
        </w:tc>
        <w:tc>
          <w:tcPr>
            <w:tcW w:type="dxa" w:w="4824"/>
            <w:tcMar>
              <w:top w:w="65" w:type="dxa"/>
              <w:start w:w="85" w:type="dxa"/>
              <w:bottom w:w="65" w:type="dxa"/>
              <w:end w:w="85" w:type="dxa"/>
            </w:tcMar>
            <w:vAlign w:val="top"/>
          </w:tcPr>
          <w:p>
            <w:r>
              <w:rPr>
                <w:sz w:val="14"/>
              </w:rPr>
              <w:t>Control contracts, support and concentration risk.</w:t>
            </w:r>
          </w:p>
        </w:tc>
      </w:tr>
    </w:tbl>
    <w:p>
      <w:pPr>
        <w:pStyle w:val="Heading2"/>
        <w:keepNext/>
      </w:pPr>
      <w:r>
        <w:t>Architecture and Operating Decisions</w:t>
      </w:r>
    </w:p>
    <w:p>
      <w:pPr>
        <w:pStyle w:val="ListBullet"/>
      </w:pPr>
      <w:r>
        <w:t>Use Multi-Cloud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platform product ownership and service catalog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operating_model:</w:t>
              <w:br/>
              <w:t xml:space="preserve">  central: [identity_standard, metadata, risk, finops, evidence]</w:t>
              <w:br/>
              <w:t xml:space="preserve">  provider_teams: [landing_zone, network, service_patterns, operations]</w:t>
              <w:br/>
              <w:t xml:space="preserve">  workload_teams: [application, data, slo, runbook]</w:t>
              <w:br/>
              <w:t xml:space="preserve">  review: quarterly</w:t>
              <w:br/>
              <w:t xml:space="preserve">  exception: owner_plus_expiry_plus_compensating_control</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multi-cloud operating model and control plane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41: Design the Multi-Cloud Platform Operating Model</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multi-cloud operating model and control plane using fictional enterprise requirements.</w:t>
      </w:r>
    </w:p>
    <w:p>
      <w:pPr>
        <w:ind w:left="360" w:hanging="360"/>
      </w:pPr>
      <w:r>
        <w:rPr>
          <w:b/>
        </w:rPr>
        <w:t xml:space="preserve">2. </w:t>
      </w:r>
      <w:r>
        <w:t>Implement the smallest safe sandbox using Cloud strategy board, Provider foundation teams, Product teams;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Multi-Cloud Operating Model and Control Plane?</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Multi-Cloud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Provider role and workload placement governance defines a key architecture boundary.</w:t>
      </w:r>
    </w:p>
    <w:p>
      <w:pPr>
        <w:pStyle w:val="ListBullet"/>
      </w:pPr>
      <w:r>
        <w:t>Central standards versus provider-specific implementation must be automated and least-privileged.</w:t>
      </w:r>
    </w:p>
    <w:p>
      <w:pPr>
        <w:pStyle w:val="ListBullet"/>
      </w:pPr>
      <w:r>
        <w:t>Platform product ownership and service catalog requires policy, telemetry and recovery evidence.</w:t>
      </w:r>
    </w:p>
    <w:p>
      <w:pPr>
        <w:pStyle w:val="ListBullet"/>
      </w:pPr>
      <w:r>
        <w:t>Exception, lifecycle and architecture review should be tested before production and after material change.</w:t>
      </w:r>
    </w:p>
    <w:p>
      <w:r>
        <w:br w:type="page"/>
      </w:r>
    </w:p>
    <w:p>
      <w:pPr>
        <w:jc w:val="center"/>
      </w:pPr>
      <w:r>
        <w:rPr>
          <w:b/>
          <w:color w:val="14919B"/>
          <w:sz w:val="17"/>
        </w:rPr>
        <w:t>VOLUME 12E  |  CHAPTER 42</w:t>
      </w:r>
    </w:p>
    <w:p>
      <w:pPr>
        <w:pStyle w:val="Heading1"/>
        <w:jc w:val="center"/>
      </w:pPr>
      <w:r>
        <w:t>Chapter 42: Cross-Cloud Identity Federation and Privileged Access</w:t>
      </w:r>
    </w:p>
    <w:p>
      <w:pPr>
        <w:jc w:val="center"/>
      </w:pPr>
      <w:r>
        <w:rPr>
          <w:i/>
          <w:color w:val="4B5563"/>
          <w:sz w:val="20"/>
        </w:rPr>
        <w:t>Unifying human access while preserving provider-native authorization</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Identity federation reduces account sprawl, but authorization remains provider-specific. Privileged access, workload identity, emergency recovery and audit need common policies with native implementations.</w:t>
            </w:r>
          </w:p>
        </w:tc>
      </w:tr>
    </w:tbl>
    <w:p>
      <w:pPr>
        <w:spacing w:after="0"/>
      </w:pPr>
    </w:p>
    <w:p>
      <w:pPr>
        <w:pStyle w:val="Heading2"/>
        <w:keepNext/>
      </w:pPr>
      <w:r>
        <w:t>Learning Objectives</w:t>
      </w:r>
    </w:p>
    <w:p>
      <w:pPr>
        <w:pStyle w:val="ListBullet"/>
      </w:pPr>
      <w:r>
        <w:t>Explain the architecture, responsibility boundaries and major trade-offs of enterprise identity provider and federation.</w:t>
      </w:r>
    </w:p>
    <w:p>
      <w:pPr>
        <w:pStyle w:val="ListBullet"/>
      </w:pPr>
      <w:r>
        <w:t>Design provider-native role mapping and access reviews for enterprise scale, least privilege and bounded failure.</w:t>
      </w:r>
    </w:p>
    <w:p>
      <w:pPr>
        <w:pStyle w:val="ListBullet"/>
      </w:pPr>
      <w:r>
        <w:t>Implement workload identity federation for pipelines and runtimes through version-controlled automation and policy checks.</w:t>
      </w:r>
    </w:p>
    <w:p>
      <w:pPr>
        <w:pStyle w:val="ListBullet"/>
      </w:pPr>
      <w:r>
        <w:t>Troubleshoot privileged access and break-glass governance using provider-native telemetry and repeatable evidence.</w:t>
      </w:r>
    </w:p>
    <w:p>
      <w:pPr>
        <w:pStyle w:val="ListBullet"/>
      </w:pPr>
      <w:r>
        <w:t>Deliver a sanitized portfolio artifact for implement keyless ci access to three cloud providers.</w:t>
      </w:r>
    </w:p>
    <w:p>
      <w:pPr>
        <w:pStyle w:val="Heading2"/>
        <w:keepNext/>
      </w:pPr>
      <w:r>
        <w:t>Core Concepts</w:t>
      </w:r>
    </w:p>
    <w:p>
      <w:pPr>
        <w:pStyle w:val="Heading3"/>
        <w:keepNext/>
      </w:pPr>
      <w:r>
        <w:t>Enterprise identity provider and federation</w:t>
      </w:r>
    </w:p>
    <w:p>
      <w:pPr>
        <w:keepNext w:val="0"/>
      </w:pPr>
      <w:r>
        <w:t>Enterprise identity provider and federation is a design boundary, not merely a console feature. In Cross-Cloud Identity Federation and Privileged Access, the team must document ownership, trust assumptions, dependency direction, failure impact and the evidence used to prove the control. The recommended implementation uses IAM Identity Center / IAM roles, Microsoft Entra ID / PIM / RBAC, Workforce Identity Federation / IAM, OIDC federation only where they satisfy an explicit requirement; equivalent services are not automatically interchangeable.</w:t>
      </w:r>
    </w:p>
    <w:p>
      <w:pPr>
        <w:pStyle w:val="Heading3"/>
        <w:keepNext/>
      </w:pPr>
      <w:r>
        <w:t>Provider-native role mapping and access reviews</w:t>
      </w:r>
    </w:p>
    <w:p>
      <w:pPr>
        <w:keepNext w:val="0"/>
      </w:pPr>
      <w:r>
        <w:t>A production implementation of Provider-native role mapping and access reviews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Workload identity federation for pipelines and runtimes</w:t>
      </w:r>
    </w:p>
    <w:p>
      <w:pPr>
        <w:keepNext w:val="0"/>
      </w:pPr>
      <w:r>
        <w:t>For Workload identity federation for pipelines and runtimes,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Privileged access and break-glass governance</w:t>
      </w:r>
    </w:p>
    <w:p>
      <w:pPr>
        <w:keepNext w:val="0"/>
      </w:pPr>
      <w:r>
        <w:t>The strongest validation for Privileged access and break-glass governance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AWS</w:t>
            </w:r>
          </w:p>
        </w:tc>
        <w:tc>
          <w:tcPr>
            <w:tcW w:type="dxa" w:w="2952"/>
            <w:tcMar>
              <w:top w:w="65" w:type="dxa"/>
              <w:start w:w="85" w:type="dxa"/>
              <w:bottom w:w="65" w:type="dxa"/>
              <w:end w:w="85" w:type="dxa"/>
            </w:tcMar>
            <w:vAlign w:val="top"/>
          </w:tcPr>
          <w:p>
            <w:r>
              <w:rPr>
                <w:sz w:val="14"/>
              </w:rPr>
              <w:t>IAM Identity Center / IAM roles</w:t>
            </w:r>
          </w:p>
        </w:tc>
        <w:tc>
          <w:tcPr>
            <w:tcW w:type="dxa" w:w="4824"/>
            <w:tcMar>
              <w:top w:w="65" w:type="dxa"/>
              <w:start w:w="85" w:type="dxa"/>
              <w:bottom w:w="65" w:type="dxa"/>
              <w:end w:w="85" w:type="dxa"/>
            </w:tcMar>
            <w:vAlign w:val="top"/>
          </w:tcPr>
          <w:p>
            <w:r>
              <w:rPr>
                <w:sz w:val="14"/>
              </w:rPr>
              <w:t>Federate workforce and issue temporary sessions.</w:t>
            </w:r>
          </w:p>
        </w:tc>
      </w:tr>
      <w:tr>
        <w:trPr>
          <w:cantSplit/>
        </w:trPr>
        <w:tc>
          <w:tcPr>
            <w:tcW w:type="dxa" w:w="2232"/>
            <w:tcMar>
              <w:top w:w="65" w:type="dxa"/>
              <w:start w:w="85" w:type="dxa"/>
              <w:bottom w:w="65" w:type="dxa"/>
              <w:end w:w="85" w:type="dxa"/>
            </w:tcMar>
            <w:vAlign w:val="top"/>
          </w:tcPr>
          <w:p>
            <w:r>
              <w:rPr>
                <w:sz w:val="14"/>
              </w:rPr>
              <w:t>Azure</w:t>
            </w:r>
          </w:p>
        </w:tc>
        <w:tc>
          <w:tcPr>
            <w:tcW w:type="dxa" w:w="2952"/>
            <w:tcMar>
              <w:top w:w="65" w:type="dxa"/>
              <w:start w:w="85" w:type="dxa"/>
              <w:bottom w:w="65" w:type="dxa"/>
              <w:end w:w="85" w:type="dxa"/>
            </w:tcMar>
            <w:vAlign w:val="top"/>
          </w:tcPr>
          <w:p>
            <w:r>
              <w:rPr>
                <w:sz w:val="14"/>
              </w:rPr>
              <w:t>Microsoft Entra ID / PIM / RBAC</w:t>
            </w:r>
          </w:p>
        </w:tc>
        <w:tc>
          <w:tcPr>
            <w:tcW w:type="dxa" w:w="4824"/>
            <w:tcMar>
              <w:top w:w="65" w:type="dxa"/>
              <w:start w:w="85" w:type="dxa"/>
              <w:bottom w:w="65" w:type="dxa"/>
              <w:end w:w="85" w:type="dxa"/>
            </w:tcMar>
            <w:vAlign w:val="top"/>
          </w:tcPr>
          <w:p>
            <w:r>
              <w:rPr>
                <w:sz w:val="14"/>
              </w:rPr>
              <w:t>Provide conditional and time-bound access.</w:t>
            </w:r>
          </w:p>
        </w:tc>
      </w:tr>
      <w:tr>
        <w:trPr>
          <w:cantSplit/>
        </w:trPr>
        <w:tc>
          <w:tcPr>
            <w:tcW w:type="dxa" w:w="2232"/>
            <w:tcMar>
              <w:top w:w="65" w:type="dxa"/>
              <w:start w:w="85" w:type="dxa"/>
              <w:bottom w:w="65" w:type="dxa"/>
              <w:end w:w="85" w:type="dxa"/>
            </w:tcMar>
            <w:vAlign w:val="top"/>
          </w:tcPr>
          <w:p>
            <w:r>
              <w:rPr>
                <w:sz w:val="14"/>
              </w:rPr>
              <w:t>Google Cloud</w:t>
            </w:r>
          </w:p>
        </w:tc>
        <w:tc>
          <w:tcPr>
            <w:tcW w:type="dxa" w:w="2952"/>
            <w:tcMar>
              <w:top w:w="65" w:type="dxa"/>
              <w:start w:w="85" w:type="dxa"/>
              <w:bottom w:w="65" w:type="dxa"/>
              <w:end w:w="85" w:type="dxa"/>
            </w:tcMar>
            <w:vAlign w:val="top"/>
          </w:tcPr>
          <w:p>
            <w:r>
              <w:rPr>
                <w:sz w:val="14"/>
              </w:rPr>
              <w:t>Workforce Identity Federation / IAM</w:t>
            </w:r>
          </w:p>
        </w:tc>
        <w:tc>
          <w:tcPr>
            <w:tcW w:type="dxa" w:w="4824"/>
            <w:tcMar>
              <w:top w:w="65" w:type="dxa"/>
              <w:start w:w="85" w:type="dxa"/>
              <w:bottom w:w="65" w:type="dxa"/>
              <w:end w:w="85" w:type="dxa"/>
            </w:tcMar>
            <w:vAlign w:val="top"/>
          </w:tcPr>
          <w:p>
            <w:r>
              <w:rPr>
                <w:sz w:val="14"/>
              </w:rPr>
              <w:t>Map external identities to Google permissions.</w:t>
            </w:r>
          </w:p>
        </w:tc>
      </w:tr>
      <w:tr>
        <w:trPr>
          <w:cantSplit/>
        </w:trPr>
        <w:tc>
          <w:tcPr>
            <w:tcW w:type="dxa" w:w="2232"/>
            <w:tcMar>
              <w:top w:w="65" w:type="dxa"/>
              <w:start w:w="85" w:type="dxa"/>
              <w:bottom w:w="65" w:type="dxa"/>
              <w:end w:w="85" w:type="dxa"/>
            </w:tcMar>
            <w:vAlign w:val="top"/>
          </w:tcPr>
          <w:p>
            <w:r>
              <w:rPr>
                <w:sz w:val="14"/>
              </w:rPr>
              <w:t>CI/CD</w:t>
            </w:r>
          </w:p>
        </w:tc>
        <w:tc>
          <w:tcPr>
            <w:tcW w:type="dxa" w:w="2952"/>
            <w:tcMar>
              <w:top w:w="65" w:type="dxa"/>
              <w:start w:w="85" w:type="dxa"/>
              <w:bottom w:w="65" w:type="dxa"/>
              <w:end w:w="85" w:type="dxa"/>
            </w:tcMar>
            <w:vAlign w:val="top"/>
          </w:tcPr>
          <w:p>
            <w:r>
              <w:rPr>
                <w:sz w:val="14"/>
              </w:rPr>
              <w:t>OIDC federation</w:t>
            </w:r>
          </w:p>
        </w:tc>
        <w:tc>
          <w:tcPr>
            <w:tcW w:type="dxa" w:w="4824"/>
            <w:tcMar>
              <w:top w:w="65" w:type="dxa"/>
              <w:start w:w="85" w:type="dxa"/>
              <w:bottom w:w="65" w:type="dxa"/>
              <w:end w:w="85" w:type="dxa"/>
            </w:tcMar>
            <w:vAlign w:val="top"/>
          </w:tcPr>
          <w:p>
            <w:r>
              <w:rPr>
                <w:sz w:val="14"/>
              </w:rPr>
              <w:t>Authenticate pipelines without stored cloud keys.</w:t>
            </w:r>
          </w:p>
        </w:tc>
      </w:tr>
      <w:tr>
        <w:trPr>
          <w:cantSplit/>
        </w:trPr>
        <w:tc>
          <w:tcPr>
            <w:tcW w:type="dxa" w:w="2232"/>
            <w:tcMar>
              <w:top w:w="65" w:type="dxa"/>
              <w:start w:w="85" w:type="dxa"/>
              <w:bottom w:w="65" w:type="dxa"/>
              <w:end w:w="85" w:type="dxa"/>
            </w:tcMar>
            <w:vAlign w:val="top"/>
          </w:tcPr>
          <w:p>
            <w:r>
              <w:rPr>
                <w:sz w:val="14"/>
              </w:rPr>
              <w:t>Workloads</w:t>
            </w:r>
          </w:p>
        </w:tc>
        <w:tc>
          <w:tcPr>
            <w:tcW w:type="dxa" w:w="2952"/>
            <w:tcMar>
              <w:top w:w="65" w:type="dxa"/>
              <w:start w:w="85" w:type="dxa"/>
              <w:bottom w:w="65" w:type="dxa"/>
              <w:end w:w="85" w:type="dxa"/>
            </w:tcMar>
            <w:vAlign w:val="top"/>
          </w:tcPr>
          <w:p>
            <w:r>
              <w:rPr>
                <w:sz w:val="14"/>
              </w:rPr>
              <w:t>Native workload identities</w:t>
            </w:r>
          </w:p>
        </w:tc>
        <w:tc>
          <w:tcPr>
            <w:tcW w:type="dxa" w:w="4824"/>
            <w:tcMar>
              <w:top w:w="65" w:type="dxa"/>
              <w:start w:w="85" w:type="dxa"/>
              <w:bottom w:w="65" w:type="dxa"/>
              <w:end w:w="85" w:type="dxa"/>
            </w:tcMar>
            <w:vAlign w:val="top"/>
          </w:tcPr>
          <w:p>
            <w:r>
              <w:rPr>
                <w:sz w:val="14"/>
              </w:rPr>
              <w:t>Issue runtime-specific short-lived tokens.</w:t>
            </w:r>
          </w:p>
        </w:tc>
      </w:tr>
      <w:tr>
        <w:trPr>
          <w:cantSplit/>
        </w:trPr>
        <w:tc>
          <w:tcPr>
            <w:tcW w:type="dxa" w:w="2232"/>
            <w:tcMar>
              <w:top w:w="65" w:type="dxa"/>
              <w:start w:w="85" w:type="dxa"/>
              <w:bottom w:w="65" w:type="dxa"/>
              <w:end w:w="85" w:type="dxa"/>
            </w:tcMar>
            <w:vAlign w:val="top"/>
          </w:tcPr>
          <w:p>
            <w:r>
              <w:rPr>
                <w:sz w:val="14"/>
              </w:rPr>
              <w:t>Emergency</w:t>
            </w:r>
          </w:p>
        </w:tc>
        <w:tc>
          <w:tcPr>
            <w:tcW w:type="dxa" w:w="2952"/>
            <w:tcMar>
              <w:top w:w="65" w:type="dxa"/>
              <w:start w:w="85" w:type="dxa"/>
              <w:bottom w:w="65" w:type="dxa"/>
              <w:end w:w="85" w:type="dxa"/>
            </w:tcMar>
            <w:vAlign w:val="top"/>
          </w:tcPr>
          <w:p>
            <w:r>
              <w:rPr>
                <w:sz w:val="14"/>
              </w:rPr>
              <w:t>Break-glass accounts</w:t>
            </w:r>
          </w:p>
        </w:tc>
        <w:tc>
          <w:tcPr>
            <w:tcW w:type="dxa" w:w="4824"/>
            <w:tcMar>
              <w:top w:w="65" w:type="dxa"/>
              <w:start w:w="85" w:type="dxa"/>
              <w:bottom w:w="65" w:type="dxa"/>
              <w:end w:w="85" w:type="dxa"/>
            </w:tcMar>
            <w:vAlign w:val="top"/>
          </w:tcPr>
          <w:p>
            <w:r>
              <w:rPr>
                <w:sz w:val="14"/>
              </w:rPr>
              <w:t>Recover from identity-provider failure under strict control.</w:t>
            </w:r>
          </w:p>
        </w:tc>
      </w:tr>
    </w:tbl>
    <w:p>
      <w:pPr>
        <w:pStyle w:val="Heading2"/>
        <w:keepNext/>
      </w:pPr>
      <w:r>
        <w:t>Architecture and Operating Decisions</w:t>
      </w:r>
    </w:p>
    <w:p>
      <w:pPr>
        <w:pStyle w:val="ListBullet"/>
      </w:pPr>
      <w:r>
        <w:t>Use Multi-Cloud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workload identity federation for pipelines and runtimes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identity_control:</w:t>
              <w:br/>
              <w:t xml:space="preserve">  source: enterprise_idp</w:t>
              <w:br/>
              <w:t xml:space="preserve">  humans: group_to_provider_role</w:t>
              <w:br/>
              <w:t xml:space="preserve">  privileged: eligible_time_bound_approved</w:t>
              <w:br/>
              <w:t xml:space="preserve">  workloads: oidc_or_native_identity</w:t>
              <w:br/>
              <w:t xml:space="preserve">  static_keys: prohibited</w:t>
              <w:br/>
              <w:t xml:space="preserve">  emergency: isolated_tested_monitored</w:t>
              <w:br/>
              <w:t xml:space="preserve">  review: quarterly_effective_access</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cross-cloud identity federation and privileged access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42: Implement Keyless CI Access to Three Cloud Providers</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cross-cloud identity federation and privileged access using fictional enterprise requirements.</w:t>
      </w:r>
    </w:p>
    <w:p>
      <w:pPr>
        <w:ind w:left="360" w:hanging="360"/>
      </w:pPr>
      <w:r>
        <w:rPr>
          <w:b/>
        </w:rPr>
        <w:t xml:space="preserve">2. </w:t>
      </w:r>
      <w:r>
        <w:t>Implement the smallest safe sandbox using IAM Identity Center / IAM roles, Microsoft Entra ID / PIM / RBAC, Workforce Identity Federation / IAM;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Cross-Cloud Identity Federation and Privileged Access?</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Multi-Cloud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Enterprise identity provider and federation defines a key architecture boundary.</w:t>
      </w:r>
    </w:p>
    <w:p>
      <w:pPr>
        <w:pStyle w:val="ListBullet"/>
      </w:pPr>
      <w:r>
        <w:t>Provider-native role mapping and access reviews must be automated and least-privileged.</w:t>
      </w:r>
    </w:p>
    <w:p>
      <w:pPr>
        <w:pStyle w:val="ListBullet"/>
      </w:pPr>
      <w:r>
        <w:t>Workload identity federation for pipelines and runtimes requires policy, telemetry and recovery evidence.</w:t>
      </w:r>
    </w:p>
    <w:p>
      <w:pPr>
        <w:pStyle w:val="ListBullet"/>
      </w:pPr>
      <w:r>
        <w:t>Privileged access and break-glass governance should be tested before production and after material change.</w:t>
      </w:r>
    </w:p>
    <w:p>
      <w:r>
        <w:br w:type="page"/>
      </w:r>
    </w:p>
    <w:p>
      <w:pPr>
        <w:jc w:val="center"/>
      </w:pPr>
      <w:r>
        <w:rPr>
          <w:b/>
          <w:color w:val="14919B"/>
          <w:sz w:val="17"/>
        </w:rPr>
        <w:t>VOLUME 12E  |  CHAPTER 43</w:t>
      </w:r>
    </w:p>
    <w:p>
      <w:pPr>
        <w:pStyle w:val="Heading1"/>
        <w:jc w:val="center"/>
      </w:pPr>
      <w:r>
        <w:t>Chapter 43: Multi-Cloud Networking, DNS and Zero-Trust Connectivity</w:t>
      </w:r>
    </w:p>
    <w:p>
      <w:pPr>
        <w:jc w:val="center"/>
      </w:pPr>
      <w:r>
        <w:rPr>
          <w:i/>
          <w:color w:val="4B5563"/>
          <w:sz w:val="20"/>
        </w:rPr>
        <w:t>Connecting clouds and sites without creating an unmanageable flat network</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Cross-cloud connectivity must be driven by approved flows. Full mesh designs increase routing, security, cost and failure complexity; application-layer integration is often safer than broad network reachability.</w:t>
            </w:r>
          </w:p>
        </w:tc>
      </w:tr>
    </w:tbl>
    <w:p>
      <w:pPr>
        <w:spacing w:after="0"/>
      </w:pPr>
    </w:p>
    <w:p>
      <w:pPr>
        <w:pStyle w:val="Heading2"/>
        <w:keepNext/>
      </w:pPr>
      <w:r>
        <w:t>Learning Objectives</w:t>
      </w:r>
    </w:p>
    <w:p>
      <w:pPr>
        <w:pStyle w:val="ListBullet"/>
      </w:pPr>
      <w:r>
        <w:t>Explain the architecture, responsibility boundaries and major trade-offs of global ip address management and route domains.</w:t>
      </w:r>
    </w:p>
    <w:p>
      <w:pPr>
        <w:pStyle w:val="ListBullet"/>
      </w:pPr>
      <w:r>
        <w:t>Design direct connect, expressroute and cloud interconnect for enterprise scale, least privilege and bounded failure.</w:t>
      </w:r>
    </w:p>
    <w:p>
      <w:pPr>
        <w:pStyle w:val="ListBullet"/>
      </w:pPr>
      <w:r>
        <w:t>Implement dns ownership, service discovery and private endpoints through version-controlled automation and policy checks.</w:t>
      </w:r>
    </w:p>
    <w:p>
      <w:pPr>
        <w:pStyle w:val="ListBullet"/>
      </w:pPr>
      <w:r>
        <w:t>Troubleshoot zero-trust access, segmentation and traffic inspection using provider-native telemetry and repeatable evidence.</w:t>
      </w:r>
    </w:p>
    <w:p>
      <w:pPr>
        <w:pStyle w:val="ListBullet"/>
      </w:pPr>
      <w:r>
        <w:t>Deliver a sanitized portfolio artifact for design and validate a selective multi-cloud network.</w:t>
      </w:r>
    </w:p>
    <w:p>
      <w:pPr>
        <w:pStyle w:val="Heading2"/>
        <w:keepNext/>
      </w:pPr>
      <w:r>
        <w:t>Core Concepts</w:t>
      </w:r>
    </w:p>
    <w:p>
      <w:pPr>
        <w:pStyle w:val="Heading3"/>
        <w:keepNext/>
      </w:pPr>
      <w:r>
        <w:t>Global IP address management and route domains</w:t>
      </w:r>
    </w:p>
    <w:p>
      <w:pPr>
        <w:keepNext w:val="0"/>
      </w:pPr>
      <w:r>
        <w:t>Global IP address management and route domains is a design boundary, not merely a console feature. In Multi-Cloud Networking, DNS and Zero-Trust Connectivity, the team must document ownership, trust assumptions, dependency direction, failure impact and the evidence used to prove the control. The recommended implementation uses Transit Gateway / Direct Connect, Virtual WAN / ExpressRoute, NCC / Cloud Interconnect, Carrier or colocation fabric only where they satisfy an explicit requirement; equivalent services are not automatically interchangeable.</w:t>
      </w:r>
    </w:p>
    <w:p>
      <w:pPr>
        <w:pStyle w:val="Heading3"/>
        <w:keepNext/>
      </w:pPr>
      <w:r>
        <w:t>Direct Connect, ExpressRoute and Cloud Interconnect</w:t>
      </w:r>
    </w:p>
    <w:p>
      <w:pPr>
        <w:keepNext w:val="0"/>
      </w:pPr>
      <w:r>
        <w:t>A production implementation of Direct Connect, ExpressRoute and Cloud Interconnect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DNS ownership, service discovery and private endpoints</w:t>
      </w:r>
    </w:p>
    <w:p>
      <w:pPr>
        <w:keepNext w:val="0"/>
      </w:pPr>
      <w:r>
        <w:t>For DNS ownership, service discovery and private endpoints,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Zero-trust access, segmentation and traffic inspection</w:t>
      </w:r>
    </w:p>
    <w:p>
      <w:pPr>
        <w:keepNext w:val="0"/>
      </w:pPr>
      <w:r>
        <w:t>The strongest validation for Zero-trust access, segmentation and traffic inspection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AWS</w:t>
            </w:r>
          </w:p>
        </w:tc>
        <w:tc>
          <w:tcPr>
            <w:tcW w:type="dxa" w:w="2952"/>
            <w:tcMar>
              <w:top w:w="65" w:type="dxa"/>
              <w:start w:w="85" w:type="dxa"/>
              <w:bottom w:w="65" w:type="dxa"/>
              <w:end w:w="85" w:type="dxa"/>
            </w:tcMar>
            <w:vAlign w:val="top"/>
          </w:tcPr>
          <w:p>
            <w:r>
              <w:rPr>
                <w:sz w:val="14"/>
              </w:rPr>
              <w:t>Transit Gateway / Direct Connect</w:t>
            </w:r>
          </w:p>
        </w:tc>
        <w:tc>
          <w:tcPr>
            <w:tcW w:type="dxa" w:w="4824"/>
            <w:tcMar>
              <w:top w:w="65" w:type="dxa"/>
              <w:start w:w="85" w:type="dxa"/>
              <w:bottom w:w="65" w:type="dxa"/>
              <w:end w:w="85" w:type="dxa"/>
            </w:tcMar>
            <w:vAlign w:val="top"/>
          </w:tcPr>
          <w:p>
            <w:r>
              <w:rPr>
                <w:sz w:val="14"/>
              </w:rPr>
              <w:t>Provide AWS transit and hybrid connectivity.</w:t>
            </w:r>
          </w:p>
        </w:tc>
      </w:tr>
      <w:tr>
        <w:trPr>
          <w:cantSplit/>
        </w:trPr>
        <w:tc>
          <w:tcPr>
            <w:tcW w:type="dxa" w:w="2232"/>
            <w:tcMar>
              <w:top w:w="65" w:type="dxa"/>
              <w:start w:w="85" w:type="dxa"/>
              <w:bottom w:w="65" w:type="dxa"/>
              <w:end w:w="85" w:type="dxa"/>
            </w:tcMar>
            <w:vAlign w:val="top"/>
          </w:tcPr>
          <w:p>
            <w:r>
              <w:rPr>
                <w:sz w:val="14"/>
              </w:rPr>
              <w:t>Azure</w:t>
            </w:r>
          </w:p>
        </w:tc>
        <w:tc>
          <w:tcPr>
            <w:tcW w:type="dxa" w:w="2952"/>
            <w:tcMar>
              <w:top w:w="65" w:type="dxa"/>
              <w:start w:w="85" w:type="dxa"/>
              <w:bottom w:w="65" w:type="dxa"/>
              <w:end w:w="85" w:type="dxa"/>
            </w:tcMar>
            <w:vAlign w:val="top"/>
          </w:tcPr>
          <w:p>
            <w:r>
              <w:rPr>
                <w:sz w:val="14"/>
              </w:rPr>
              <w:t>Virtual WAN / ExpressRoute</w:t>
            </w:r>
          </w:p>
        </w:tc>
        <w:tc>
          <w:tcPr>
            <w:tcW w:type="dxa" w:w="4824"/>
            <w:tcMar>
              <w:top w:w="65" w:type="dxa"/>
              <w:start w:w="85" w:type="dxa"/>
              <w:bottom w:w="65" w:type="dxa"/>
              <w:end w:w="85" w:type="dxa"/>
            </w:tcMar>
            <w:vAlign w:val="top"/>
          </w:tcPr>
          <w:p>
            <w:r>
              <w:rPr>
                <w:sz w:val="14"/>
              </w:rPr>
              <w:t>Provide Azure transit and branch connectivity.</w:t>
            </w:r>
          </w:p>
        </w:tc>
      </w:tr>
      <w:tr>
        <w:trPr>
          <w:cantSplit/>
        </w:trPr>
        <w:tc>
          <w:tcPr>
            <w:tcW w:type="dxa" w:w="2232"/>
            <w:tcMar>
              <w:top w:w="65" w:type="dxa"/>
              <w:start w:w="85" w:type="dxa"/>
              <w:bottom w:w="65" w:type="dxa"/>
              <w:end w:w="85" w:type="dxa"/>
            </w:tcMar>
            <w:vAlign w:val="top"/>
          </w:tcPr>
          <w:p>
            <w:r>
              <w:rPr>
                <w:sz w:val="14"/>
              </w:rPr>
              <w:t>Google Cloud</w:t>
            </w:r>
          </w:p>
        </w:tc>
        <w:tc>
          <w:tcPr>
            <w:tcW w:type="dxa" w:w="2952"/>
            <w:tcMar>
              <w:top w:w="65" w:type="dxa"/>
              <w:start w:w="85" w:type="dxa"/>
              <w:bottom w:w="65" w:type="dxa"/>
              <w:end w:w="85" w:type="dxa"/>
            </w:tcMar>
            <w:vAlign w:val="top"/>
          </w:tcPr>
          <w:p>
            <w:r>
              <w:rPr>
                <w:sz w:val="14"/>
              </w:rPr>
              <w:t>NCC / Cloud Interconnect</w:t>
            </w:r>
          </w:p>
        </w:tc>
        <w:tc>
          <w:tcPr>
            <w:tcW w:type="dxa" w:w="4824"/>
            <w:tcMar>
              <w:top w:w="65" w:type="dxa"/>
              <w:start w:w="85" w:type="dxa"/>
              <w:bottom w:w="65" w:type="dxa"/>
              <w:end w:w="85" w:type="dxa"/>
            </w:tcMar>
            <w:vAlign w:val="top"/>
          </w:tcPr>
          <w:p>
            <w:r>
              <w:rPr>
                <w:sz w:val="14"/>
              </w:rPr>
              <w:t>Coordinate Google Cloud and hybrid network spokes.</w:t>
            </w:r>
          </w:p>
        </w:tc>
      </w:tr>
      <w:tr>
        <w:trPr>
          <w:cantSplit/>
        </w:trPr>
        <w:tc>
          <w:tcPr>
            <w:tcW w:type="dxa" w:w="2232"/>
            <w:tcMar>
              <w:top w:w="65" w:type="dxa"/>
              <w:start w:w="85" w:type="dxa"/>
              <w:bottom w:w="65" w:type="dxa"/>
              <w:end w:w="85" w:type="dxa"/>
            </w:tcMar>
            <w:vAlign w:val="top"/>
          </w:tcPr>
          <w:p>
            <w:r>
              <w:rPr>
                <w:sz w:val="14"/>
              </w:rPr>
              <w:t>Interconnect</w:t>
            </w:r>
          </w:p>
        </w:tc>
        <w:tc>
          <w:tcPr>
            <w:tcW w:type="dxa" w:w="2952"/>
            <w:tcMar>
              <w:top w:w="65" w:type="dxa"/>
              <w:start w:w="85" w:type="dxa"/>
              <w:bottom w:w="65" w:type="dxa"/>
              <w:end w:w="85" w:type="dxa"/>
            </w:tcMar>
            <w:vAlign w:val="top"/>
          </w:tcPr>
          <w:p>
            <w:r>
              <w:rPr>
                <w:sz w:val="14"/>
              </w:rPr>
              <w:t>Carrier or colocation fabric</w:t>
            </w:r>
          </w:p>
        </w:tc>
        <w:tc>
          <w:tcPr>
            <w:tcW w:type="dxa" w:w="4824"/>
            <w:tcMar>
              <w:top w:w="65" w:type="dxa"/>
              <w:start w:w="85" w:type="dxa"/>
              <w:bottom w:w="65" w:type="dxa"/>
              <w:end w:w="85" w:type="dxa"/>
            </w:tcMar>
            <w:vAlign w:val="top"/>
          </w:tcPr>
          <w:p>
            <w:r>
              <w:rPr>
                <w:sz w:val="14"/>
              </w:rPr>
              <w:t>Connect provider private circuits under defined SLAs.</w:t>
            </w:r>
          </w:p>
        </w:tc>
      </w:tr>
      <w:tr>
        <w:trPr>
          <w:cantSplit/>
        </w:trPr>
        <w:tc>
          <w:tcPr>
            <w:tcW w:type="dxa" w:w="2232"/>
            <w:tcMar>
              <w:top w:w="65" w:type="dxa"/>
              <w:start w:w="85" w:type="dxa"/>
              <w:bottom w:w="65" w:type="dxa"/>
              <w:end w:w="85" w:type="dxa"/>
            </w:tcMar>
            <w:vAlign w:val="top"/>
          </w:tcPr>
          <w:p>
            <w:r>
              <w:rPr>
                <w:sz w:val="14"/>
              </w:rPr>
              <w:t>DNS</w:t>
            </w:r>
          </w:p>
        </w:tc>
        <w:tc>
          <w:tcPr>
            <w:tcW w:type="dxa" w:w="2952"/>
            <w:tcMar>
              <w:top w:w="65" w:type="dxa"/>
              <w:start w:w="85" w:type="dxa"/>
              <w:bottom w:w="65" w:type="dxa"/>
              <w:end w:w="85" w:type="dxa"/>
            </w:tcMar>
            <w:vAlign w:val="top"/>
          </w:tcPr>
          <w:p>
            <w:r>
              <w:rPr>
                <w:sz w:val="14"/>
              </w:rPr>
              <w:t>Provider DNS plus enterprise authority</w:t>
            </w:r>
          </w:p>
        </w:tc>
        <w:tc>
          <w:tcPr>
            <w:tcW w:type="dxa" w:w="4824"/>
            <w:tcMar>
              <w:top w:w="65" w:type="dxa"/>
              <w:start w:w="85" w:type="dxa"/>
              <w:bottom w:w="65" w:type="dxa"/>
              <w:end w:w="85" w:type="dxa"/>
            </w:tcMar>
            <w:vAlign w:val="top"/>
          </w:tcPr>
          <w:p>
            <w:r>
              <w:rPr>
                <w:sz w:val="14"/>
              </w:rPr>
              <w:t>Resolve names without split-horizon ambiguity.</w:t>
            </w:r>
          </w:p>
        </w:tc>
      </w:tr>
      <w:tr>
        <w:trPr>
          <w:cantSplit/>
        </w:trPr>
        <w:tc>
          <w:tcPr>
            <w:tcW w:type="dxa" w:w="2232"/>
            <w:tcMar>
              <w:top w:w="65" w:type="dxa"/>
              <w:start w:w="85" w:type="dxa"/>
              <w:bottom w:w="65" w:type="dxa"/>
              <w:end w:w="85" w:type="dxa"/>
            </w:tcMar>
            <w:vAlign w:val="top"/>
          </w:tcPr>
          <w:p>
            <w:r>
              <w:rPr>
                <w:sz w:val="14"/>
              </w:rPr>
              <w:t>Application access</w:t>
            </w:r>
          </w:p>
        </w:tc>
        <w:tc>
          <w:tcPr>
            <w:tcW w:type="dxa" w:w="2952"/>
            <w:tcMar>
              <w:top w:w="65" w:type="dxa"/>
              <w:start w:w="85" w:type="dxa"/>
              <w:bottom w:w="65" w:type="dxa"/>
              <w:end w:w="85" w:type="dxa"/>
            </w:tcMar>
            <w:vAlign w:val="top"/>
          </w:tcPr>
          <w:p>
            <w:r>
              <w:rPr>
                <w:sz w:val="14"/>
              </w:rPr>
              <w:t>Private endpoints / identity-aware access</w:t>
            </w:r>
          </w:p>
        </w:tc>
        <w:tc>
          <w:tcPr>
            <w:tcW w:type="dxa" w:w="4824"/>
            <w:tcMar>
              <w:top w:w="65" w:type="dxa"/>
              <w:start w:w="85" w:type="dxa"/>
              <w:bottom w:w="65" w:type="dxa"/>
              <w:end w:w="85" w:type="dxa"/>
            </w:tcMar>
            <w:vAlign w:val="top"/>
          </w:tcPr>
          <w:p>
            <w:r>
              <w:rPr>
                <w:sz w:val="14"/>
              </w:rPr>
              <w:t>Prefer service-level trust over flat network trust.</w:t>
            </w:r>
          </w:p>
        </w:tc>
      </w:tr>
    </w:tbl>
    <w:p>
      <w:pPr>
        <w:pStyle w:val="Heading2"/>
        <w:keepNext/>
      </w:pPr>
      <w:r>
        <w:t>Architecture and Operating Decisions</w:t>
      </w:r>
    </w:p>
    <w:p>
      <w:pPr>
        <w:pStyle w:val="ListBullet"/>
      </w:pPr>
      <w:r>
        <w:t>Use Multi-Cloud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dns ownership, service discovery and private endpoints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connectivity_policy:</w:t>
              <w:br/>
              <w:t xml:space="preserve">  model: hub_regions_with_selective_cloud_interconnect</w:t>
              <w:br/>
              <w:t xml:space="preserve">  ipam: global_authoritative_registry</w:t>
              <w:br/>
              <w:t xml:space="preserve">  routing: no_uncontrolled_transit</w:t>
              <w:br/>
              <w:t xml:space="preserve">  dns: explicit_zone_authority</w:t>
              <w:br/>
              <w:t xml:space="preserve">  encryption: end_to_end_for_sensitive_flows</w:t>
              <w:br/>
              <w:t xml:space="preserve">  access: identity_and_service_policy</w:t>
              <w:br/>
              <w:t xml:space="preserve">  test: latency_mtu_asymmetry_dns_failover</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multi-cloud networking, dns and zero-trust connectivity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43: Design and Validate a Selective Multi-Cloud Network</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multi-cloud networking, dns and zero-trust connectivity using fictional enterprise requirements.</w:t>
      </w:r>
    </w:p>
    <w:p>
      <w:pPr>
        <w:ind w:left="360" w:hanging="360"/>
      </w:pPr>
      <w:r>
        <w:rPr>
          <w:b/>
        </w:rPr>
        <w:t xml:space="preserve">2. </w:t>
      </w:r>
      <w:r>
        <w:t>Implement the smallest safe sandbox using Transit Gateway / Direct Connect, Virtual WAN / ExpressRoute, NCC / Cloud Interconnect;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Multi-Cloud Networking, DNS and Zero-Trust Connectivity?</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Multi-Cloud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Global IP address management and route domains defines a key architecture boundary.</w:t>
      </w:r>
    </w:p>
    <w:p>
      <w:pPr>
        <w:pStyle w:val="ListBullet"/>
      </w:pPr>
      <w:r>
        <w:t>Direct Connect, ExpressRoute and Cloud Interconnect must be automated and least-privileged.</w:t>
      </w:r>
    </w:p>
    <w:p>
      <w:pPr>
        <w:pStyle w:val="ListBullet"/>
      </w:pPr>
      <w:r>
        <w:t>DNS ownership, service discovery and private endpoints requires policy, telemetry and recovery evidence.</w:t>
      </w:r>
    </w:p>
    <w:p>
      <w:pPr>
        <w:pStyle w:val="ListBullet"/>
      </w:pPr>
      <w:r>
        <w:t>Zero-trust access, segmentation and traffic inspection should be tested before production and after material change.</w:t>
      </w:r>
    </w:p>
    <w:p>
      <w:r>
        <w:br w:type="page"/>
      </w:r>
    </w:p>
    <w:p>
      <w:pPr>
        <w:jc w:val="center"/>
      </w:pPr>
      <w:r>
        <w:rPr>
          <w:b/>
          <w:color w:val="14919B"/>
          <w:sz w:val="17"/>
        </w:rPr>
        <w:t>VOLUME 12E  |  CHAPTER 44</w:t>
      </w:r>
    </w:p>
    <w:p>
      <w:pPr>
        <w:pStyle w:val="Heading1"/>
        <w:jc w:val="center"/>
      </w:pPr>
      <w:r>
        <w:t>Chapter 44: Hybrid Kubernetes and Fleet Management</w:t>
      </w:r>
    </w:p>
    <w:p>
      <w:pPr>
        <w:jc w:val="center"/>
      </w:pPr>
      <w:r>
        <w:rPr>
          <w:i/>
          <w:color w:val="4B5563"/>
          <w:sz w:val="20"/>
        </w:rPr>
        <w:t>Operating clusters across cloud and on-premises without losing policy or upgrade control</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A Kubernetes API can provide workload consistency, but clusters still inherit provider networking, identity, storage and lifecycle differences. Fleet governance must preserve those realities.</w:t>
            </w:r>
          </w:p>
        </w:tc>
      </w:tr>
    </w:tbl>
    <w:p>
      <w:pPr>
        <w:spacing w:after="0"/>
      </w:pPr>
    </w:p>
    <w:p>
      <w:pPr>
        <w:pStyle w:val="Heading2"/>
        <w:keepNext/>
      </w:pPr>
      <w:r>
        <w:t>Learning Objectives</w:t>
      </w:r>
    </w:p>
    <w:p>
      <w:pPr>
        <w:pStyle w:val="ListBullet"/>
      </w:pPr>
      <w:r>
        <w:t>Explain the architecture, responsibility boundaries and major trade-offs of cluster fleet inventory and ownership.</w:t>
      </w:r>
    </w:p>
    <w:p>
      <w:pPr>
        <w:pStyle w:val="ListBullet"/>
      </w:pPr>
      <w:r>
        <w:t>Design eks, aks, gke and on-premises integration for enterprise scale, least privilege and bounded failure.</w:t>
      </w:r>
    </w:p>
    <w:p>
      <w:pPr>
        <w:pStyle w:val="ListBullet"/>
      </w:pPr>
      <w:r>
        <w:t>Implement gitops, policy and workload identity through version-controlled automation and policy checks.</w:t>
      </w:r>
    </w:p>
    <w:p>
      <w:pPr>
        <w:pStyle w:val="ListBullet"/>
      </w:pPr>
      <w:r>
        <w:t>Troubleshoot upgrade, observability and failure-domain management using provider-native telemetry and repeatable evidence.</w:t>
      </w:r>
    </w:p>
    <w:p>
      <w:pPr>
        <w:pStyle w:val="ListBullet"/>
      </w:pPr>
      <w:r>
        <w:t>Deliver a sanitized portfolio artifact for build a three-environment kubernetes fleet governance model.</w:t>
      </w:r>
    </w:p>
    <w:p>
      <w:pPr>
        <w:pStyle w:val="Heading2"/>
        <w:keepNext/>
      </w:pPr>
      <w:r>
        <w:t>Core Concepts</w:t>
      </w:r>
    </w:p>
    <w:p>
      <w:pPr>
        <w:pStyle w:val="Heading3"/>
        <w:keepNext/>
      </w:pPr>
      <w:r>
        <w:t>Cluster fleet inventory and ownership</w:t>
      </w:r>
    </w:p>
    <w:p>
      <w:pPr>
        <w:keepNext w:val="0"/>
      </w:pPr>
      <w:r>
        <w:t>Cluster fleet inventory and ownership is a design boundary, not merely a console feature. In Hybrid Kubernetes and Fleet Management, the team must document ownership, trust assumptions, dependency direction, failure impact and the evidence used to prove the control. The recommended implementation uses Amazon EKS / EKS Anywhere, AKS / Azure Arc-enabled Kubernetes, GKE / GKE Enterprise, Argo CD / Flux only where they satisfy an explicit requirement; equivalent services are not automatically interchangeable.</w:t>
      </w:r>
    </w:p>
    <w:p>
      <w:pPr>
        <w:pStyle w:val="Heading3"/>
        <w:keepNext/>
      </w:pPr>
      <w:r>
        <w:t>EKS, AKS, GKE and on-premises integration</w:t>
      </w:r>
    </w:p>
    <w:p>
      <w:pPr>
        <w:keepNext w:val="0"/>
      </w:pPr>
      <w:r>
        <w:t>A production implementation of EKS, AKS, GKE and on-premises integration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GitOps, policy and workload identity</w:t>
      </w:r>
    </w:p>
    <w:p>
      <w:pPr>
        <w:keepNext w:val="0"/>
      </w:pPr>
      <w:r>
        <w:t>For GitOps, policy and workload identity,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Upgrade, observability and failure-domain management</w:t>
      </w:r>
    </w:p>
    <w:p>
      <w:pPr>
        <w:keepNext w:val="0"/>
      </w:pPr>
      <w:r>
        <w:t>The strongest validation for Upgrade, observability and failure-domain management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AWS</w:t>
            </w:r>
          </w:p>
        </w:tc>
        <w:tc>
          <w:tcPr>
            <w:tcW w:type="dxa" w:w="2952"/>
            <w:tcMar>
              <w:top w:w="65" w:type="dxa"/>
              <w:start w:w="85" w:type="dxa"/>
              <w:bottom w:w="65" w:type="dxa"/>
              <w:end w:w="85" w:type="dxa"/>
            </w:tcMar>
            <w:vAlign w:val="top"/>
          </w:tcPr>
          <w:p>
            <w:r>
              <w:rPr>
                <w:sz w:val="14"/>
              </w:rPr>
              <w:t>Amazon EKS / EKS Anywhere</w:t>
            </w:r>
          </w:p>
        </w:tc>
        <w:tc>
          <w:tcPr>
            <w:tcW w:type="dxa" w:w="4824"/>
            <w:tcMar>
              <w:top w:w="65" w:type="dxa"/>
              <w:start w:w="85" w:type="dxa"/>
              <w:bottom w:w="65" w:type="dxa"/>
              <w:end w:w="85" w:type="dxa"/>
            </w:tcMar>
            <w:vAlign w:val="top"/>
          </w:tcPr>
          <w:p>
            <w:r>
              <w:rPr>
                <w:sz w:val="14"/>
              </w:rPr>
              <w:t>Operate Kubernetes in AWS and supported external environments.</w:t>
            </w:r>
          </w:p>
        </w:tc>
      </w:tr>
      <w:tr>
        <w:trPr>
          <w:cantSplit/>
        </w:trPr>
        <w:tc>
          <w:tcPr>
            <w:tcW w:type="dxa" w:w="2232"/>
            <w:tcMar>
              <w:top w:w="65" w:type="dxa"/>
              <w:start w:w="85" w:type="dxa"/>
              <w:bottom w:w="65" w:type="dxa"/>
              <w:end w:w="85" w:type="dxa"/>
            </w:tcMar>
            <w:vAlign w:val="top"/>
          </w:tcPr>
          <w:p>
            <w:r>
              <w:rPr>
                <w:sz w:val="14"/>
              </w:rPr>
              <w:t>Azure</w:t>
            </w:r>
          </w:p>
        </w:tc>
        <w:tc>
          <w:tcPr>
            <w:tcW w:type="dxa" w:w="2952"/>
            <w:tcMar>
              <w:top w:w="65" w:type="dxa"/>
              <w:start w:w="85" w:type="dxa"/>
              <w:bottom w:w="65" w:type="dxa"/>
              <w:end w:w="85" w:type="dxa"/>
            </w:tcMar>
            <w:vAlign w:val="top"/>
          </w:tcPr>
          <w:p>
            <w:r>
              <w:rPr>
                <w:sz w:val="14"/>
              </w:rPr>
              <w:t>AKS / Azure Arc-enabled Kubernetes</w:t>
            </w:r>
          </w:p>
        </w:tc>
        <w:tc>
          <w:tcPr>
            <w:tcW w:type="dxa" w:w="4824"/>
            <w:tcMar>
              <w:top w:w="65" w:type="dxa"/>
              <w:start w:w="85" w:type="dxa"/>
              <w:bottom w:w="65" w:type="dxa"/>
              <w:end w:w="85" w:type="dxa"/>
            </w:tcMar>
            <w:vAlign w:val="top"/>
          </w:tcPr>
          <w:p>
            <w:r>
              <w:rPr>
                <w:sz w:val="14"/>
              </w:rPr>
              <w:t>Manage Azure and connected Kubernetes resources.</w:t>
            </w:r>
          </w:p>
        </w:tc>
      </w:tr>
      <w:tr>
        <w:trPr>
          <w:cantSplit/>
        </w:trPr>
        <w:tc>
          <w:tcPr>
            <w:tcW w:type="dxa" w:w="2232"/>
            <w:tcMar>
              <w:top w:w="65" w:type="dxa"/>
              <w:start w:w="85" w:type="dxa"/>
              <w:bottom w:w="65" w:type="dxa"/>
              <w:end w:w="85" w:type="dxa"/>
            </w:tcMar>
            <w:vAlign w:val="top"/>
          </w:tcPr>
          <w:p>
            <w:r>
              <w:rPr>
                <w:sz w:val="14"/>
              </w:rPr>
              <w:t>Google Cloud</w:t>
            </w:r>
          </w:p>
        </w:tc>
        <w:tc>
          <w:tcPr>
            <w:tcW w:type="dxa" w:w="2952"/>
            <w:tcMar>
              <w:top w:w="65" w:type="dxa"/>
              <w:start w:w="85" w:type="dxa"/>
              <w:bottom w:w="65" w:type="dxa"/>
              <w:end w:w="85" w:type="dxa"/>
            </w:tcMar>
            <w:vAlign w:val="top"/>
          </w:tcPr>
          <w:p>
            <w:r>
              <w:rPr>
                <w:sz w:val="14"/>
              </w:rPr>
              <w:t>GKE / GKE Enterprise</w:t>
            </w:r>
          </w:p>
        </w:tc>
        <w:tc>
          <w:tcPr>
            <w:tcW w:type="dxa" w:w="4824"/>
            <w:tcMar>
              <w:top w:w="65" w:type="dxa"/>
              <w:start w:w="85" w:type="dxa"/>
              <w:bottom w:w="65" w:type="dxa"/>
              <w:end w:w="85" w:type="dxa"/>
            </w:tcMar>
            <w:vAlign w:val="top"/>
          </w:tcPr>
          <w:p>
            <w:r>
              <w:rPr>
                <w:sz w:val="14"/>
              </w:rPr>
              <w:t>Manage Google and hybrid Kubernetes fleets.</w:t>
            </w:r>
          </w:p>
        </w:tc>
      </w:tr>
      <w:tr>
        <w:trPr>
          <w:cantSplit/>
        </w:trPr>
        <w:tc>
          <w:tcPr>
            <w:tcW w:type="dxa" w:w="2232"/>
            <w:tcMar>
              <w:top w:w="65" w:type="dxa"/>
              <w:start w:w="85" w:type="dxa"/>
              <w:bottom w:w="65" w:type="dxa"/>
              <w:end w:w="85" w:type="dxa"/>
            </w:tcMar>
            <w:vAlign w:val="top"/>
          </w:tcPr>
          <w:p>
            <w:r>
              <w:rPr>
                <w:sz w:val="14"/>
              </w:rPr>
              <w:t>Delivery</w:t>
            </w:r>
          </w:p>
        </w:tc>
        <w:tc>
          <w:tcPr>
            <w:tcW w:type="dxa" w:w="2952"/>
            <w:tcMar>
              <w:top w:w="65" w:type="dxa"/>
              <w:start w:w="85" w:type="dxa"/>
              <w:bottom w:w="65" w:type="dxa"/>
              <w:end w:w="85" w:type="dxa"/>
            </w:tcMar>
            <w:vAlign w:val="top"/>
          </w:tcPr>
          <w:p>
            <w:r>
              <w:rPr>
                <w:sz w:val="14"/>
              </w:rPr>
              <w:t>Argo CD / Flux</w:t>
            </w:r>
          </w:p>
        </w:tc>
        <w:tc>
          <w:tcPr>
            <w:tcW w:type="dxa" w:w="4824"/>
            <w:tcMar>
              <w:top w:w="65" w:type="dxa"/>
              <w:start w:w="85" w:type="dxa"/>
              <w:bottom w:w="65" w:type="dxa"/>
              <w:end w:w="85" w:type="dxa"/>
            </w:tcMar>
            <w:vAlign w:val="top"/>
          </w:tcPr>
          <w:p>
            <w:r>
              <w:rPr>
                <w:sz w:val="14"/>
              </w:rPr>
              <w:t>Apply declarative workload and policy changes.</w:t>
            </w:r>
          </w:p>
        </w:tc>
      </w:tr>
      <w:tr>
        <w:trPr>
          <w:cantSplit/>
        </w:trPr>
        <w:tc>
          <w:tcPr>
            <w:tcW w:type="dxa" w:w="2232"/>
            <w:tcMar>
              <w:top w:w="65" w:type="dxa"/>
              <w:start w:w="85" w:type="dxa"/>
              <w:bottom w:w="65" w:type="dxa"/>
              <w:end w:w="85" w:type="dxa"/>
            </w:tcMar>
            <w:vAlign w:val="top"/>
          </w:tcPr>
          <w:p>
            <w:r>
              <w:rPr>
                <w:sz w:val="14"/>
              </w:rPr>
              <w:t>Policy</w:t>
            </w:r>
          </w:p>
        </w:tc>
        <w:tc>
          <w:tcPr>
            <w:tcW w:type="dxa" w:w="2952"/>
            <w:tcMar>
              <w:top w:w="65" w:type="dxa"/>
              <w:start w:w="85" w:type="dxa"/>
              <w:bottom w:w="65" w:type="dxa"/>
              <w:end w:w="85" w:type="dxa"/>
            </w:tcMar>
            <w:vAlign w:val="top"/>
          </w:tcPr>
          <w:p>
            <w:r>
              <w:rPr>
                <w:sz w:val="14"/>
              </w:rPr>
              <w:t>Kyverno / Gatekeeper</w:t>
            </w:r>
          </w:p>
        </w:tc>
        <w:tc>
          <w:tcPr>
            <w:tcW w:type="dxa" w:w="4824"/>
            <w:tcMar>
              <w:top w:w="65" w:type="dxa"/>
              <w:start w:w="85" w:type="dxa"/>
              <w:bottom w:w="65" w:type="dxa"/>
              <w:end w:w="85" w:type="dxa"/>
            </w:tcMar>
            <w:vAlign w:val="top"/>
          </w:tcPr>
          <w:p>
            <w:r>
              <w:rPr>
                <w:sz w:val="14"/>
              </w:rPr>
              <w:t>Enforce portable Kubernetes admission controls.</w:t>
            </w:r>
          </w:p>
        </w:tc>
      </w:tr>
      <w:tr>
        <w:trPr>
          <w:cantSplit/>
        </w:trPr>
        <w:tc>
          <w:tcPr>
            <w:tcW w:type="dxa" w:w="2232"/>
            <w:tcMar>
              <w:top w:w="65" w:type="dxa"/>
              <w:start w:w="85" w:type="dxa"/>
              <w:bottom w:w="65" w:type="dxa"/>
              <w:end w:w="85" w:type="dxa"/>
            </w:tcMar>
            <w:vAlign w:val="top"/>
          </w:tcPr>
          <w:p>
            <w:r>
              <w:rPr>
                <w:sz w:val="14"/>
              </w:rPr>
              <w:t>Telemetry</w:t>
            </w:r>
          </w:p>
        </w:tc>
        <w:tc>
          <w:tcPr>
            <w:tcW w:type="dxa" w:w="2952"/>
            <w:tcMar>
              <w:top w:w="65" w:type="dxa"/>
              <w:start w:w="85" w:type="dxa"/>
              <w:bottom w:w="65" w:type="dxa"/>
              <w:end w:w="85" w:type="dxa"/>
            </w:tcMar>
            <w:vAlign w:val="top"/>
          </w:tcPr>
          <w:p>
            <w:r>
              <w:rPr>
                <w:sz w:val="14"/>
              </w:rPr>
              <w:t>OpenTelemetry / Prometheus</w:t>
            </w:r>
          </w:p>
        </w:tc>
        <w:tc>
          <w:tcPr>
            <w:tcW w:type="dxa" w:w="4824"/>
            <w:tcMar>
              <w:top w:w="65" w:type="dxa"/>
              <w:start w:w="85" w:type="dxa"/>
              <w:bottom w:w="65" w:type="dxa"/>
              <w:end w:w="85" w:type="dxa"/>
            </w:tcMar>
            <w:vAlign w:val="top"/>
          </w:tcPr>
          <w:p>
            <w:r>
              <w:rPr>
                <w:sz w:val="14"/>
              </w:rPr>
              <w:t>Standardize signals while retaining provider context.</w:t>
            </w:r>
          </w:p>
        </w:tc>
      </w:tr>
    </w:tbl>
    <w:p>
      <w:pPr>
        <w:pStyle w:val="Heading2"/>
        <w:keepNext/>
      </w:pPr>
      <w:r>
        <w:t>Architecture and Operating Decisions</w:t>
      </w:r>
    </w:p>
    <w:p>
      <w:pPr>
        <w:pStyle w:val="ListBullet"/>
      </w:pPr>
      <w:r>
        <w:t>Use Multi-Cloud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gitops, policy and workload identity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fleet_standard:</w:t>
              <w:br/>
              <w:t xml:space="preserve">  inventory: owner_environment_version_support_date</w:t>
              <w:br/>
              <w:t xml:space="preserve">  identity: provider_workload_identity</w:t>
              <w:br/>
              <w:t xml:space="preserve">  delivery: gitops</w:t>
              <w:br/>
              <w:t xml:space="preserve">  policy: common_baseline_plus_provider_overlays</w:t>
              <w:br/>
              <w:t xml:space="preserve">  upgrades: staged_wave</w:t>
              <w:br/>
              <w:t xml:space="preserve">  observability: common_labels_and_slos</w:t>
              <w:br/>
              <w:t xml:space="preserve">  portability: tested_images_data_and_manifests</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hybrid kubernetes and fleet management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44: Build a Three-Environment Kubernetes Fleet Governance Model</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hybrid kubernetes and fleet management using fictional enterprise requirements.</w:t>
      </w:r>
    </w:p>
    <w:p>
      <w:pPr>
        <w:ind w:left="360" w:hanging="360"/>
      </w:pPr>
      <w:r>
        <w:rPr>
          <w:b/>
        </w:rPr>
        <w:t xml:space="preserve">2. </w:t>
      </w:r>
      <w:r>
        <w:t>Implement the smallest safe sandbox using Amazon EKS / EKS Anywhere, AKS / Azure Arc-enabled Kubernetes, GKE / GKE Enterprise;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Hybrid Kubernetes and Fleet Management?</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Multi-Cloud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Cluster fleet inventory and ownership defines a key architecture boundary.</w:t>
      </w:r>
    </w:p>
    <w:p>
      <w:pPr>
        <w:pStyle w:val="ListBullet"/>
      </w:pPr>
      <w:r>
        <w:t>EKS, AKS, GKE and on-premises integration must be automated and least-privileged.</w:t>
      </w:r>
    </w:p>
    <w:p>
      <w:pPr>
        <w:pStyle w:val="ListBullet"/>
      </w:pPr>
      <w:r>
        <w:t>GitOps, policy and workload identity requires policy, telemetry and recovery evidence.</w:t>
      </w:r>
    </w:p>
    <w:p>
      <w:pPr>
        <w:pStyle w:val="ListBullet"/>
      </w:pPr>
      <w:r>
        <w:t>Upgrade, observability and failure-domain management should be tested before production and after material change.</w:t>
      </w:r>
    </w:p>
    <w:p>
      <w:r>
        <w:br w:type="page"/>
      </w:r>
    </w:p>
    <w:p>
      <w:pPr>
        <w:jc w:val="center"/>
      </w:pPr>
      <w:r>
        <w:rPr>
          <w:b/>
          <w:color w:val="14919B"/>
          <w:sz w:val="17"/>
        </w:rPr>
        <w:t>VOLUME 12E  |  CHAPTER 45</w:t>
      </w:r>
    </w:p>
    <w:p>
      <w:pPr>
        <w:pStyle w:val="Heading1"/>
        <w:jc w:val="center"/>
      </w:pPr>
      <w:r>
        <w:t>Chapter 45: Multi-Cloud Infrastructure as Code and State Governance</w:t>
      </w:r>
    </w:p>
    <w:p>
      <w:pPr>
        <w:jc w:val="center"/>
      </w:pPr>
      <w:r>
        <w:rPr>
          <w:i/>
          <w:color w:val="4B5563"/>
          <w:sz w:val="20"/>
        </w:rPr>
        <w:t>Scaling provider-specific modules through common engineering controls</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Multi-provider IaC succeeds when workflows and quality gates are standardized while provider semantics remain visible. Shared state or universal modules can create excessive blast radius.</w:t>
            </w:r>
          </w:p>
        </w:tc>
      </w:tr>
    </w:tbl>
    <w:p>
      <w:pPr>
        <w:spacing w:after="0"/>
      </w:pPr>
    </w:p>
    <w:p>
      <w:pPr>
        <w:pStyle w:val="Heading2"/>
        <w:keepNext/>
      </w:pPr>
      <w:r>
        <w:t>Learning Objectives</w:t>
      </w:r>
    </w:p>
    <w:p>
      <w:pPr>
        <w:pStyle w:val="ListBullet"/>
      </w:pPr>
      <w:r>
        <w:t>Explain the architecture, responsibility boundaries and major trade-offs of provider-specific module architecture.</w:t>
      </w:r>
    </w:p>
    <w:p>
      <w:pPr>
        <w:pStyle w:val="ListBullet"/>
      </w:pPr>
      <w:r>
        <w:t>Design state isolation, locking and recovery for enterprise scale, least privilege and bounded failure.</w:t>
      </w:r>
    </w:p>
    <w:p>
      <w:pPr>
        <w:pStyle w:val="ListBullet"/>
      </w:pPr>
      <w:r>
        <w:t>Implement policy as code and testing through version-controlled automation and policy checks.</w:t>
      </w:r>
    </w:p>
    <w:p>
      <w:pPr>
        <w:pStyle w:val="ListBullet"/>
      </w:pPr>
      <w:r>
        <w:t>Troubleshoot dependency upgrades and drift operations using provider-native telemetry and repeatable evidence.</w:t>
      </w:r>
    </w:p>
    <w:p>
      <w:pPr>
        <w:pStyle w:val="ListBullet"/>
      </w:pPr>
      <w:r>
        <w:t>Deliver a sanitized portfolio artifact for build a governed multi-provider terraform delivery pipeline.</w:t>
      </w:r>
    </w:p>
    <w:p>
      <w:pPr>
        <w:pStyle w:val="Heading2"/>
        <w:keepNext/>
      </w:pPr>
      <w:r>
        <w:t>Core Concepts</w:t>
      </w:r>
    </w:p>
    <w:p>
      <w:pPr>
        <w:pStyle w:val="Heading3"/>
        <w:keepNext/>
      </w:pPr>
      <w:r>
        <w:t>Provider-specific module architecture</w:t>
      </w:r>
    </w:p>
    <w:p>
      <w:pPr>
        <w:keepNext w:val="0"/>
      </w:pPr>
      <w:r>
        <w:t>Provider-specific module architecture is a design boundary, not merely a console feature. In Multi-Cloud Infrastructure as Code and State Governance, the team must document ownership, trust assumptions, dependency direction, failure impact and the evidence used to prove the control. The recommended implementation uses Terraform, Provider-specific module libraries, Remote backends per blast radius, OPA / Sentinel / provider checks only where they satisfy an explicit requirement; equivalent services are not automatically interchangeable.</w:t>
      </w:r>
    </w:p>
    <w:p>
      <w:pPr>
        <w:pStyle w:val="Heading3"/>
        <w:keepNext/>
      </w:pPr>
      <w:r>
        <w:t>State isolation, locking and recovery</w:t>
      </w:r>
    </w:p>
    <w:p>
      <w:pPr>
        <w:keepNext w:val="0"/>
      </w:pPr>
      <w:r>
        <w:t>A production implementation of State isolation, locking and recovery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Policy as code and testing</w:t>
      </w:r>
    </w:p>
    <w:p>
      <w:pPr>
        <w:keepNext w:val="0"/>
      </w:pPr>
      <w:r>
        <w:t>For Policy as code and testing,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Dependency upgrades and drift operations</w:t>
      </w:r>
    </w:p>
    <w:p>
      <w:pPr>
        <w:keepNext w:val="0"/>
      </w:pPr>
      <w:r>
        <w:t>The strongest validation for Dependency upgrades and drift operations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Provisioning</w:t>
            </w:r>
          </w:p>
        </w:tc>
        <w:tc>
          <w:tcPr>
            <w:tcW w:type="dxa" w:w="2952"/>
            <w:tcMar>
              <w:top w:w="65" w:type="dxa"/>
              <w:start w:w="85" w:type="dxa"/>
              <w:bottom w:w="65" w:type="dxa"/>
              <w:end w:w="85" w:type="dxa"/>
            </w:tcMar>
            <w:vAlign w:val="top"/>
          </w:tcPr>
          <w:p>
            <w:r>
              <w:rPr>
                <w:sz w:val="14"/>
              </w:rPr>
              <w:t>Terraform</w:t>
            </w:r>
          </w:p>
        </w:tc>
        <w:tc>
          <w:tcPr>
            <w:tcW w:type="dxa" w:w="4824"/>
            <w:tcMar>
              <w:top w:w="65" w:type="dxa"/>
              <w:start w:w="85" w:type="dxa"/>
              <w:bottom w:w="65" w:type="dxa"/>
              <w:end w:w="85" w:type="dxa"/>
            </w:tcMar>
            <w:vAlign w:val="top"/>
          </w:tcPr>
          <w:p>
            <w:r>
              <w:rPr>
                <w:sz w:val="14"/>
              </w:rPr>
              <w:t>Manage provider resources through declarative configuration.</w:t>
            </w:r>
          </w:p>
        </w:tc>
      </w:tr>
      <w:tr>
        <w:trPr>
          <w:cantSplit/>
        </w:trPr>
        <w:tc>
          <w:tcPr>
            <w:tcW w:type="dxa" w:w="2232"/>
            <w:tcMar>
              <w:top w:w="65" w:type="dxa"/>
              <w:start w:w="85" w:type="dxa"/>
              <w:bottom w:w="65" w:type="dxa"/>
              <w:end w:w="85" w:type="dxa"/>
            </w:tcMar>
            <w:vAlign w:val="top"/>
          </w:tcPr>
          <w:p>
            <w:r>
              <w:rPr>
                <w:sz w:val="14"/>
              </w:rPr>
              <w:t>Modules</w:t>
            </w:r>
          </w:p>
        </w:tc>
        <w:tc>
          <w:tcPr>
            <w:tcW w:type="dxa" w:w="2952"/>
            <w:tcMar>
              <w:top w:w="65" w:type="dxa"/>
              <w:start w:w="85" w:type="dxa"/>
              <w:bottom w:w="65" w:type="dxa"/>
              <w:end w:w="85" w:type="dxa"/>
            </w:tcMar>
            <w:vAlign w:val="top"/>
          </w:tcPr>
          <w:p>
            <w:r>
              <w:rPr>
                <w:sz w:val="14"/>
              </w:rPr>
              <w:t>Provider-specific module libraries</w:t>
            </w:r>
          </w:p>
        </w:tc>
        <w:tc>
          <w:tcPr>
            <w:tcW w:type="dxa" w:w="4824"/>
            <w:tcMar>
              <w:top w:w="65" w:type="dxa"/>
              <w:start w:w="85" w:type="dxa"/>
              <w:bottom w:w="65" w:type="dxa"/>
              <w:end w:w="85" w:type="dxa"/>
            </w:tcMar>
            <w:vAlign w:val="top"/>
          </w:tcPr>
          <w:p>
            <w:r>
              <w:rPr>
                <w:sz w:val="14"/>
              </w:rPr>
              <w:t>Standardize approved architecture patterns.</w:t>
            </w:r>
          </w:p>
        </w:tc>
      </w:tr>
      <w:tr>
        <w:trPr>
          <w:cantSplit/>
        </w:trPr>
        <w:tc>
          <w:tcPr>
            <w:tcW w:type="dxa" w:w="2232"/>
            <w:tcMar>
              <w:top w:w="65" w:type="dxa"/>
              <w:start w:w="85" w:type="dxa"/>
              <w:bottom w:w="65" w:type="dxa"/>
              <w:end w:w="85" w:type="dxa"/>
            </w:tcMar>
            <w:vAlign w:val="top"/>
          </w:tcPr>
          <w:p>
            <w:r>
              <w:rPr>
                <w:sz w:val="14"/>
              </w:rPr>
              <w:t>State</w:t>
            </w:r>
          </w:p>
        </w:tc>
        <w:tc>
          <w:tcPr>
            <w:tcW w:type="dxa" w:w="2952"/>
            <w:tcMar>
              <w:top w:w="65" w:type="dxa"/>
              <w:start w:w="85" w:type="dxa"/>
              <w:bottom w:w="65" w:type="dxa"/>
              <w:end w:w="85" w:type="dxa"/>
            </w:tcMar>
            <w:vAlign w:val="top"/>
          </w:tcPr>
          <w:p>
            <w:r>
              <w:rPr>
                <w:sz w:val="14"/>
              </w:rPr>
              <w:t>Remote backends per blast radius</w:t>
            </w:r>
          </w:p>
        </w:tc>
        <w:tc>
          <w:tcPr>
            <w:tcW w:type="dxa" w:w="4824"/>
            <w:tcMar>
              <w:top w:w="65" w:type="dxa"/>
              <w:start w:w="85" w:type="dxa"/>
              <w:bottom w:w="65" w:type="dxa"/>
              <w:end w:w="85" w:type="dxa"/>
            </w:tcMar>
            <w:vAlign w:val="top"/>
          </w:tcPr>
          <w:p>
            <w:r>
              <w:rPr>
                <w:sz w:val="14"/>
              </w:rPr>
              <w:t>Protect and lock state independently.</w:t>
            </w:r>
          </w:p>
        </w:tc>
      </w:tr>
      <w:tr>
        <w:trPr>
          <w:cantSplit/>
        </w:trPr>
        <w:tc>
          <w:tcPr>
            <w:tcW w:type="dxa" w:w="2232"/>
            <w:tcMar>
              <w:top w:w="65" w:type="dxa"/>
              <w:start w:w="85" w:type="dxa"/>
              <w:bottom w:w="65" w:type="dxa"/>
              <w:end w:w="85" w:type="dxa"/>
            </w:tcMar>
            <w:vAlign w:val="top"/>
          </w:tcPr>
          <w:p>
            <w:r>
              <w:rPr>
                <w:sz w:val="14"/>
              </w:rPr>
              <w:t>Policy</w:t>
            </w:r>
          </w:p>
        </w:tc>
        <w:tc>
          <w:tcPr>
            <w:tcW w:type="dxa" w:w="2952"/>
            <w:tcMar>
              <w:top w:w="65" w:type="dxa"/>
              <w:start w:w="85" w:type="dxa"/>
              <w:bottom w:w="65" w:type="dxa"/>
              <w:end w:w="85" w:type="dxa"/>
            </w:tcMar>
            <w:vAlign w:val="top"/>
          </w:tcPr>
          <w:p>
            <w:r>
              <w:rPr>
                <w:sz w:val="14"/>
              </w:rPr>
              <w:t>OPA / Sentinel / provider checks</w:t>
            </w:r>
          </w:p>
        </w:tc>
        <w:tc>
          <w:tcPr>
            <w:tcW w:type="dxa" w:w="4824"/>
            <w:tcMar>
              <w:top w:w="65" w:type="dxa"/>
              <w:start w:w="85" w:type="dxa"/>
              <w:bottom w:w="65" w:type="dxa"/>
              <w:end w:w="85" w:type="dxa"/>
            </w:tcMar>
            <w:vAlign w:val="top"/>
          </w:tcPr>
          <w:p>
            <w:r>
              <w:rPr>
                <w:sz w:val="14"/>
              </w:rPr>
              <w:t>Block prohibited plans.</w:t>
            </w:r>
          </w:p>
        </w:tc>
      </w:tr>
      <w:tr>
        <w:trPr>
          <w:cantSplit/>
        </w:trPr>
        <w:tc>
          <w:tcPr>
            <w:tcW w:type="dxa" w:w="2232"/>
            <w:tcMar>
              <w:top w:w="65" w:type="dxa"/>
              <w:start w:w="85" w:type="dxa"/>
              <w:bottom w:w="65" w:type="dxa"/>
              <w:end w:w="85" w:type="dxa"/>
            </w:tcMar>
            <w:vAlign w:val="top"/>
          </w:tcPr>
          <w:p>
            <w:r>
              <w:rPr>
                <w:sz w:val="14"/>
              </w:rPr>
              <w:t>Testing</w:t>
            </w:r>
          </w:p>
        </w:tc>
        <w:tc>
          <w:tcPr>
            <w:tcW w:type="dxa" w:w="2952"/>
            <w:tcMar>
              <w:top w:w="65" w:type="dxa"/>
              <w:start w:w="85" w:type="dxa"/>
              <w:bottom w:w="65" w:type="dxa"/>
              <w:end w:w="85" w:type="dxa"/>
            </w:tcMar>
            <w:vAlign w:val="top"/>
          </w:tcPr>
          <w:p>
            <w:r>
              <w:rPr>
                <w:sz w:val="14"/>
              </w:rPr>
              <w:t>terraform test and integration environments</w:t>
            </w:r>
          </w:p>
        </w:tc>
        <w:tc>
          <w:tcPr>
            <w:tcW w:type="dxa" w:w="4824"/>
            <w:tcMar>
              <w:top w:w="65" w:type="dxa"/>
              <w:start w:w="85" w:type="dxa"/>
              <w:bottom w:w="65" w:type="dxa"/>
              <w:end w:w="85" w:type="dxa"/>
            </w:tcMar>
            <w:vAlign w:val="top"/>
          </w:tcPr>
          <w:p>
            <w:r>
              <w:rPr>
                <w:sz w:val="14"/>
              </w:rPr>
              <w:t>Validate modules and upgrades.</w:t>
            </w:r>
          </w:p>
        </w:tc>
      </w:tr>
      <w:tr>
        <w:trPr>
          <w:cantSplit/>
        </w:trPr>
        <w:tc>
          <w:tcPr>
            <w:tcW w:type="dxa" w:w="2232"/>
            <w:tcMar>
              <w:top w:w="65" w:type="dxa"/>
              <w:start w:w="85" w:type="dxa"/>
              <w:bottom w:w="65" w:type="dxa"/>
              <w:end w:w="85" w:type="dxa"/>
            </w:tcMar>
            <w:vAlign w:val="top"/>
          </w:tcPr>
          <w:p>
            <w:r>
              <w:rPr>
                <w:sz w:val="14"/>
              </w:rPr>
              <w:t>Credentials</w:t>
            </w:r>
          </w:p>
        </w:tc>
        <w:tc>
          <w:tcPr>
            <w:tcW w:type="dxa" w:w="2952"/>
            <w:tcMar>
              <w:top w:w="65" w:type="dxa"/>
              <w:start w:w="85" w:type="dxa"/>
              <w:bottom w:w="65" w:type="dxa"/>
              <w:end w:w="85" w:type="dxa"/>
            </w:tcMar>
            <w:vAlign w:val="top"/>
          </w:tcPr>
          <w:p>
            <w:r>
              <w:rPr>
                <w:sz w:val="14"/>
              </w:rPr>
              <w:t>OIDC workload federation</w:t>
            </w:r>
          </w:p>
        </w:tc>
        <w:tc>
          <w:tcPr>
            <w:tcW w:type="dxa" w:w="4824"/>
            <w:tcMar>
              <w:top w:w="65" w:type="dxa"/>
              <w:start w:w="85" w:type="dxa"/>
              <w:bottom w:w="65" w:type="dxa"/>
              <w:end w:w="85" w:type="dxa"/>
            </w:tcMar>
            <w:vAlign w:val="top"/>
          </w:tcPr>
          <w:p>
            <w:r>
              <w:rPr>
                <w:sz w:val="14"/>
              </w:rPr>
              <w:t>Apply without persistent cloud keys.</w:t>
            </w:r>
          </w:p>
        </w:tc>
      </w:tr>
    </w:tbl>
    <w:p>
      <w:pPr>
        <w:pStyle w:val="Heading2"/>
        <w:keepNext/>
      </w:pPr>
      <w:r>
        <w:t>Architecture and Operating Decisions</w:t>
      </w:r>
    </w:p>
    <w:p>
      <w:pPr>
        <w:pStyle w:val="ListBullet"/>
      </w:pPr>
      <w:r>
        <w:t>Use Multi-Cloud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policy as code and testing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repository:</w:t>
              <w:br/>
              <w:t xml:space="preserve">  modules: [aws, azure, gcp, cross_cloud]</w:t>
              <w:br/>
              <w:t xml:space="preserve">  live: isolated_by_provider_environment_region</w:t>
              <w:br/>
              <w:t xml:space="preserve">  state: separate_backend_and_locking</w:t>
              <w:br/>
              <w:t xml:space="preserve">  ci: [fmt, validate, lint, security, test, plan, policy, approve, apply, verify]</w:t>
              <w:br/>
              <w:t xml:space="preserve">  upgrade: dependency_bot_to_ephemeral_test_to_promotion</w:t>
              <w:br/>
              <w:t xml:space="preserve">  drift: scheduled_detect_and_owned_remediation</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multi-cloud infrastructure as code and state governance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45: Build a Governed Multi-Provider Terraform Delivery Pipeline</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multi-cloud infrastructure as code and state governance using fictional enterprise requirements.</w:t>
      </w:r>
    </w:p>
    <w:p>
      <w:pPr>
        <w:ind w:left="360" w:hanging="360"/>
      </w:pPr>
      <w:r>
        <w:rPr>
          <w:b/>
        </w:rPr>
        <w:t xml:space="preserve">2. </w:t>
      </w:r>
      <w:r>
        <w:t>Implement the smallest safe sandbox using Terraform, Provider-specific module libraries, Remote backends per blast radius;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Multi-Cloud Infrastructure as Code and State Governance?</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Multi-Cloud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Provider-specific module architecture defines a key architecture boundary.</w:t>
      </w:r>
    </w:p>
    <w:p>
      <w:pPr>
        <w:pStyle w:val="ListBullet"/>
      </w:pPr>
      <w:r>
        <w:t>State isolation, locking and recovery must be automated and least-privileged.</w:t>
      </w:r>
    </w:p>
    <w:p>
      <w:pPr>
        <w:pStyle w:val="ListBullet"/>
      </w:pPr>
      <w:r>
        <w:t>Policy as code and testing requires policy, telemetry and recovery evidence.</w:t>
      </w:r>
    </w:p>
    <w:p>
      <w:pPr>
        <w:pStyle w:val="ListBullet"/>
      </w:pPr>
      <w:r>
        <w:t>Dependency upgrades and drift operations should be tested before production and after material change.</w:t>
      </w:r>
    </w:p>
    <w:p>
      <w:r>
        <w:br w:type="page"/>
      </w:r>
    </w:p>
    <w:p>
      <w:pPr>
        <w:jc w:val="center"/>
      </w:pPr>
      <w:r>
        <w:rPr>
          <w:b/>
          <w:color w:val="14919B"/>
          <w:sz w:val="17"/>
        </w:rPr>
        <w:t>VOLUME 12E  |  CHAPTER 46</w:t>
      </w:r>
    </w:p>
    <w:p>
      <w:pPr>
        <w:pStyle w:val="Heading1"/>
        <w:jc w:val="center"/>
      </w:pPr>
      <w:r>
        <w:t>Chapter 46: Multi-Cloud CI/CD, GitOps and Artifact Promotion</w:t>
      </w:r>
    </w:p>
    <w:p>
      <w:pPr>
        <w:jc w:val="center"/>
      </w:pPr>
      <w:r>
        <w:rPr>
          <w:i/>
          <w:color w:val="4B5563"/>
          <w:sz w:val="20"/>
        </w:rPr>
        <w:t>Promoting trusted artifacts across providers without rebuilding</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Release integrity is weakened when each environment rebuilds source or uses unrelated pipelines. A secure design produces one verifiable artifact and promotes it through provider-specific deployment adapters.</w:t>
            </w:r>
          </w:p>
        </w:tc>
      </w:tr>
    </w:tbl>
    <w:p>
      <w:pPr>
        <w:spacing w:after="0"/>
      </w:pPr>
    </w:p>
    <w:p>
      <w:pPr>
        <w:pStyle w:val="Heading2"/>
        <w:keepNext/>
      </w:pPr>
      <w:r>
        <w:t>Learning Objectives</w:t>
      </w:r>
    </w:p>
    <w:p>
      <w:pPr>
        <w:pStyle w:val="ListBullet"/>
      </w:pPr>
      <w:r>
        <w:t>Explain the architecture, responsibility boundaries and major trade-offs of build-once artifact and provenance.</w:t>
      </w:r>
    </w:p>
    <w:p>
      <w:pPr>
        <w:pStyle w:val="ListBullet"/>
      </w:pPr>
      <w:r>
        <w:t>Design provider oidc and deployment identities for enterprise scale, least privilege and bounded failure.</w:t>
      </w:r>
    </w:p>
    <w:p>
      <w:pPr>
        <w:pStyle w:val="ListBullet"/>
      </w:pPr>
      <w:r>
        <w:t>Implement gitops environment promotion through version-controlled automation and policy checks.</w:t>
      </w:r>
    </w:p>
    <w:p>
      <w:pPr>
        <w:pStyle w:val="ListBullet"/>
      </w:pPr>
      <w:r>
        <w:t>Troubleshoot policy, canary, rollback and deployment evidence using provider-native telemetry and repeatable evidence.</w:t>
      </w:r>
    </w:p>
    <w:p>
      <w:pPr>
        <w:pStyle w:val="ListBullet"/>
      </w:pPr>
      <w:r>
        <w:t>Deliver a sanitized portfolio artifact for promote one signed artifact across three cloud environments.</w:t>
      </w:r>
    </w:p>
    <w:p>
      <w:pPr>
        <w:pStyle w:val="Heading2"/>
        <w:keepNext/>
      </w:pPr>
      <w:r>
        <w:t>Core Concepts</w:t>
      </w:r>
    </w:p>
    <w:p>
      <w:pPr>
        <w:pStyle w:val="Heading3"/>
        <w:keepNext/>
      </w:pPr>
      <w:r>
        <w:t>Build-once artifact and provenance</w:t>
      </w:r>
    </w:p>
    <w:p>
      <w:pPr>
        <w:keepNext w:val="0"/>
      </w:pPr>
      <w:r>
        <w:t>Build-once artifact and provenance is a design boundary, not merely a console feature. In Multi-Cloud CI/CD, GitOps and Artifact Promotion, the team must document ownership, trust assumptions, dependency direction, failure impact and the evidence used to prove the control. The recommended implementation uses GitHub / GitLab / enterprise SCM, OCI registry or provider registries, OIDC federation, GitOps environment repositories only where they satisfy an explicit requirement; equivalent services are not automatically interchangeable.</w:t>
      </w:r>
    </w:p>
    <w:p>
      <w:pPr>
        <w:pStyle w:val="Heading3"/>
        <w:keepNext/>
      </w:pPr>
      <w:r>
        <w:t>Provider OIDC and deployment identities</w:t>
      </w:r>
    </w:p>
    <w:p>
      <w:pPr>
        <w:keepNext w:val="0"/>
      </w:pPr>
      <w:r>
        <w:t>A production implementation of Provider OIDC and deployment identities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GitOps environment promotion</w:t>
      </w:r>
    </w:p>
    <w:p>
      <w:pPr>
        <w:keepNext w:val="0"/>
      </w:pPr>
      <w:r>
        <w:t>For GitOps environment promotion,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Policy, canary, rollback and deployment evidence</w:t>
      </w:r>
    </w:p>
    <w:p>
      <w:pPr>
        <w:keepNext w:val="0"/>
      </w:pPr>
      <w:r>
        <w:t>The strongest validation for Policy, canary, rollback and deployment evidence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Source</w:t>
            </w:r>
          </w:p>
        </w:tc>
        <w:tc>
          <w:tcPr>
            <w:tcW w:type="dxa" w:w="2952"/>
            <w:tcMar>
              <w:top w:w="65" w:type="dxa"/>
              <w:start w:w="85" w:type="dxa"/>
              <w:bottom w:w="65" w:type="dxa"/>
              <w:end w:w="85" w:type="dxa"/>
            </w:tcMar>
            <w:vAlign w:val="top"/>
          </w:tcPr>
          <w:p>
            <w:r>
              <w:rPr>
                <w:sz w:val="14"/>
              </w:rPr>
              <w:t>GitHub / GitLab / enterprise SCM</w:t>
            </w:r>
          </w:p>
        </w:tc>
        <w:tc>
          <w:tcPr>
            <w:tcW w:type="dxa" w:w="4824"/>
            <w:tcMar>
              <w:top w:w="65" w:type="dxa"/>
              <w:start w:w="85" w:type="dxa"/>
              <w:bottom w:w="65" w:type="dxa"/>
              <w:end w:w="85" w:type="dxa"/>
            </w:tcMar>
            <w:vAlign w:val="top"/>
          </w:tcPr>
          <w:p>
            <w:r>
              <w:rPr>
                <w:sz w:val="14"/>
              </w:rPr>
              <w:t>Control change and review.</w:t>
            </w:r>
          </w:p>
        </w:tc>
      </w:tr>
      <w:tr>
        <w:trPr>
          <w:cantSplit/>
        </w:trPr>
        <w:tc>
          <w:tcPr>
            <w:tcW w:type="dxa" w:w="2232"/>
            <w:tcMar>
              <w:top w:w="65" w:type="dxa"/>
              <w:start w:w="85" w:type="dxa"/>
              <w:bottom w:w="65" w:type="dxa"/>
              <w:end w:w="85" w:type="dxa"/>
            </w:tcMar>
            <w:vAlign w:val="top"/>
          </w:tcPr>
          <w:p>
            <w:r>
              <w:rPr>
                <w:sz w:val="14"/>
              </w:rPr>
              <w:t>Artifacts</w:t>
            </w:r>
          </w:p>
        </w:tc>
        <w:tc>
          <w:tcPr>
            <w:tcW w:type="dxa" w:w="2952"/>
            <w:tcMar>
              <w:top w:w="65" w:type="dxa"/>
              <w:start w:w="85" w:type="dxa"/>
              <w:bottom w:w="65" w:type="dxa"/>
              <w:end w:w="85" w:type="dxa"/>
            </w:tcMar>
            <w:vAlign w:val="top"/>
          </w:tcPr>
          <w:p>
            <w:r>
              <w:rPr>
                <w:sz w:val="14"/>
              </w:rPr>
              <w:t>OCI registry or provider registries</w:t>
            </w:r>
          </w:p>
        </w:tc>
        <w:tc>
          <w:tcPr>
            <w:tcW w:type="dxa" w:w="4824"/>
            <w:tcMar>
              <w:top w:w="65" w:type="dxa"/>
              <w:start w:w="85" w:type="dxa"/>
              <w:bottom w:w="65" w:type="dxa"/>
              <w:end w:w="85" w:type="dxa"/>
            </w:tcMar>
            <w:vAlign w:val="top"/>
          </w:tcPr>
          <w:p>
            <w:r>
              <w:rPr>
                <w:sz w:val="14"/>
              </w:rPr>
              <w:t>Store immutable signed images and packages.</w:t>
            </w:r>
          </w:p>
        </w:tc>
      </w:tr>
      <w:tr>
        <w:trPr>
          <w:cantSplit/>
        </w:trPr>
        <w:tc>
          <w:tcPr>
            <w:tcW w:type="dxa" w:w="2232"/>
            <w:tcMar>
              <w:top w:w="65" w:type="dxa"/>
              <w:start w:w="85" w:type="dxa"/>
              <w:bottom w:w="65" w:type="dxa"/>
              <w:end w:w="85" w:type="dxa"/>
            </w:tcMar>
            <w:vAlign w:val="top"/>
          </w:tcPr>
          <w:p>
            <w:r>
              <w:rPr>
                <w:sz w:val="14"/>
              </w:rPr>
              <w:t>Identity</w:t>
            </w:r>
          </w:p>
        </w:tc>
        <w:tc>
          <w:tcPr>
            <w:tcW w:type="dxa" w:w="2952"/>
            <w:tcMar>
              <w:top w:w="65" w:type="dxa"/>
              <w:start w:w="85" w:type="dxa"/>
              <w:bottom w:w="65" w:type="dxa"/>
              <w:end w:w="85" w:type="dxa"/>
            </w:tcMar>
            <w:vAlign w:val="top"/>
          </w:tcPr>
          <w:p>
            <w:r>
              <w:rPr>
                <w:sz w:val="14"/>
              </w:rPr>
              <w:t>OIDC federation</w:t>
            </w:r>
          </w:p>
        </w:tc>
        <w:tc>
          <w:tcPr>
            <w:tcW w:type="dxa" w:w="4824"/>
            <w:tcMar>
              <w:top w:w="65" w:type="dxa"/>
              <w:start w:w="85" w:type="dxa"/>
              <w:bottom w:w="65" w:type="dxa"/>
              <w:end w:w="85" w:type="dxa"/>
            </w:tcMar>
            <w:vAlign w:val="top"/>
          </w:tcPr>
          <w:p>
            <w:r>
              <w:rPr>
                <w:sz w:val="14"/>
              </w:rPr>
              <w:t>Authenticate deployment jobs to each provider.</w:t>
            </w:r>
          </w:p>
        </w:tc>
      </w:tr>
      <w:tr>
        <w:trPr>
          <w:cantSplit/>
        </w:trPr>
        <w:tc>
          <w:tcPr>
            <w:tcW w:type="dxa" w:w="2232"/>
            <w:tcMar>
              <w:top w:w="65" w:type="dxa"/>
              <w:start w:w="85" w:type="dxa"/>
              <w:bottom w:w="65" w:type="dxa"/>
              <w:end w:w="85" w:type="dxa"/>
            </w:tcMar>
            <w:vAlign w:val="top"/>
          </w:tcPr>
          <w:p>
            <w:r>
              <w:rPr>
                <w:sz w:val="14"/>
              </w:rPr>
              <w:t>Promotion</w:t>
            </w:r>
          </w:p>
        </w:tc>
        <w:tc>
          <w:tcPr>
            <w:tcW w:type="dxa" w:w="2952"/>
            <w:tcMar>
              <w:top w:w="65" w:type="dxa"/>
              <w:start w:w="85" w:type="dxa"/>
              <w:bottom w:w="65" w:type="dxa"/>
              <w:end w:w="85" w:type="dxa"/>
            </w:tcMar>
            <w:vAlign w:val="top"/>
          </w:tcPr>
          <w:p>
            <w:r>
              <w:rPr>
                <w:sz w:val="14"/>
              </w:rPr>
              <w:t>GitOps environment repositories</w:t>
            </w:r>
          </w:p>
        </w:tc>
        <w:tc>
          <w:tcPr>
            <w:tcW w:type="dxa" w:w="4824"/>
            <w:tcMar>
              <w:top w:w="65" w:type="dxa"/>
              <w:start w:w="85" w:type="dxa"/>
              <w:bottom w:w="65" w:type="dxa"/>
              <w:end w:w="85" w:type="dxa"/>
            </w:tcMar>
            <w:vAlign w:val="top"/>
          </w:tcPr>
          <w:p>
            <w:r>
              <w:rPr>
                <w:sz w:val="14"/>
              </w:rPr>
              <w:t>Move approved versions without rebuilding.</w:t>
            </w:r>
          </w:p>
        </w:tc>
      </w:tr>
      <w:tr>
        <w:trPr>
          <w:cantSplit/>
        </w:trPr>
        <w:tc>
          <w:tcPr>
            <w:tcW w:type="dxa" w:w="2232"/>
            <w:tcMar>
              <w:top w:w="65" w:type="dxa"/>
              <w:start w:w="85" w:type="dxa"/>
              <w:bottom w:w="65" w:type="dxa"/>
              <w:end w:w="85" w:type="dxa"/>
            </w:tcMar>
            <w:vAlign w:val="top"/>
          </w:tcPr>
          <w:p>
            <w:r>
              <w:rPr>
                <w:sz w:val="14"/>
              </w:rPr>
              <w:t>Supply chain</w:t>
            </w:r>
          </w:p>
        </w:tc>
        <w:tc>
          <w:tcPr>
            <w:tcW w:type="dxa" w:w="2952"/>
            <w:tcMar>
              <w:top w:w="65" w:type="dxa"/>
              <w:start w:w="85" w:type="dxa"/>
              <w:bottom w:w="65" w:type="dxa"/>
              <w:end w:w="85" w:type="dxa"/>
            </w:tcMar>
            <w:vAlign w:val="top"/>
          </w:tcPr>
          <w:p>
            <w:r>
              <w:rPr>
                <w:sz w:val="14"/>
              </w:rPr>
              <w:t>SBOM / signing / provenance</w:t>
            </w:r>
          </w:p>
        </w:tc>
        <w:tc>
          <w:tcPr>
            <w:tcW w:type="dxa" w:w="4824"/>
            <w:tcMar>
              <w:top w:w="65" w:type="dxa"/>
              <w:start w:w="85" w:type="dxa"/>
              <w:bottom w:w="65" w:type="dxa"/>
              <w:end w:w="85" w:type="dxa"/>
            </w:tcMar>
            <w:vAlign w:val="top"/>
          </w:tcPr>
          <w:p>
            <w:r>
              <w:rPr>
                <w:sz w:val="14"/>
              </w:rPr>
              <w:t>Verify artifact origin and policy.</w:t>
            </w:r>
          </w:p>
        </w:tc>
      </w:tr>
      <w:tr>
        <w:trPr>
          <w:cantSplit/>
        </w:trPr>
        <w:tc>
          <w:tcPr>
            <w:tcW w:type="dxa" w:w="2232"/>
            <w:tcMar>
              <w:top w:w="65" w:type="dxa"/>
              <w:start w:w="85" w:type="dxa"/>
              <w:bottom w:w="65" w:type="dxa"/>
              <w:end w:w="85" w:type="dxa"/>
            </w:tcMar>
            <w:vAlign w:val="top"/>
          </w:tcPr>
          <w:p>
            <w:r>
              <w:rPr>
                <w:sz w:val="14"/>
              </w:rPr>
              <w:t>Release</w:t>
            </w:r>
          </w:p>
        </w:tc>
        <w:tc>
          <w:tcPr>
            <w:tcW w:type="dxa" w:w="2952"/>
            <w:tcMar>
              <w:top w:w="65" w:type="dxa"/>
              <w:start w:w="85" w:type="dxa"/>
              <w:bottom w:w="65" w:type="dxa"/>
              <w:end w:w="85" w:type="dxa"/>
            </w:tcMar>
            <w:vAlign w:val="top"/>
          </w:tcPr>
          <w:p>
            <w:r>
              <w:rPr>
                <w:sz w:val="14"/>
              </w:rPr>
              <w:t>Canary / blue-green</w:t>
            </w:r>
          </w:p>
        </w:tc>
        <w:tc>
          <w:tcPr>
            <w:tcW w:type="dxa" w:w="4824"/>
            <w:tcMar>
              <w:top w:w="65" w:type="dxa"/>
              <w:start w:w="85" w:type="dxa"/>
              <w:bottom w:w="65" w:type="dxa"/>
              <w:end w:w="85" w:type="dxa"/>
            </w:tcMar>
            <w:vAlign w:val="top"/>
          </w:tcPr>
          <w:p>
            <w:r>
              <w:rPr>
                <w:sz w:val="14"/>
              </w:rPr>
              <w:t>Limit blast radius and automate rollback.</w:t>
            </w:r>
          </w:p>
        </w:tc>
      </w:tr>
    </w:tbl>
    <w:p>
      <w:pPr>
        <w:pStyle w:val="Heading2"/>
        <w:keepNext/>
      </w:pPr>
      <w:r>
        <w:t>Architecture and Operating Decisions</w:t>
      </w:r>
    </w:p>
    <w:p>
      <w:pPr>
        <w:pStyle w:val="ListBullet"/>
      </w:pPr>
      <w:r>
        <w:t>Use Multi-Cloud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gitops environment promotion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pipeline:</w:t>
              <w:br/>
              <w:t xml:space="preserve">  build: compile_test_scan_sbom_sign</w:t>
              <w:br/>
              <w:t xml:space="preserve">  artifact: immutable_digest</w:t>
              <w:br/>
              <w:t xml:space="preserve">  promotion: update_environment_reference_only</w:t>
              <w:br/>
              <w:t xml:space="preserve">  deploy: provider_specific_adapter</w:t>
              <w:br/>
              <w:t xml:space="preserve">  gates: [policy, approval, canary_metrics]</w:t>
              <w:br/>
              <w:t xml:space="preserve">  rollback: previous_verified_digest</w:t>
              <w:br/>
              <w:t xml:space="preserve">  evidence: commit_to_artifact_to_deployment_chain</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multi-cloud ci/cd, gitops and artifact promotion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46: Promote One Signed Artifact Across Three Cloud Environments</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multi-cloud ci/cd, gitops and artifact promotion using fictional enterprise requirements.</w:t>
      </w:r>
    </w:p>
    <w:p>
      <w:pPr>
        <w:ind w:left="360" w:hanging="360"/>
      </w:pPr>
      <w:r>
        <w:rPr>
          <w:b/>
        </w:rPr>
        <w:t xml:space="preserve">2. </w:t>
      </w:r>
      <w:r>
        <w:t>Implement the smallest safe sandbox using GitHub / GitLab / enterprise SCM, OCI registry or provider registries, OIDC federation;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Multi-Cloud CI/CD, GitOps and Artifact Promotion?</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Multi-Cloud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Build-once artifact and provenance defines a key architecture boundary.</w:t>
      </w:r>
    </w:p>
    <w:p>
      <w:pPr>
        <w:pStyle w:val="ListBullet"/>
      </w:pPr>
      <w:r>
        <w:t>Provider OIDC and deployment identities must be automated and least-privileged.</w:t>
      </w:r>
    </w:p>
    <w:p>
      <w:pPr>
        <w:pStyle w:val="ListBullet"/>
      </w:pPr>
      <w:r>
        <w:t>GitOps environment promotion requires policy, telemetry and recovery evidence.</w:t>
      </w:r>
    </w:p>
    <w:p>
      <w:pPr>
        <w:pStyle w:val="ListBullet"/>
      </w:pPr>
      <w:r>
        <w:t>Policy, canary, rollback and deployment evidence should be tested before production and after material change.</w:t>
      </w:r>
    </w:p>
    <w:p>
      <w:r>
        <w:br w:type="page"/>
      </w:r>
    </w:p>
    <w:p>
      <w:pPr>
        <w:jc w:val="center"/>
      </w:pPr>
      <w:r>
        <w:rPr>
          <w:b/>
          <w:color w:val="14919B"/>
          <w:sz w:val="17"/>
        </w:rPr>
        <w:t>VOLUME 12E  |  CHAPTER 47</w:t>
      </w:r>
    </w:p>
    <w:p>
      <w:pPr>
        <w:pStyle w:val="Heading1"/>
        <w:jc w:val="center"/>
      </w:pPr>
      <w:r>
        <w:t>Chapter 47: Data Portability, Replication and Sovereignty</w:t>
      </w:r>
    </w:p>
    <w:p>
      <w:pPr>
        <w:jc w:val="center"/>
      </w:pPr>
      <w:r>
        <w:rPr>
          <w:i/>
          <w:color w:val="4B5563"/>
          <w:sz w:val="20"/>
        </w:rPr>
        <w:t>Designing movement and recovery without violating consistency or residency</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Data is the least portable and most regulated part of multi-cloud architecture. Replication adds consistency, egress, security and operational consequences that must be explicit.</w:t>
            </w:r>
          </w:p>
        </w:tc>
      </w:tr>
    </w:tbl>
    <w:p>
      <w:pPr>
        <w:spacing w:after="0"/>
      </w:pPr>
    </w:p>
    <w:p>
      <w:pPr>
        <w:pStyle w:val="Heading2"/>
        <w:keepNext/>
      </w:pPr>
      <w:r>
        <w:t>Learning Objectives</w:t>
      </w:r>
    </w:p>
    <w:p>
      <w:pPr>
        <w:pStyle w:val="ListBullet"/>
      </w:pPr>
      <w:r>
        <w:t>Explain the architecture, responsibility boundaries and major trade-offs of data classification and residency boundaries.</w:t>
      </w:r>
    </w:p>
    <w:p>
      <w:pPr>
        <w:pStyle w:val="ListBullet"/>
      </w:pPr>
      <w:r>
        <w:t>Design batch, streaming and database replication for enterprise scale, least privilege and bounded failure.</w:t>
      </w:r>
    </w:p>
    <w:p>
      <w:pPr>
        <w:pStyle w:val="ListBullet"/>
      </w:pPr>
      <w:r>
        <w:t>Implement consistency, conflict and schema evolution through version-controlled automation and policy checks.</w:t>
      </w:r>
    </w:p>
    <w:p>
      <w:pPr>
        <w:pStyle w:val="ListBullet"/>
      </w:pPr>
      <w:r>
        <w:t>Troubleshoot encryption, key ownership and exit testing using provider-native telemetry and repeatable evidence.</w:t>
      </w:r>
    </w:p>
    <w:p>
      <w:pPr>
        <w:pStyle w:val="ListBullet"/>
      </w:pPr>
      <w:r>
        <w:t>Deliver a sanitized portfolio artifact for design and test a cross-cloud data migration.</w:t>
      </w:r>
    </w:p>
    <w:p>
      <w:pPr>
        <w:pStyle w:val="Heading2"/>
        <w:keepNext/>
      </w:pPr>
      <w:r>
        <w:t>Core Concepts</w:t>
      </w:r>
    </w:p>
    <w:p>
      <w:pPr>
        <w:pStyle w:val="Heading3"/>
        <w:keepNext/>
      </w:pPr>
      <w:r>
        <w:t>Data classification and residency boundaries</w:t>
      </w:r>
    </w:p>
    <w:p>
      <w:pPr>
        <w:keepNext w:val="0"/>
      </w:pPr>
      <w:r>
        <w:t>Data classification and residency boundaries is a design boundary, not merely a console feature. In Data Portability, Replication and Sovereignty, the team must document ownership, trust assumptions, dependency direction, failure impact and the evidence used to prove the control. The recommended implementation uses Provider transfer services / rclone where approved, Kafka-compatible or managed messaging, DMS / Azure DMS / Database Migration Service, Provider KMS plus external key strategy only where they satisfy an explicit requirement; equivalent services are not automatically interchangeable.</w:t>
      </w:r>
    </w:p>
    <w:p>
      <w:pPr>
        <w:pStyle w:val="Heading3"/>
        <w:keepNext/>
      </w:pPr>
      <w:r>
        <w:t>Batch, streaming and database replication</w:t>
      </w:r>
    </w:p>
    <w:p>
      <w:pPr>
        <w:keepNext w:val="0"/>
      </w:pPr>
      <w:r>
        <w:t>A production implementation of Batch, streaming and database replication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Consistency, conflict and schema evolution</w:t>
      </w:r>
    </w:p>
    <w:p>
      <w:pPr>
        <w:keepNext w:val="0"/>
      </w:pPr>
      <w:r>
        <w:t>For Consistency, conflict and schema evolution,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Encryption, key ownership and exit testing</w:t>
      </w:r>
    </w:p>
    <w:p>
      <w:pPr>
        <w:keepNext w:val="0"/>
      </w:pPr>
      <w:r>
        <w:t>The strongest validation for Encryption, key ownership and exit testing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Object transfer</w:t>
            </w:r>
          </w:p>
        </w:tc>
        <w:tc>
          <w:tcPr>
            <w:tcW w:type="dxa" w:w="2952"/>
            <w:tcMar>
              <w:top w:w="65" w:type="dxa"/>
              <w:start w:w="85" w:type="dxa"/>
              <w:bottom w:w="65" w:type="dxa"/>
              <w:end w:w="85" w:type="dxa"/>
            </w:tcMar>
            <w:vAlign w:val="top"/>
          </w:tcPr>
          <w:p>
            <w:r>
              <w:rPr>
                <w:sz w:val="14"/>
              </w:rPr>
              <w:t>Provider transfer services / rclone where approved</w:t>
            </w:r>
          </w:p>
        </w:tc>
        <w:tc>
          <w:tcPr>
            <w:tcW w:type="dxa" w:w="4824"/>
            <w:tcMar>
              <w:top w:w="65" w:type="dxa"/>
              <w:start w:w="85" w:type="dxa"/>
              <w:bottom w:w="65" w:type="dxa"/>
              <w:end w:w="85" w:type="dxa"/>
            </w:tcMar>
            <w:vAlign w:val="top"/>
          </w:tcPr>
          <w:p>
            <w:r>
              <w:rPr>
                <w:sz w:val="14"/>
              </w:rPr>
              <w:t>Move bulk objects with integrity validation.</w:t>
            </w:r>
          </w:p>
        </w:tc>
      </w:tr>
      <w:tr>
        <w:trPr>
          <w:cantSplit/>
        </w:trPr>
        <w:tc>
          <w:tcPr>
            <w:tcW w:type="dxa" w:w="2232"/>
            <w:tcMar>
              <w:top w:w="65" w:type="dxa"/>
              <w:start w:w="85" w:type="dxa"/>
              <w:bottom w:w="65" w:type="dxa"/>
              <w:end w:w="85" w:type="dxa"/>
            </w:tcMar>
            <w:vAlign w:val="top"/>
          </w:tcPr>
          <w:p>
            <w:r>
              <w:rPr>
                <w:sz w:val="14"/>
              </w:rPr>
              <w:t>Streaming</w:t>
            </w:r>
          </w:p>
        </w:tc>
        <w:tc>
          <w:tcPr>
            <w:tcW w:type="dxa" w:w="2952"/>
            <w:tcMar>
              <w:top w:w="65" w:type="dxa"/>
              <w:start w:w="85" w:type="dxa"/>
              <w:bottom w:w="65" w:type="dxa"/>
              <w:end w:w="85" w:type="dxa"/>
            </w:tcMar>
            <w:vAlign w:val="top"/>
          </w:tcPr>
          <w:p>
            <w:r>
              <w:rPr>
                <w:sz w:val="14"/>
              </w:rPr>
              <w:t>Kafka-compatible or managed messaging</w:t>
            </w:r>
          </w:p>
        </w:tc>
        <w:tc>
          <w:tcPr>
            <w:tcW w:type="dxa" w:w="4824"/>
            <w:tcMar>
              <w:top w:w="65" w:type="dxa"/>
              <w:start w:w="85" w:type="dxa"/>
              <w:bottom w:w="65" w:type="dxa"/>
              <w:end w:w="85" w:type="dxa"/>
            </w:tcMar>
            <w:vAlign w:val="top"/>
          </w:tcPr>
          <w:p>
            <w:r>
              <w:rPr>
                <w:sz w:val="14"/>
              </w:rPr>
              <w:t>Replicate events with ordering and replay controls.</w:t>
            </w:r>
          </w:p>
        </w:tc>
      </w:tr>
      <w:tr>
        <w:trPr>
          <w:cantSplit/>
        </w:trPr>
        <w:tc>
          <w:tcPr>
            <w:tcW w:type="dxa" w:w="2232"/>
            <w:tcMar>
              <w:top w:w="65" w:type="dxa"/>
              <w:start w:w="85" w:type="dxa"/>
              <w:bottom w:w="65" w:type="dxa"/>
              <w:end w:w="85" w:type="dxa"/>
            </w:tcMar>
            <w:vAlign w:val="top"/>
          </w:tcPr>
          <w:p>
            <w:r>
              <w:rPr>
                <w:sz w:val="14"/>
              </w:rPr>
              <w:t>Database migration</w:t>
            </w:r>
          </w:p>
        </w:tc>
        <w:tc>
          <w:tcPr>
            <w:tcW w:type="dxa" w:w="2952"/>
            <w:tcMar>
              <w:top w:w="65" w:type="dxa"/>
              <w:start w:w="85" w:type="dxa"/>
              <w:bottom w:w="65" w:type="dxa"/>
              <w:end w:w="85" w:type="dxa"/>
            </w:tcMar>
            <w:vAlign w:val="top"/>
          </w:tcPr>
          <w:p>
            <w:r>
              <w:rPr>
                <w:sz w:val="14"/>
              </w:rPr>
              <w:t>DMS / Azure DMS / Database Migration Service</w:t>
            </w:r>
          </w:p>
        </w:tc>
        <w:tc>
          <w:tcPr>
            <w:tcW w:type="dxa" w:w="4824"/>
            <w:tcMar>
              <w:top w:w="65" w:type="dxa"/>
              <w:start w:w="85" w:type="dxa"/>
              <w:bottom w:w="65" w:type="dxa"/>
              <w:end w:w="85" w:type="dxa"/>
            </w:tcMar>
            <w:vAlign w:val="top"/>
          </w:tcPr>
          <w:p>
            <w:r>
              <w:rPr>
                <w:sz w:val="14"/>
              </w:rPr>
              <w:t>Migrate supported databases with low downtime.</w:t>
            </w:r>
          </w:p>
        </w:tc>
      </w:tr>
      <w:tr>
        <w:trPr>
          <w:cantSplit/>
        </w:trPr>
        <w:tc>
          <w:tcPr>
            <w:tcW w:type="dxa" w:w="2232"/>
            <w:tcMar>
              <w:top w:w="65" w:type="dxa"/>
              <w:start w:w="85" w:type="dxa"/>
              <w:bottom w:w="65" w:type="dxa"/>
              <w:end w:w="85" w:type="dxa"/>
            </w:tcMar>
            <w:vAlign w:val="top"/>
          </w:tcPr>
          <w:p>
            <w:r>
              <w:rPr>
                <w:sz w:val="14"/>
              </w:rPr>
              <w:t>Encryption</w:t>
            </w:r>
          </w:p>
        </w:tc>
        <w:tc>
          <w:tcPr>
            <w:tcW w:type="dxa" w:w="2952"/>
            <w:tcMar>
              <w:top w:w="65" w:type="dxa"/>
              <w:start w:w="85" w:type="dxa"/>
              <w:bottom w:w="65" w:type="dxa"/>
              <w:end w:w="85" w:type="dxa"/>
            </w:tcMar>
            <w:vAlign w:val="top"/>
          </w:tcPr>
          <w:p>
            <w:r>
              <w:rPr>
                <w:sz w:val="14"/>
              </w:rPr>
              <w:t>Provider KMS plus external key strategy</w:t>
            </w:r>
          </w:p>
        </w:tc>
        <w:tc>
          <w:tcPr>
            <w:tcW w:type="dxa" w:w="4824"/>
            <w:tcMar>
              <w:top w:w="65" w:type="dxa"/>
              <w:start w:w="85" w:type="dxa"/>
              <w:bottom w:w="65" w:type="dxa"/>
              <w:end w:w="85" w:type="dxa"/>
            </w:tcMar>
            <w:vAlign w:val="top"/>
          </w:tcPr>
          <w:p>
            <w:r>
              <w:rPr>
                <w:sz w:val="14"/>
              </w:rPr>
              <w:t>Control data and key jurisdiction.</w:t>
            </w:r>
          </w:p>
        </w:tc>
      </w:tr>
      <w:tr>
        <w:trPr>
          <w:cantSplit/>
        </w:trPr>
        <w:tc>
          <w:tcPr>
            <w:tcW w:type="dxa" w:w="2232"/>
            <w:tcMar>
              <w:top w:w="65" w:type="dxa"/>
              <w:start w:w="85" w:type="dxa"/>
              <w:bottom w:w="65" w:type="dxa"/>
              <w:end w:w="85" w:type="dxa"/>
            </w:tcMar>
            <w:vAlign w:val="top"/>
          </w:tcPr>
          <w:p>
            <w:r>
              <w:rPr>
                <w:sz w:val="14"/>
              </w:rPr>
              <w:t>Catalog</w:t>
            </w:r>
          </w:p>
        </w:tc>
        <w:tc>
          <w:tcPr>
            <w:tcW w:type="dxa" w:w="2952"/>
            <w:tcMar>
              <w:top w:w="65" w:type="dxa"/>
              <w:start w:w="85" w:type="dxa"/>
              <w:bottom w:w="65" w:type="dxa"/>
              <w:end w:w="85" w:type="dxa"/>
            </w:tcMar>
            <w:vAlign w:val="top"/>
          </w:tcPr>
          <w:p>
            <w:r>
              <w:rPr>
                <w:sz w:val="14"/>
              </w:rPr>
              <w:t>Data catalog and lineage</w:t>
            </w:r>
          </w:p>
        </w:tc>
        <w:tc>
          <w:tcPr>
            <w:tcW w:type="dxa" w:w="4824"/>
            <w:tcMar>
              <w:top w:w="65" w:type="dxa"/>
              <w:start w:w="85" w:type="dxa"/>
              <w:bottom w:w="65" w:type="dxa"/>
              <w:end w:w="85" w:type="dxa"/>
            </w:tcMar>
            <w:vAlign w:val="top"/>
          </w:tcPr>
          <w:p>
            <w:r>
              <w:rPr>
                <w:sz w:val="14"/>
              </w:rPr>
              <w:t>Track ownership, classification and movement.</w:t>
            </w:r>
          </w:p>
        </w:tc>
      </w:tr>
      <w:tr>
        <w:trPr>
          <w:cantSplit/>
        </w:trPr>
        <w:tc>
          <w:tcPr>
            <w:tcW w:type="dxa" w:w="2232"/>
            <w:tcMar>
              <w:top w:w="65" w:type="dxa"/>
              <w:start w:w="85" w:type="dxa"/>
              <w:bottom w:w="65" w:type="dxa"/>
              <w:end w:w="85" w:type="dxa"/>
            </w:tcMar>
            <w:vAlign w:val="top"/>
          </w:tcPr>
          <w:p>
            <w:r>
              <w:rPr>
                <w:sz w:val="14"/>
              </w:rPr>
              <w:t>Validation</w:t>
            </w:r>
          </w:p>
        </w:tc>
        <w:tc>
          <w:tcPr>
            <w:tcW w:type="dxa" w:w="2952"/>
            <w:tcMar>
              <w:top w:w="65" w:type="dxa"/>
              <w:start w:w="85" w:type="dxa"/>
              <w:bottom w:w="65" w:type="dxa"/>
              <w:end w:w="85" w:type="dxa"/>
            </w:tcMar>
            <w:vAlign w:val="top"/>
          </w:tcPr>
          <w:p>
            <w:r>
              <w:rPr>
                <w:sz w:val="14"/>
              </w:rPr>
              <w:t>Checksums and reconciliation</w:t>
            </w:r>
          </w:p>
        </w:tc>
        <w:tc>
          <w:tcPr>
            <w:tcW w:type="dxa" w:w="4824"/>
            <w:tcMar>
              <w:top w:w="65" w:type="dxa"/>
              <w:start w:w="85" w:type="dxa"/>
              <w:bottom w:w="65" w:type="dxa"/>
              <w:end w:w="85" w:type="dxa"/>
            </w:tcMar>
            <w:vAlign w:val="top"/>
          </w:tcPr>
          <w:p>
            <w:r>
              <w:rPr>
                <w:sz w:val="14"/>
              </w:rPr>
              <w:t>Prove completeness and consistency.</w:t>
            </w:r>
          </w:p>
        </w:tc>
      </w:tr>
    </w:tbl>
    <w:p>
      <w:pPr>
        <w:pStyle w:val="Heading2"/>
        <w:keepNext/>
      </w:pPr>
      <w:r>
        <w:t>Architecture and Operating Decisions</w:t>
      </w:r>
    </w:p>
    <w:p>
      <w:pPr>
        <w:pStyle w:val="ListBullet"/>
      </w:pPr>
      <w:r>
        <w:t>Use Multi-Cloud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consistency, conflict and schema evolution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data_mobility:</w:t>
              <w:br/>
              <w:t xml:space="preserve">  classify: before_transfer</w:t>
              <w:br/>
              <w:t xml:space="preserve">  residency: approved_source_and_destination</w:t>
              <w:br/>
              <w:t xml:space="preserve">  mode: batch_or_stream_by_rpo</w:t>
              <w:br/>
              <w:t xml:space="preserve">  schema: versioned_contract</w:t>
              <w:br/>
              <w:t xml:space="preserve">  encryption: in_transit_and_at_rest</w:t>
              <w:br/>
              <w:t xml:space="preserve">  validation: count_checksum_business_reconciliation</w:t>
              <w:br/>
              <w:t xml:space="preserve">  rollback: source_retained_until_acceptance</w:t>
              <w:br/>
              <w:t xml:space="preserve">  exit_test: annual_for_critical_data</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data portability, replication and sovereignty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47: Design and Test a Cross-Cloud Data Migration</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data portability, replication and sovereignty using fictional enterprise requirements.</w:t>
      </w:r>
    </w:p>
    <w:p>
      <w:pPr>
        <w:ind w:left="360" w:hanging="360"/>
      </w:pPr>
      <w:r>
        <w:rPr>
          <w:b/>
        </w:rPr>
        <w:t xml:space="preserve">2. </w:t>
      </w:r>
      <w:r>
        <w:t>Implement the smallest safe sandbox using Provider transfer services / rclone where approved, Kafka-compatible or managed messaging, DMS / Azure DMS / Database Migration Service;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Data Portability, Replication and Sovereignty?</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Multi-Cloud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Data classification and residency boundaries defines a key architecture boundary.</w:t>
      </w:r>
    </w:p>
    <w:p>
      <w:pPr>
        <w:pStyle w:val="ListBullet"/>
      </w:pPr>
      <w:r>
        <w:t>Batch, streaming and database replication must be automated and least-privileged.</w:t>
      </w:r>
    </w:p>
    <w:p>
      <w:pPr>
        <w:pStyle w:val="ListBullet"/>
      </w:pPr>
      <w:r>
        <w:t>Consistency, conflict and schema evolution requires policy, telemetry and recovery evidence.</w:t>
      </w:r>
    </w:p>
    <w:p>
      <w:pPr>
        <w:pStyle w:val="ListBullet"/>
      </w:pPr>
      <w:r>
        <w:t>Encryption, key ownership and exit testing should be tested before production and after material change.</w:t>
      </w:r>
    </w:p>
    <w:p>
      <w:r>
        <w:br w:type="page"/>
      </w:r>
    </w:p>
    <w:p>
      <w:pPr>
        <w:jc w:val="center"/>
      </w:pPr>
      <w:r>
        <w:rPr>
          <w:b/>
          <w:color w:val="14919B"/>
          <w:sz w:val="17"/>
        </w:rPr>
        <w:t>VOLUME 12E  |  CHAPTER 48</w:t>
      </w:r>
    </w:p>
    <w:p>
      <w:pPr>
        <w:pStyle w:val="Heading1"/>
        <w:jc w:val="center"/>
      </w:pPr>
      <w:r>
        <w:t>Chapter 48: Application Migration Strategy and Wave Planning</w:t>
      </w:r>
    </w:p>
    <w:p>
      <w:pPr>
        <w:jc w:val="center"/>
      </w:pPr>
      <w:r>
        <w:rPr>
          <w:i/>
          <w:color w:val="4B5563"/>
          <w:sz w:val="20"/>
        </w:rPr>
        <w:t>Using rehost, replatform, refactor and retire decisions deliberately</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Migration is a portfolio transformation, not a sequence of server copies. Dependency discovery, business windows, landing-zone readiness and rollback determine the success of each wave.</w:t>
            </w:r>
          </w:p>
        </w:tc>
      </w:tr>
    </w:tbl>
    <w:p>
      <w:pPr>
        <w:spacing w:after="0"/>
      </w:pPr>
    </w:p>
    <w:p>
      <w:pPr>
        <w:pStyle w:val="Heading2"/>
        <w:keepNext/>
      </w:pPr>
      <w:r>
        <w:t>Learning Objectives</w:t>
      </w:r>
    </w:p>
    <w:p>
      <w:pPr>
        <w:pStyle w:val="ListBullet"/>
      </w:pPr>
      <w:r>
        <w:t>Explain the architecture, responsibility boundaries and major trade-offs of application discovery and dependency mapping.</w:t>
      </w:r>
    </w:p>
    <w:p>
      <w:pPr>
        <w:pStyle w:val="ListBullet"/>
      </w:pPr>
      <w:r>
        <w:t>Design migration disposition and target architecture for enterprise scale, least privilege and bounded failure.</w:t>
      </w:r>
    </w:p>
    <w:p>
      <w:pPr>
        <w:pStyle w:val="ListBullet"/>
      </w:pPr>
      <w:r>
        <w:t>Implement wave planning, cutover and rollback through version-controlled automation and policy checks.</w:t>
      </w:r>
    </w:p>
    <w:p>
      <w:pPr>
        <w:pStyle w:val="ListBullet"/>
      </w:pPr>
      <w:r>
        <w:t>Troubleshoot factory metrics and organizational change using provider-native telemetry and repeatable evidence.</w:t>
      </w:r>
    </w:p>
    <w:p>
      <w:pPr>
        <w:pStyle w:val="ListBullet"/>
      </w:pPr>
      <w:r>
        <w:t>Deliver a sanitized portfolio artifact for create a dependency-based cloud migration wave plan.</w:t>
      </w:r>
    </w:p>
    <w:p>
      <w:pPr>
        <w:pStyle w:val="Heading2"/>
        <w:keepNext/>
      </w:pPr>
      <w:r>
        <w:t>Core Concepts</w:t>
      </w:r>
    </w:p>
    <w:p>
      <w:pPr>
        <w:pStyle w:val="Heading3"/>
        <w:keepNext/>
      </w:pPr>
      <w:r>
        <w:t>Application discovery and dependency mapping</w:t>
      </w:r>
    </w:p>
    <w:p>
      <w:pPr>
        <w:keepNext w:val="0"/>
      </w:pPr>
      <w:r>
        <w:t>Application discovery and dependency mapping is a design boundary, not merely a console feature. In Application Migration Strategy and Wave Planning, the team must document ownership, trust assumptions, dependency direction, failure impact and the evidence used to prove the control. The recommended implementation uses CMDB, telemetry and dependency mapping, Rehost / relocate / replatform / refactor / retain / retire, Landing zones and shared services, Dependency-based migration groups only where they satisfy an explicit requirement; equivalent services are not automatically interchangeable.</w:t>
      </w:r>
    </w:p>
    <w:p>
      <w:pPr>
        <w:pStyle w:val="Heading3"/>
        <w:keepNext/>
      </w:pPr>
      <w:r>
        <w:t>Migration disposition and target architecture</w:t>
      </w:r>
    </w:p>
    <w:p>
      <w:pPr>
        <w:keepNext w:val="0"/>
      </w:pPr>
      <w:r>
        <w:t>A production implementation of Migration disposition and target architecture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Wave planning, cutover and rollback</w:t>
      </w:r>
    </w:p>
    <w:p>
      <w:pPr>
        <w:keepNext w:val="0"/>
      </w:pPr>
      <w:r>
        <w:t>For Wave planning, cutover and rollback,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Factory metrics and organizational change</w:t>
      </w:r>
    </w:p>
    <w:p>
      <w:pPr>
        <w:keepNext w:val="0"/>
      </w:pPr>
      <w:r>
        <w:t>The strongest validation for Factory metrics and organizational change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Discovery</w:t>
            </w:r>
          </w:p>
        </w:tc>
        <w:tc>
          <w:tcPr>
            <w:tcW w:type="dxa" w:w="2952"/>
            <w:tcMar>
              <w:top w:w="65" w:type="dxa"/>
              <w:start w:w="85" w:type="dxa"/>
              <w:bottom w:w="65" w:type="dxa"/>
              <w:end w:w="85" w:type="dxa"/>
            </w:tcMar>
            <w:vAlign w:val="top"/>
          </w:tcPr>
          <w:p>
            <w:r>
              <w:rPr>
                <w:sz w:val="14"/>
              </w:rPr>
              <w:t>CMDB, telemetry and dependency mapping</w:t>
            </w:r>
          </w:p>
        </w:tc>
        <w:tc>
          <w:tcPr>
            <w:tcW w:type="dxa" w:w="4824"/>
            <w:tcMar>
              <w:top w:w="65" w:type="dxa"/>
              <w:start w:w="85" w:type="dxa"/>
              <w:bottom w:w="65" w:type="dxa"/>
              <w:end w:w="85" w:type="dxa"/>
            </w:tcMar>
            <w:vAlign w:val="top"/>
          </w:tcPr>
          <w:p>
            <w:r>
              <w:rPr>
                <w:sz w:val="14"/>
              </w:rPr>
              <w:t>Identify real application relationships.</w:t>
            </w:r>
          </w:p>
        </w:tc>
      </w:tr>
      <w:tr>
        <w:trPr>
          <w:cantSplit/>
        </w:trPr>
        <w:tc>
          <w:tcPr>
            <w:tcW w:type="dxa" w:w="2232"/>
            <w:tcMar>
              <w:top w:w="65" w:type="dxa"/>
              <w:start w:w="85" w:type="dxa"/>
              <w:bottom w:w="65" w:type="dxa"/>
              <w:end w:w="85" w:type="dxa"/>
            </w:tcMar>
            <w:vAlign w:val="top"/>
          </w:tcPr>
          <w:p>
            <w:r>
              <w:rPr>
                <w:sz w:val="14"/>
              </w:rPr>
              <w:t>Disposition</w:t>
            </w:r>
          </w:p>
        </w:tc>
        <w:tc>
          <w:tcPr>
            <w:tcW w:type="dxa" w:w="2952"/>
            <w:tcMar>
              <w:top w:w="65" w:type="dxa"/>
              <w:start w:w="85" w:type="dxa"/>
              <w:bottom w:w="65" w:type="dxa"/>
              <w:end w:w="85" w:type="dxa"/>
            </w:tcMar>
            <w:vAlign w:val="top"/>
          </w:tcPr>
          <w:p>
            <w:r>
              <w:rPr>
                <w:sz w:val="14"/>
              </w:rPr>
              <w:t>Rehost / relocate / replatform / refactor / retain / retire</w:t>
            </w:r>
          </w:p>
        </w:tc>
        <w:tc>
          <w:tcPr>
            <w:tcW w:type="dxa" w:w="4824"/>
            <w:tcMar>
              <w:top w:w="65" w:type="dxa"/>
              <w:start w:w="85" w:type="dxa"/>
              <w:bottom w:w="65" w:type="dxa"/>
              <w:end w:w="85" w:type="dxa"/>
            </w:tcMar>
            <w:vAlign w:val="top"/>
          </w:tcPr>
          <w:p>
            <w:r>
              <w:rPr>
                <w:sz w:val="14"/>
              </w:rPr>
              <w:t>Choose a business-aligned migration treatment.</w:t>
            </w:r>
          </w:p>
        </w:tc>
      </w:tr>
      <w:tr>
        <w:trPr>
          <w:cantSplit/>
        </w:trPr>
        <w:tc>
          <w:tcPr>
            <w:tcW w:type="dxa" w:w="2232"/>
            <w:tcMar>
              <w:top w:w="65" w:type="dxa"/>
              <w:start w:w="85" w:type="dxa"/>
              <w:bottom w:w="65" w:type="dxa"/>
              <w:end w:w="85" w:type="dxa"/>
            </w:tcMar>
            <w:vAlign w:val="top"/>
          </w:tcPr>
          <w:p>
            <w:r>
              <w:rPr>
                <w:sz w:val="14"/>
              </w:rPr>
              <w:t>Readiness</w:t>
            </w:r>
          </w:p>
        </w:tc>
        <w:tc>
          <w:tcPr>
            <w:tcW w:type="dxa" w:w="2952"/>
            <w:tcMar>
              <w:top w:w="65" w:type="dxa"/>
              <w:start w:w="85" w:type="dxa"/>
              <w:bottom w:w="65" w:type="dxa"/>
              <w:end w:w="85" w:type="dxa"/>
            </w:tcMar>
            <w:vAlign w:val="top"/>
          </w:tcPr>
          <w:p>
            <w:r>
              <w:rPr>
                <w:sz w:val="14"/>
              </w:rPr>
              <w:t>Landing zones and shared services</w:t>
            </w:r>
          </w:p>
        </w:tc>
        <w:tc>
          <w:tcPr>
            <w:tcW w:type="dxa" w:w="4824"/>
            <w:tcMar>
              <w:top w:w="65" w:type="dxa"/>
              <w:start w:w="85" w:type="dxa"/>
              <w:bottom w:w="65" w:type="dxa"/>
              <w:end w:w="85" w:type="dxa"/>
            </w:tcMar>
            <w:vAlign w:val="top"/>
          </w:tcPr>
          <w:p>
            <w:r>
              <w:rPr>
                <w:sz w:val="14"/>
              </w:rPr>
              <w:t>Prepare identity, network, security and operations.</w:t>
            </w:r>
          </w:p>
        </w:tc>
      </w:tr>
      <w:tr>
        <w:trPr>
          <w:cantSplit/>
        </w:trPr>
        <w:tc>
          <w:tcPr>
            <w:tcW w:type="dxa" w:w="2232"/>
            <w:tcMar>
              <w:top w:w="65" w:type="dxa"/>
              <w:start w:w="85" w:type="dxa"/>
              <w:bottom w:w="65" w:type="dxa"/>
              <w:end w:w="85" w:type="dxa"/>
            </w:tcMar>
            <w:vAlign w:val="top"/>
          </w:tcPr>
          <w:p>
            <w:r>
              <w:rPr>
                <w:sz w:val="14"/>
              </w:rPr>
              <w:t>Wave</w:t>
            </w:r>
          </w:p>
        </w:tc>
        <w:tc>
          <w:tcPr>
            <w:tcW w:type="dxa" w:w="2952"/>
            <w:tcMar>
              <w:top w:w="65" w:type="dxa"/>
              <w:start w:w="85" w:type="dxa"/>
              <w:bottom w:w="65" w:type="dxa"/>
              <w:end w:w="85" w:type="dxa"/>
            </w:tcMar>
            <w:vAlign w:val="top"/>
          </w:tcPr>
          <w:p>
            <w:r>
              <w:rPr>
                <w:sz w:val="14"/>
              </w:rPr>
              <w:t>Dependency-based migration groups</w:t>
            </w:r>
          </w:p>
        </w:tc>
        <w:tc>
          <w:tcPr>
            <w:tcW w:type="dxa" w:w="4824"/>
            <w:tcMar>
              <w:top w:w="65" w:type="dxa"/>
              <w:start w:w="85" w:type="dxa"/>
              <w:bottom w:w="65" w:type="dxa"/>
              <w:end w:w="85" w:type="dxa"/>
            </w:tcMar>
            <w:vAlign w:val="top"/>
          </w:tcPr>
          <w:p>
            <w:r>
              <w:rPr>
                <w:sz w:val="14"/>
              </w:rPr>
              <w:t>Move related components with bounded risk.</w:t>
            </w:r>
          </w:p>
        </w:tc>
      </w:tr>
      <w:tr>
        <w:trPr>
          <w:cantSplit/>
        </w:trPr>
        <w:tc>
          <w:tcPr>
            <w:tcW w:type="dxa" w:w="2232"/>
            <w:tcMar>
              <w:top w:w="65" w:type="dxa"/>
              <w:start w:w="85" w:type="dxa"/>
              <w:bottom w:w="65" w:type="dxa"/>
              <w:end w:w="85" w:type="dxa"/>
            </w:tcMar>
            <w:vAlign w:val="top"/>
          </w:tcPr>
          <w:p>
            <w:r>
              <w:rPr>
                <w:sz w:val="14"/>
              </w:rPr>
              <w:t>Cutover</w:t>
            </w:r>
          </w:p>
        </w:tc>
        <w:tc>
          <w:tcPr>
            <w:tcW w:type="dxa" w:w="2952"/>
            <w:tcMar>
              <w:top w:w="65" w:type="dxa"/>
              <w:start w:w="85" w:type="dxa"/>
              <w:bottom w:w="65" w:type="dxa"/>
              <w:end w:w="85" w:type="dxa"/>
            </w:tcMar>
            <w:vAlign w:val="top"/>
          </w:tcPr>
          <w:p>
            <w:r>
              <w:rPr>
                <w:sz w:val="14"/>
              </w:rPr>
              <w:t>Traffic, data and validation plan</w:t>
            </w:r>
          </w:p>
        </w:tc>
        <w:tc>
          <w:tcPr>
            <w:tcW w:type="dxa" w:w="4824"/>
            <w:tcMar>
              <w:top w:w="65" w:type="dxa"/>
              <w:start w:w="85" w:type="dxa"/>
              <w:bottom w:w="65" w:type="dxa"/>
              <w:end w:w="85" w:type="dxa"/>
            </w:tcMar>
            <w:vAlign w:val="top"/>
          </w:tcPr>
          <w:p>
            <w:r>
              <w:rPr>
                <w:sz w:val="14"/>
              </w:rPr>
              <w:t>Coordinate migration with explicit go/no-go criteria.</w:t>
            </w:r>
          </w:p>
        </w:tc>
      </w:tr>
      <w:tr>
        <w:trPr>
          <w:cantSplit/>
        </w:trPr>
        <w:tc>
          <w:tcPr>
            <w:tcW w:type="dxa" w:w="2232"/>
            <w:tcMar>
              <w:top w:w="65" w:type="dxa"/>
              <w:start w:w="85" w:type="dxa"/>
              <w:bottom w:w="65" w:type="dxa"/>
              <w:end w:w="85" w:type="dxa"/>
            </w:tcMar>
            <w:vAlign w:val="top"/>
          </w:tcPr>
          <w:p>
            <w:r>
              <w:rPr>
                <w:sz w:val="14"/>
              </w:rPr>
              <w:t>Factory</w:t>
            </w:r>
          </w:p>
        </w:tc>
        <w:tc>
          <w:tcPr>
            <w:tcW w:type="dxa" w:w="2952"/>
            <w:tcMar>
              <w:top w:w="65" w:type="dxa"/>
              <w:start w:w="85" w:type="dxa"/>
              <w:bottom w:w="65" w:type="dxa"/>
              <w:end w:w="85" w:type="dxa"/>
            </w:tcMar>
            <w:vAlign w:val="top"/>
          </w:tcPr>
          <w:p>
            <w:r>
              <w:rPr>
                <w:sz w:val="14"/>
              </w:rPr>
              <w:t>Reusable runbooks and metrics</w:t>
            </w:r>
          </w:p>
        </w:tc>
        <w:tc>
          <w:tcPr>
            <w:tcW w:type="dxa" w:w="4824"/>
            <w:tcMar>
              <w:top w:w="65" w:type="dxa"/>
              <w:start w:w="85" w:type="dxa"/>
              <w:bottom w:w="65" w:type="dxa"/>
              <w:end w:w="85" w:type="dxa"/>
            </w:tcMar>
            <w:vAlign w:val="top"/>
          </w:tcPr>
          <w:p>
            <w:r>
              <w:rPr>
                <w:sz w:val="14"/>
              </w:rPr>
              <w:t>Scale migration while learning from each wave.</w:t>
            </w:r>
          </w:p>
        </w:tc>
      </w:tr>
    </w:tbl>
    <w:p>
      <w:pPr>
        <w:pStyle w:val="Heading2"/>
        <w:keepNext/>
      </w:pPr>
      <w:r>
        <w:t>Architecture and Operating Decisions</w:t>
      </w:r>
    </w:p>
    <w:p>
      <w:pPr>
        <w:pStyle w:val="ListBullet"/>
      </w:pPr>
      <w:r>
        <w:t>Use Multi-Cloud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wave planning, cutover and rollback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wave_record:</w:t>
              <w:br/>
              <w:t xml:space="preserve">  applications: [orders_api, orders_db, batch_worker]</w:t>
              <w:br/>
              <w:t xml:space="preserve">  disposition: replatform</w:t>
              <w:br/>
              <w:t xml:space="preserve">  target: managed_containers_plus_managed_database</w:t>
              <w:br/>
              <w:t xml:space="preserve">  dependencies: [identity, dns, payments_api]</w:t>
              <w:br/>
              <w:t xml:space="preserve">  cutover_window: approved</w:t>
              <w:br/>
              <w:t xml:space="preserve">  rollback_trigger: error_rate_or_reconciliation_failure</w:t>
              <w:br/>
              <w:t xml:space="preserve">  success: slo_and_business_transaction_validation</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application migration strategy and wave planning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48: Create a Dependency-Based Cloud Migration Wave Plan</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application migration strategy and wave planning using fictional enterprise requirements.</w:t>
      </w:r>
    </w:p>
    <w:p>
      <w:pPr>
        <w:ind w:left="360" w:hanging="360"/>
      </w:pPr>
      <w:r>
        <w:rPr>
          <w:b/>
        </w:rPr>
        <w:t xml:space="preserve">2. </w:t>
      </w:r>
      <w:r>
        <w:t>Implement the smallest safe sandbox using CMDB, telemetry and dependency mapping, Rehost / relocate / replatform / refactor / retain / retire, Landing zones and shared services;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Application Migration Strategy and Wave Planning?</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Multi-Cloud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Application discovery and dependency mapping defines a key architecture boundary.</w:t>
      </w:r>
    </w:p>
    <w:p>
      <w:pPr>
        <w:pStyle w:val="ListBullet"/>
      </w:pPr>
      <w:r>
        <w:t>Migration disposition and target architecture must be automated and least-privileged.</w:t>
      </w:r>
    </w:p>
    <w:p>
      <w:pPr>
        <w:pStyle w:val="ListBullet"/>
      </w:pPr>
      <w:r>
        <w:t>Wave planning, cutover and rollback requires policy, telemetry and recovery evidence.</w:t>
      </w:r>
    </w:p>
    <w:p>
      <w:pPr>
        <w:pStyle w:val="ListBullet"/>
      </w:pPr>
      <w:r>
        <w:t>Factory metrics and organizational change should be tested before production and after material change.</w:t>
      </w:r>
    </w:p>
    <w:p>
      <w:r>
        <w:br w:type="page"/>
      </w:r>
    </w:p>
    <w:p>
      <w:pPr>
        <w:jc w:val="center"/>
      </w:pPr>
      <w:r>
        <w:rPr>
          <w:b/>
          <w:color w:val="14919B"/>
          <w:sz w:val="17"/>
        </w:rPr>
        <w:t>VOLUME 12E  |  CHAPTER 49</w:t>
      </w:r>
    </w:p>
    <w:p>
      <w:pPr>
        <w:pStyle w:val="Heading1"/>
        <w:jc w:val="center"/>
      </w:pPr>
      <w:r>
        <w:t>Chapter 49: Database Migration and Modernization</w:t>
      </w:r>
    </w:p>
    <w:p>
      <w:pPr>
        <w:jc w:val="center"/>
      </w:pPr>
      <w:r>
        <w:rPr>
          <w:i/>
          <w:color w:val="4B5563"/>
          <w:sz w:val="20"/>
        </w:rPr>
        <w:t>Moving state with controlled downtime, consistency and rollback</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Database migrations fail when teams focus on copying bytes and ignore application compatibility, change capture, validation, performance and rollback.</w:t>
            </w:r>
          </w:p>
        </w:tc>
      </w:tr>
    </w:tbl>
    <w:p>
      <w:pPr>
        <w:spacing w:after="0"/>
      </w:pPr>
    </w:p>
    <w:p>
      <w:pPr>
        <w:pStyle w:val="Heading2"/>
        <w:keepNext/>
      </w:pPr>
      <w:r>
        <w:t>Learning Objectives</w:t>
      </w:r>
    </w:p>
    <w:p>
      <w:pPr>
        <w:pStyle w:val="ListBullet"/>
      </w:pPr>
      <w:r>
        <w:t>Explain the architecture, responsibility boundaries and major trade-offs of assessment, compatibility and target selection.</w:t>
      </w:r>
    </w:p>
    <w:p>
      <w:pPr>
        <w:pStyle w:val="ListBullet"/>
      </w:pPr>
      <w:r>
        <w:t>Design schema conversion and change data capture for enterprise scale, least privilege and bounded failure.</w:t>
      </w:r>
    </w:p>
    <w:p>
      <w:pPr>
        <w:pStyle w:val="ListBullet"/>
      </w:pPr>
      <w:r>
        <w:t>Implement cutover, reconciliation and rollback through version-controlled automation and policy checks.</w:t>
      </w:r>
    </w:p>
    <w:p>
      <w:pPr>
        <w:pStyle w:val="ListBullet"/>
      </w:pPr>
      <w:r>
        <w:t>Troubleshoot modernization to managed relational or distributed services using provider-native telemetry and repeatable evidence.</w:t>
      </w:r>
    </w:p>
    <w:p>
      <w:pPr>
        <w:pStyle w:val="ListBullet"/>
      </w:pPr>
      <w:r>
        <w:t>Deliver a sanitized portfolio artifact for execute a database migration rehearsal with cdc.</w:t>
      </w:r>
    </w:p>
    <w:p>
      <w:pPr>
        <w:pStyle w:val="Heading2"/>
        <w:keepNext/>
      </w:pPr>
      <w:r>
        <w:t>Core Concepts</w:t>
      </w:r>
    </w:p>
    <w:p>
      <w:pPr>
        <w:pStyle w:val="Heading3"/>
        <w:keepNext/>
      </w:pPr>
      <w:r>
        <w:t>Assessment, compatibility and target selection</w:t>
      </w:r>
    </w:p>
    <w:p>
      <w:pPr>
        <w:keepNext w:val="0"/>
      </w:pPr>
      <w:r>
        <w:t>Assessment, compatibility and target selection is a design boundary, not merely a console feature. In Database Migration and Modernization, the team must document ownership, trust assumptions, dependency direction, failure impact and the evidence used to prove the control. The recommended implementation uses AWS DMS / Schema Conversion Tool, Azure Database Migration Service, Database Migration Service, Native or managed change capture only where they satisfy an explicit requirement; equivalent services are not automatically interchangeable.</w:t>
      </w:r>
    </w:p>
    <w:p>
      <w:pPr>
        <w:pStyle w:val="Heading3"/>
        <w:keepNext/>
      </w:pPr>
      <w:r>
        <w:t>Schema conversion and change data capture</w:t>
      </w:r>
    </w:p>
    <w:p>
      <w:pPr>
        <w:keepNext w:val="0"/>
      </w:pPr>
      <w:r>
        <w:t>A production implementation of Schema conversion and change data capture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Cutover, reconciliation and rollback</w:t>
      </w:r>
    </w:p>
    <w:p>
      <w:pPr>
        <w:keepNext w:val="0"/>
      </w:pPr>
      <w:r>
        <w:t>For Cutover, reconciliation and rollback,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Modernization to managed relational or distributed services</w:t>
      </w:r>
    </w:p>
    <w:p>
      <w:pPr>
        <w:keepNext w:val="0"/>
      </w:pPr>
      <w:r>
        <w:t>The strongest validation for Modernization to managed relational or distributed services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AWS</w:t>
            </w:r>
          </w:p>
        </w:tc>
        <w:tc>
          <w:tcPr>
            <w:tcW w:type="dxa" w:w="2952"/>
            <w:tcMar>
              <w:top w:w="65" w:type="dxa"/>
              <w:start w:w="85" w:type="dxa"/>
              <w:bottom w:w="65" w:type="dxa"/>
              <w:end w:w="85" w:type="dxa"/>
            </w:tcMar>
            <w:vAlign w:val="top"/>
          </w:tcPr>
          <w:p>
            <w:r>
              <w:rPr>
                <w:sz w:val="14"/>
              </w:rPr>
              <w:t>AWS DMS / Schema Conversion Tool</w:t>
            </w:r>
          </w:p>
        </w:tc>
        <w:tc>
          <w:tcPr>
            <w:tcW w:type="dxa" w:w="4824"/>
            <w:tcMar>
              <w:top w:w="65" w:type="dxa"/>
              <w:start w:w="85" w:type="dxa"/>
              <w:bottom w:w="65" w:type="dxa"/>
              <w:end w:w="85" w:type="dxa"/>
            </w:tcMar>
            <w:vAlign w:val="top"/>
          </w:tcPr>
          <w:p>
            <w:r>
              <w:rPr>
                <w:sz w:val="14"/>
              </w:rPr>
              <w:t>Migrate and transform supported databases.</w:t>
            </w:r>
          </w:p>
        </w:tc>
      </w:tr>
      <w:tr>
        <w:trPr>
          <w:cantSplit/>
        </w:trPr>
        <w:tc>
          <w:tcPr>
            <w:tcW w:type="dxa" w:w="2232"/>
            <w:tcMar>
              <w:top w:w="65" w:type="dxa"/>
              <w:start w:w="85" w:type="dxa"/>
              <w:bottom w:w="65" w:type="dxa"/>
              <w:end w:w="85" w:type="dxa"/>
            </w:tcMar>
            <w:vAlign w:val="top"/>
          </w:tcPr>
          <w:p>
            <w:r>
              <w:rPr>
                <w:sz w:val="14"/>
              </w:rPr>
              <w:t>Azure</w:t>
            </w:r>
          </w:p>
        </w:tc>
        <w:tc>
          <w:tcPr>
            <w:tcW w:type="dxa" w:w="2952"/>
            <w:tcMar>
              <w:top w:w="65" w:type="dxa"/>
              <w:start w:w="85" w:type="dxa"/>
              <w:bottom w:w="65" w:type="dxa"/>
              <w:end w:w="85" w:type="dxa"/>
            </w:tcMar>
            <w:vAlign w:val="top"/>
          </w:tcPr>
          <w:p>
            <w:r>
              <w:rPr>
                <w:sz w:val="14"/>
              </w:rPr>
              <w:t>Azure Database Migration Service</w:t>
            </w:r>
          </w:p>
        </w:tc>
        <w:tc>
          <w:tcPr>
            <w:tcW w:type="dxa" w:w="4824"/>
            <w:tcMar>
              <w:top w:w="65" w:type="dxa"/>
              <w:start w:w="85" w:type="dxa"/>
              <w:bottom w:w="65" w:type="dxa"/>
              <w:end w:w="85" w:type="dxa"/>
            </w:tcMar>
            <w:vAlign w:val="top"/>
          </w:tcPr>
          <w:p>
            <w:r>
              <w:rPr>
                <w:sz w:val="14"/>
              </w:rPr>
              <w:t>Assess and migrate databases to Azure targets.</w:t>
            </w:r>
          </w:p>
        </w:tc>
      </w:tr>
      <w:tr>
        <w:trPr>
          <w:cantSplit/>
        </w:trPr>
        <w:tc>
          <w:tcPr>
            <w:tcW w:type="dxa" w:w="2232"/>
            <w:tcMar>
              <w:top w:w="65" w:type="dxa"/>
              <w:start w:w="85" w:type="dxa"/>
              <w:bottom w:w="65" w:type="dxa"/>
              <w:end w:w="85" w:type="dxa"/>
            </w:tcMar>
            <w:vAlign w:val="top"/>
          </w:tcPr>
          <w:p>
            <w:r>
              <w:rPr>
                <w:sz w:val="14"/>
              </w:rPr>
              <w:t>Google Cloud</w:t>
            </w:r>
          </w:p>
        </w:tc>
        <w:tc>
          <w:tcPr>
            <w:tcW w:type="dxa" w:w="2952"/>
            <w:tcMar>
              <w:top w:w="65" w:type="dxa"/>
              <w:start w:w="85" w:type="dxa"/>
              <w:bottom w:w="65" w:type="dxa"/>
              <w:end w:w="85" w:type="dxa"/>
            </w:tcMar>
            <w:vAlign w:val="top"/>
          </w:tcPr>
          <w:p>
            <w:r>
              <w:rPr>
                <w:sz w:val="14"/>
              </w:rPr>
              <w:t>Database Migration Service</w:t>
            </w:r>
          </w:p>
        </w:tc>
        <w:tc>
          <w:tcPr>
            <w:tcW w:type="dxa" w:w="4824"/>
            <w:tcMar>
              <w:top w:w="65" w:type="dxa"/>
              <w:start w:w="85" w:type="dxa"/>
              <w:bottom w:w="65" w:type="dxa"/>
              <w:end w:w="85" w:type="dxa"/>
            </w:tcMar>
            <w:vAlign w:val="top"/>
          </w:tcPr>
          <w:p>
            <w:r>
              <w:rPr>
                <w:sz w:val="14"/>
              </w:rPr>
              <w:t>Migrate supported databases to Google Cloud.</w:t>
            </w:r>
          </w:p>
        </w:tc>
      </w:tr>
      <w:tr>
        <w:trPr>
          <w:cantSplit/>
        </w:trPr>
        <w:tc>
          <w:tcPr>
            <w:tcW w:type="dxa" w:w="2232"/>
            <w:tcMar>
              <w:top w:w="65" w:type="dxa"/>
              <w:start w:w="85" w:type="dxa"/>
              <w:bottom w:w="65" w:type="dxa"/>
              <w:end w:w="85" w:type="dxa"/>
            </w:tcMar>
            <w:vAlign w:val="top"/>
          </w:tcPr>
          <w:p>
            <w:r>
              <w:rPr>
                <w:sz w:val="14"/>
              </w:rPr>
              <w:t>CDC</w:t>
            </w:r>
          </w:p>
        </w:tc>
        <w:tc>
          <w:tcPr>
            <w:tcW w:type="dxa" w:w="2952"/>
            <w:tcMar>
              <w:top w:w="65" w:type="dxa"/>
              <w:start w:w="85" w:type="dxa"/>
              <w:bottom w:w="65" w:type="dxa"/>
              <w:end w:w="85" w:type="dxa"/>
            </w:tcMar>
            <w:vAlign w:val="top"/>
          </w:tcPr>
          <w:p>
            <w:r>
              <w:rPr>
                <w:sz w:val="14"/>
              </w:rPr>
              <w:t>Native or managed change capture</w:t>
            </w:r>
          </w:p>
        </w:tc>
        <w:tc>
          <w:tcPr>
            <w:tcW w:type="dxa" w:w="4824"/>
            <w:tcMar>
              <w:top w:w="65" w:type="dxa"/>
              <w:start w:w="85" w:type="dxa"/>
              <w:bottom w:w="65" w:type="dxa"/>
              <w:end w:w="85" w:type="dxa"/>
            </w:tcMar>
            <w:vAlign w:val="top"/>
          </w:tcPr>
          <w:p>
            <w:r>
              <w:rPr>
                <w:sz w:val="14"/>
              </w:rPr>
              <w:t>Keep target synchronized before cutover.</w:t>
            </w:r>
          </w:p>
        </w:tc>
      </w:tr>
      <w:tr>
        <w:trPr>
          <w:cantSplit/>
        </w:trPr>
        <w:tc>
          <w:tcPr>
            <w:tcW w:type="dxa" w:w="2232"/>
            <w:tcMar>
              <w:top w:w="65" w:type="dxa"/>
              <w:start w:w="85" w:type="dxa"/>
              <w:bottom w:w="65" w:type="dxa"/>
              <w:end w:w="85" w:type="dxa"/>
            </w:tcMar>
            <w:vAlign w:val="top"/>
          </w:tcPr>
          <w:p>
            <w:r>
              <w:rPr>
                <w:sz w:val="14"/>
              </w:rPr>
              <w:t>Validation</w:t>
            </w:r>
          </w:p>
        </w:tc>
        <w:tc>
          <w:tcPr>
            <w:tcW w:type="dxa" w:w="2952"/>
            <w:tcMar>
              <w:top w:w="65" w:type="dxa"/>
              <w:start w:w="85" w:type="dxa"/>
              <w:bottom w:w="65" w:type="dxa"/>
              <w:end w:w="85" w:type="dxa"/>
            </w:tcMar>
            <w:vAlign w:val="top"/>
          </w:tcPr>
          <w:p>
            <w:r>
              <w:rPr>
                <w:sz w:val="14"/>
              </w:rPr>
              <w:t>Row counts, checksums and business reconciliation</w:t>
            </w:r>
          </w:p>
        </w:tc>
        <w:tc>
          <w:tcPr>
            <w:tcW w:type="dxa" w:w="4824"/>
            <w:tcMar>
              <w:top w:w="65" w:type="dxa"/>
              <w:start w:w="85" w:type="dxa"/>
              <w:bottom w:w="65" w:type="dxa"/>
              <w:end w:w="85" w:type="dxa"/>
            </w:tcMar>
            <w:vAlign w:val="top"/>
          </w:tcPr>
          <w:p>
            <w:r>
              <w:rPr>
                <w:sz w:val="14"/>
              </w:rPr>
              <w:t>Prove correctness beyond connection success.</w:t>
            </w:r>
          </w:p>
        </w:tc>
      </w:tr>
      <w:tr>
        <w:trPr>
          <w:cantSplit/>
        </w:trPr>
        <w:tc>
          <w:tcPr>
            <w:tcW w:type="dxa" w:w="2232"/>
            <w:tcMar>
              <w:top w:w="65" w:type="dxa"/>
              <w:start w:w="85" w:type="dxa"/>
              <w:bottom w:w="65" w:type="dxa"/>
              <w:end w:w="85" w:type="dxa"/>
            </w:tcMar>
            <w:vAlign w:val="top"/>
          </w:tcPr>
          <w:p>
            <w:r>
              <w:rPr>
                <w:sz w:val="14"/>
              </w:rPr>
              <w:t>Performance</w:t>
            </w:r>
          </w:p>
        </w:tc>
        <w:tc>
          <w:tcPr>
            <w:tcW w:type="dxa" w:w="2952"/>
            <w:tcMar>
              <w:top w:w="65" w:type="dxa"/>
              <w:start w:w="85" w:type="dxa"/>
              <w:bottom w:w="65" w:type="dxa"/>
              <w:end w:w="85" w:type="dxa"/>
            </w:tcMar>
            <w:vAlign w:val="top"/>
          </w:tcPr>
          <w:p>
            <w:r>
              <w:rPr>
                <w:sz w:val="14"/>
              </w:rPr>
              <w:t>Representative load tests</w:t>
            </w:r>
          </w:p>
        </w:tc>
        <w:tc>
          <w:tcPr>
            <w:tcW w:type="dxa" w:w="4824"/>
            <w:tcMar>
              <w:top w:w="65" w:type="dxa"/>
              <w:start w:w="85" w:type="dxa"/>
              <w:bottom w:w="65" w:type="dxa"/>
              <w:end w:w="85" w:type="dxa"/>
            </w:tcMar>
            <w:vAlign w:val="top"/>
          </w:tcPr>
          <w:p>
            <w:r>
              <w:rPr>
                <w:sz w:val="14"/>
              </w:rPr>
              <w:t>Validate query plans, latency and capacity.</w:t>
            </w:r>
          </w:p>
        </w:tc>
      </w:tr>
    </w:tbl>
    <w:p>
      <w:pPr>
        <w:pStyle w:val="Heading2"/>
        <w:keepNext/>
      </w:pPr>
      <w:r>
        <w:t>Architecture and Operating Decisions</w:t>
      </w:r>
    </w:p>
    <w:p>
      <w:pPr>
        <w:pStyle w:val="ListBullet"/>
      </w:pPr>
      <w:r>
        <w:t>Use Multi-Cloud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cutover, reconciliation and rollback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database_cutover:</w:t>
              <w:br/>
              <w:t xml:space="preserve">  freeze_schema_changes: true</w:t>
              <w:br/>
              <w:t xml:space="preserve">  full_load: complete</w:t>
              <w:br/>
              <w:t xml:space="preserve">  cdc_lag_threshold_seconds: 10</w:t>
              <w:br/>
              <w:t xml:space="preserve">  validation: [row_counts, checksums, financial_reconciliation]</w:t>
              <w:br/>
              <w:t xml:space="preserve">  application_compatibility: tested</w:t>
              <w:br/>
              <w:t xml:space="preserve">  rollback_window: retained_source_and_reverse_plan</w:t>
              <w:br/>
              <w:t xml:space="preserve">  success: p95_latency_and_error_rate_within_slo</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database migration and modernization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49: Execute a Database Migration Rehearsal with CDC</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database migration and modernization using fictional enterprise requirements.</w:t>
      </w:r>
    </w:p>
    <w:p>
      <w:pPr>
        <w:ind w:left="360" w:hanging="360"/>
      </w:pPr>
      <w:r>
        <w:rPr>
          <w:b/>
        </w:rPr>
        <w:t xml:space="preserve">2. </w:t>
      </w:r>
      <w:r>
        <w:t>Implement the smallest safe sandbox using AWS DMS / Schema Conversion Tool, Azure Database Migration Service, Database Migration Service;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Database Migration and Modernization?</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Multi-Cloud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Assessment, compatibility and target selection defines a key architecture boundary.</w:t>
      </w:r>
    </w:p>
    <w:p>
      <w:pPr>
        <w:pStyle w:val="ListBullet"/>
      </w:pPr>
      <w:r>
        <w:t>Schema conversion and change data capture must be automated and least-privileged.</w:t>
      </w:r>
    </w:p>
    <w:p>
      <w:pPr>
        <w:pStyle w:val="ListBullet"/>
      </w:pPr>
      <w:r>
        <w:t>Cutover, reconciliation and rollback requires policy, telemetry and recovery evidence.</w:t>
      </w:r>
    </w:p>
    <w:p>
      <w:pPr>
        <w:pStyle w:val="ListBullet"/>
      </w:pPr>
      <w:r>
        <w:t>Modernization to managed relational or distributed services should be tested before production and after material change.</w:t>
      </w:r>
    </w:p>
    <w:p>
      <w:r>
        <w:br w:type="page"/>
      </w:r>
    </w:p>
    <w:p>
      <w:pPr>
        <w:jc w:val="center"/>
      </w:pPr>
      <w:r>
        <w:rPr>
          <w:b/>
          <w:color w:val="14919B"/>
          <w:sz w:val="17"/>
        </w:rPr>
        <w:t>VOLUME 12E  |  CHAPTER 50</w:t>
      </w:r>
    </w:p>
    <w:p>
      <w:pPr>
        <w:pStyle w:val="Heading1"/>
        <w:jc w:val="center"/>
      </w:pPr>
      <w:r>
        <w:t>Chapter 50: Multi-Cloud Resilience and Disaster Recovery</w:t>
      </w:r>
    </w:p>
    <w:p>
      <w:pPr>
        <w:jc w:val="center"/>
      </w:pPr>
      <w:r>
        <w:rPr>
          <w:i/>
          <w:color w:val="4B5563"/>
          <w:sz w:val="20"/>
        </w:rPr>
        <w:t>Designing recoverability across providers without assuming portability</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Using two clouds does not create disaster recovery. Recovery requires compatible identity, network, data, artifacts, dependencies, automation, capacity and tested runbooks.</w:t>
            </w:r>
          </w:p>
        </w:tc>
      </w:tr>
    </w:tbl>
    <w:p>
      <w:pPr>
        <w:spacing w:after="0"/>
      </w:pPr>
    </w:p>
    <w:p>
      <w:pPr>
        <w:pStyle w:val="Heading2"/>
        <w:keepNext/>
      </w:pPr>
      <w:r>
        <w:t>Learning Objectives</w:t>
      </w:r>
    </w:p>
    <w:p>
      <w:pPr>
        <w:pStyle w:val="ListBullet"/>
      </w:pPr>
      <w:r>
        <w:t>Explain the architecture, responsibility boundaries and major trade-offs of business impact analysis and recovery tiers.</w:t>
      </w:r>
    </w:p>
    <w:p>
      <w:pPr>
        <w:pStyle w:val="ListBullet"/>
      </w:pPr>
      <w:r>
        <w:t>Design cross-provider recovery architecture for enterprise scale, least privilege and bounded failure.</w:t>
      </w:r>
    </w:p>
    <w:p>
      <w:pPr>
        <w:pStyle w:val="ListBullet"/>
      </w:pPr>
      <w:r>
        <w:t>Implement data, identity and dependency recovery through version-controlled automation and policy checks.</w:t>
      </w:r>
    </w:p>
    <w:p>
      <w:pPr>
        <w:pStyle w:val="ListBullet"/>
      </w:pPr>
      <w:r>
        <w:t>Troubleshoot exercises, failback and evidence using provider-native telemetry and repeatable evidence.</w:t>
      </w:r>
    </w:p>
    <w:p>
      <w:pPr>
        <w:pStyle w:val="ListBullet"/>
      </w:pPr>
      <w:r>
        <w:t>Deliver a sanitized portfolio artifact for run a cross-provider recovery tabletop and technical drill.</w:t>
      </w:r>
    </w:p>
    <w:p>
      <w:pPr>
        <w:pStyle w:val="Heading2"/>
        <w:keepNext/>
      </w:pPr>
      <w:r>
        <w:t>Core Concepts</w:t>
      </w:r>
    </w:p>
    <w:p>
      <w:pPr>
        <w:pStyle w:val="Heading3"/>
        <w:keepNext/>
      </w:pPr>
      <w:r>
        <w:t>Business impact analysis and recovery tiers</w:t>
      </w:r>
    </w:p>
    <w:p>
      <w:pPr>
        <w:keepNext w:val="0"/>
      </w:pPr>
      <w:r>
        <w:t>Business impact analysis and recovery tiers is a design boundary, not merely a console feature. In Multi-Cloud Resilience and Disaster Recovery, the team must document ownership, trust assumptions, dependency direction, failure impact and the evidence used to prove the control. The recommended implementation uses Secondary provider or on-premises environment, Portable images and signed packages, Replicated or restorable copies, Independent emergency access only where they satisfy an explicit requirement; equivalent services are not automatically interchangeable.</w:t>
      </w:r>
    </w:p>
    <w:p>
      <w:pPr>
        <w:pStyle w:val="Heading3"/>
        <w:keepNext/>
      </w:pPr>
      <w:r>
        <w:t>Cross-provider recovery architecture</w:t>
      </w:r>
    </w:p>
    <w:p>
      <w:pPr>
        <w:keepNext w:val="0"/>
      </w:pPr>
      <w:r>
        <w:t>A production implementation of Cross-provider recovery architecture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Data, identity and dependency recovery</w:t>
      </w:r>
    </w:p>
    <w:p>
      <w:pPr>
        <w:keepNext w:val="0"/>
      </w:pPr>
      <w:r>
        <w:t>For Data, identity and dependency recovery,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Exercises, failback and evidence</w:t>
      </w:r>
    </w:p>
    <w:p>
      <w:pPr>
        <w:keepNext w:val="0"/>
      </w:pPr>
      <w:r>
        <w:t>The strongest validation for Exercises, failback and evidence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Recovery target</w:t>
            </w:r>
          </w:p>
        </w:tc>
        <w:tc>
          <w:tcPr>
            <w:tcW w:type="dxa" w:w="2952"/>
            <w:tcMar>
              <w:top w:w="65" w:type="dxa"/>
              <w:start w:w="85" w:type="dxa"/>
              <w:bottom w:w="65" w:type="dxa"/>
              <w:end w:w="85" w:type="dxa"/>
            </w:tcMar>
            <w:vAlign w:val="top"/>
          </w:tcPr>
          <w:p>
            <w:r>
              <w:rPr>
                <w:sz w:val="14"/>
              </w:rPr>
              <w:t>Secondary provider or on-premises environment</w:t>
            </w:r>
          </w:p>
        </w:tc>
        <w:tc>
          <w:tcPr>
            <w:tcW w:type="dxa" w:w="4824"/>
            <w:tcMar>
              <w:top w:w="65" w:type="dxa"/>
              <w:start w:w="85" w:type="dxa"/>
              <w:bottom w:w="65" w:type="dxa"/>
              <w:end w:w="85" w:type="dxa"/>
            </w:tcMar>
            <w:vAlign w:val="top"/>
          </w:tcPr>
          <w:p>
            <w:r>
              <w:rPr>
                <w:sz w:val="14"/>
              </w:rPr>
              <w:t>Host an approved recovery pattern.</w:t>
            </w:r>
          </w:p>
        </w:tc>
      </w:tr>
      <w:tr>
        <w:trPr>
          <w:cantSplit/>
        </w:trPr>
        <w:tc>
          <w:tcPr>
            <w:tcW w:type="dxa" w:w="2232"/>
            <w:tcMar>
              <w:top w:w="65" w:type="dxa"/>
              <w:start w:w="85" w:type="dxa"/>
              <w:bottom w:w="65" w:type="dxa"/>
              <w:end w:w="85" w:type="dxa"/>
            </w:tcMar>
            <w:vAlign w:val="top"/>
          </w:tcPr>
          <w:p>
            <w:r>
              <w:rPr>
                <w:sz w:val="14"/>
              </w:rPr>
              <w:t>Artifacts</w:t>
            </w:r>
          </w:p>
        </w:tc>
        <w:tc>
          <w:tcPr>
            <w:tcW w:type="dxa" w:w="2952"/>
            <w:tcMar>
              <w:top w:w="65" w:type="dxa"/>
              <w:start w:w="85" w:type="dxa"/>
              <w:bottom w:w="65" w:type="dxa"/>
              <w:end w:w="85" w:type="dxa"/>
            </w:tcMar>
            <w:vAlign w:val="top"/>
          </w:tcPr>
          <w:p>
            <w:r>
              <w:rPr>
                <w:sz w:val="14"/>
              </w:rPr>
              <w:t>Portable images and signed packages</w:t>
            </w:r>
          </w:p>
        </w:tc>
        <w:tc>
          <w:tcPr>
            <w:tcW w:type="dxa" w:w="4824"/>
            <w:tcMar>
              <w:top w:w="65" w:type="dxa"/>
              <w:start w:w="85" w:type="dxa"/>
              <w:bottom w:w="65" w:type="dxa"/>
              <w:end w:w="85" w:type="dxa"/>
            </w:tcMar>
            <w:vAlign w:val="top"/>
          </w:tcPr>
          <w:p>
            <w:r>
              <w:rPr>
                <w:sz w:val="14"/>
              </w:rPr>
              <w:t>Recreate application runtime.</w:t>
            </w:r>
          </w:p>
        </w:tc>
      </w:tr>
      <w:tr>
        <w:trPr>
          <w:cantSplit/>
        </w:trPr>
        <w:tc>
          <w:tcPr>
            <w:tcW w:type="dxa" w:w="2232"/>
            <w:tcMar>
              <w:top w:w="65" w:type="dxa"/>
              <w:start w:w="85" w:type="dxa"/>
              <w:bottom w:w="65" w:type="dxa"/>
              <w:end w:w="85" w:type="dxa"/>
            </w:tcMar>
            <w:vAlign w:val="top"/>
          </w:tcPr>
          <w:p>
            <w:r>
              <w:rPr>
                <w:sz w:val="14"/>
              </w:rPr>
              <w:t>Data</w:t>
            </w:r>
          </w:p>
        </w:tc>
        <w:tc>
          <w:tcPr>
            <w:tcW w:type="dxa" w:w="2952"/>
            <w:tcMar>
              <w:top w:w="65" w:type="dxa"/>
              <w:start w:w="85" w:type="dxa"/>
              <w:bottom w:w="65" w:type="dxa"/>
              <w:end w:w="85" w:type="dxa"/>
            </w:tcMar>
            <w:vAlign w:val="top"/>
          </w:tcPr>
          <w:p>
            <w:r>
              <w:rPr>
                <w:sz w:val="14"/>
              </w:rPr>
              <w:t>Replicated or restorable copies</w:t>
            </w:r>
          </w:p>
        </w:tc>
        <w:tc>
          <w:tcPr>
            <w:tcW w:type="dxa" w:w="4824"/>
            <w:tcMar>
              <w:top w:w="65" w:type="dxa"/>
              <w:start w:w="85" w:type="dxa"/>
              <w:bottom w:w="65" w:type="dxa"/>
              <w:end w:w="85" w:type="dxa"/>
            </w:tcMar>
            <w:vAlign w:val="top"/>
          </w:tcPr>
          <w:p>
            <w:r>
              <w:rPr>
                <w:sz w:val="14"/>
              </w:rPr>
              <w:t>Meet measured RPO.</w:t>
            </w:r>
          </w:p>
        </w:tc>
      </w:tr>
      <w:tr>
        <w:trPr>
          <w:cantSplit/>
        </w:trPr>
        <w:tc>
          <w:tcPr>
            <w:tcW w:type="dxa" w:w="2232"/>
            <w:tcMar>
              <w:top w:w="65" w:type="dxa"/>
              <w:start w:w="85" w:type="dxa"/>
              <w:bottom w:w="65" w:type="dxa"/>
              <w:end w:w="85" w:type="dxa"/>
            </w:tcMar>
            <w:vAlign w:val="top"/>
          </w:tcPr>
          <w:p>
            <w:r>
              <w:rPr>
                <w:sz w:val="14"/>
              </w:rPr>
              <w:t>Identity</w:t>
            </w:r>
          </w:p>
        </w:tc>
        <w:tc>
          <w:tcPr>
            <w:tcW w:type="dxa" w:w="2952"/>
            <w:tcMar>
              <w:top w:w="65" w:type="dxa"/>
              <w:start w:w="85" w:type="dxa"/>
              <w:bottom w:w="65" w:type="dxa"/>
              <w:end w:w="85" w:type="dxa"/>
            </w:tcMar>
            <w:vAlign w:val="top"/>
          </w:tcPr>
          <w:p>
            <w:r>
              <w:rPr>
                <w:sz w:val="14"/>
              </w:rPr>
              <w:t>Independent emergency access</w:t>
            </w:r>
          </w:p>
        </w:tc>
        <w:tc>
          <w:tcPr>
            <w:tcW w:type="dxa" w:w="4824"/>
            <w:tcMar>
              <w:top w:w="65" w:type="dxa"/>
              <w:start w:w="85" w:type="dxa"/>
              <w:bottom w:w="65" w:type="dxa"/>
              <w:end w:w="85" w:type="dxa"/>
            </w:tcMar>
            <w:vAlign w:val="top"/>
          </w:tcPr>
          <w:p>
            <w:r>
              <w:rPr>
                <w:sz w:val="14"/>
              </w:rPr>
              <w:t>Operate when primary identity dependencies fail.</w:t>
            </w:r>
          </w:p>
        </w:tc>
      </w:tr>
      <w:tr>
        <w:trPr>
          <w:cantSplit/>
        </w:trPr>
        <w:tc>
          <w:tcPr>
            <w:tcW w:type="dxa" w:w="2232"/>
            <w:tcMar>
              <w:top w:w="65" w:type="dxa"/>
              <w:start w:w="85" w:type="dxa"/>
              <w:bottom w:w="65" w:type="dxa"/>
              <w:end w:w="85" w:type="dxa"/>
            </w:tcMar>
            <w:vAlign w:val="top"/>
          </w:tcPr>
          <w:p>
            <w:r>
              <w:rPr>
                <w:sz w:val="14"/>
              </w:rPr>
              <w:t>Connectivity</w:t>
            </w:r>
          </w:p>
        </w:tc>
        <w:tc>
          <w:tcPr>
            <w:tcW w:type="dxa" w:w="2952"/>
            <w:tcMar>
              <w:top w:w="65" w:type="dxa"/>
              <w:start w:w="85" w:type="dxa"/>
              <w:bottom w:w="65" w:type="dxa"/>
              <w:end w:w="85" w:type="dxa"/>
            </w:tcMar>
            <w:vAlign w:val="top"/>
          </w:tcPr>
          <w:p>
            <w:r>
              <w:rPr>
                <w:sz w:val="14"/>
              </w:rPr>
              <w:t>Preplanned DNS and network changes</w:t>
            </w:r>
          </w:p>
        </w:tc>
        <w:tc>
          <w:tcPr>
            <w:tcW w:type="dxa" w:w="4824"/>
            <w:tcMar>
              <w:top w:w="65" w:type="dxa"/>
              <w:start w:w="85" w:type="dxa"/>
              <w:bottom w:w="65" w:type="dxa"/>
              <w:end w:w="85" w:type="dxa"/>
            </w:tcMar>
            <w:vAlign w:val="top"/>
          </w:tcPr>
          <w:p>
            <w:r>
              <w:rPr>
                <w:sz w:val="14"/>
              </w:rPr>
              <w:t>Reach recovery environment safely.</w:t>
            </w:r>
          </w:p>
        </w:tc>
      </w:tr>
      <w:tr>
        <w:trPr>
          <w:cantSplit/>
        </w:trPr>
        <w:tc>
          <w:tcPr>
            <w:tcW w:type="dxa" w:w="2232"/>
            <w:tcMar>
              <w:top w:w="65" w:type="dxa"/>
              <w:start w:w="85" w:type="dxa"/>
              <w:bottom w:w="65" w:type="dxa"/>
              <w:end w:w="85" w:type="dxa"/>
            </w:tcMar>
            <w:vAlign w:val="top"/>
          </w:tcPr>
          <w:p>
            <w:r>
              <w:rPr>
                <w:sz w:val="14"/>
              </w:rPr>
              <w:t>Exercises</w:t>
            </w:r>
          </w:p>
        </w:tc>
        <w:tc>
          <w:tcPr>
            <w:tcW w:type="dxa" w:w="2952"/>
            <w:tcMar>
              <w:top w:w="65" w:type="dxa"/>
              <w:start w:w="85" w:type="dxa"/>
              <w:bottom w:w="65" w:type="dxa"/>
              <w:end w:w="85" w:type="dxa"/>
            </w:tcMar>
            <w:vAlign w:val="top"/>
          </w:tcPr>
          <w:p>
            <w:r>
              <w:rPr>
                <w:sz w:val="14"/>
              </w:rPr>
              <w:t>Tabletop, component and full failover tests</w:t>
            </w:r>
          </w:p>
        </w:tc>
        <w:tc>
          <w:tcPr>
            <w:tcW w:type="dxa" w:w="4824"/>
            <w:tcMar>
              <w:top w:w="65" w:type="dxa"/>
              <w:start w:w="85" w:type="dxa"/>
              <w:bottom w:w="65" w:type="dxa"/>
              <w:end w:w="85" w:type="dxa"/>
            </w:tcMar>
            <w:vAlign w:val="top"/>
          </w:tcPr>
          <w:p>
            <w:r>
              <w:rPr>
                <w:sz w:val="14"/>
              </w:rPr>
              <w:t>Prove RTO, integrity and failback.</w:t>
            </w:r>
          </w:p>
        </w:tc>
      </w:tr>
    </w:tbl>
    <w:p>
      <w:pPr>
        <w:pStyle w:val="Heading2"/>
        <w:keepNext/>
      </w:pPr>
      <w:r>
        <w:t>Architecture and Operating Decisions</w:t>
      </w:r>
    </w:p>
    <w:p>
      <w:pPr>
        <w:pStyle w:val="ListBullet"/>
      </w:pPr>
      <w:r>
        <w:t>Use Multi-Cloud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data, identity and dependency recovery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dr_tier:</w:t>
              <w:br/>
              <w:t xml:space="preserve">  business_service: customer_orders</w:t>
              <w:br/>
              <w:t xml:space="preserve">  primary: cloud_a</w:t>
              <w:br/>
              <w:t xml:space="preserve">  recovery: cloud_b_warm</w:t>
              <w:br/>
              <w:t xml:space="preserve">  rto_minutes: 60</w:t>
              <w:br/>
              <w:t xml:space="preserve">  rpo_minutes: 15</w:t>
              <w:br/>
              <w:t xml:space="preserve">  dependencies: [identity, dns, secrets, database, messaging]</w:t>
              <w:br/>
              <w:t xml:space="preserve">  capacity_reserved: minimum_critical_load</w:t>
              <w:br/>
              <w:t xml:space="preserve">  exercise: semiannual</w:t>
              <w:br/>
              <w:t xml:space="preserve">  failback: explicit_and_tested</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multi-cloud resilience and disaster recovery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50: Run a Cross-Provider Recovery Tabletop and Technical Drill</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multi-cloud resilience and disaster recovery using fictional enterprise requirements.</w:t>
      </w:r>
    </w:p>
    <w:p>
      <w:pPr>
        <w:ind w:left="360" w:hanging="360"/>
      </w:pPr>
      <w:r>
        <w:rPr>
          <w:b/>
        </w:rPr>
        <w:t xml:space="preserve">2. </w:t>
      </w:r>
      <w:r>
        <w:t>Implement the smallest safe sandbox using Secondary provider or on-premises environment, Portable images and signed packages, Replicated or restorable copies;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Multi-Cloud Resilience and Disaster Recovery?</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Multi-Cloud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Business impact analysis and recovery tiers defines a key architecture boundary.</w:t>
      </w:r>
    </w:p>
    <w:p>
      <w:pPr>
        <w:pStyle w:val="ListBullet"/>
      </w:pPr>
      <w:r>
        <w:t>Cross-provider recovery architecture must be automated and least-privileged.</w:t>
      </w:r>
    </w:p>
    <w:p>
      <w:pPr>
        <w:pStyle w:val="ListBullet"/>
      </w:pPr>
      <w:r>
        <w:t>Data, identity and dependency recovery requires policy, telemetry and recovery evidence.</w:t>
      </w:r>
    </w:p>
    <w:p>
      <w:pPr>
        <w:pStyle w:val="ListBullet"/>
      </w:pPr>
      <w:r>
        <w:t>Exercises, failback and evidence should be tested before production and after material change.</w:t>
      </w:r>
    </w:p>
    <w:p>
      <w:r>
        <w:br w:type="page"/>
      </w:r>
    </w:p>
    <w:p>
      <w:pPr>
        <w:jc w:val="center"/>
      </w:pPr>
      <w:r>
        <w:rPr>
          <w:b/>
          <w:color w:val="14919B"/>
          <w:sz w:val="17"/>
        </w:rPr>
        <w:t>VOLUME 12E  |  CHAPTER 51</w:t>
      </w:r>
    </w:p>
    <w:p>
      <w:pPr>
        <w:pStyle w:val="Heading1"/>
        <w:jc w:val="center"/>
      </w:pPr>
      <w:r>
        <w:t>Chapter 51: Cloud Security Posture, CNAPP and SOC Integration</w:t>
      </w:r>
    </w:p>
    <w:p>
      <w:pPr>
        <w:jc w:val="center"/>
      </w:pPr>
      <w:r>
        <w:rPr>
          <w:i/>
          <w:color w:val="4B5563"/>
          <w:sz w:val="20"/>
        </w:rPr>
        <w:t>Normalizing risk without flattening provider context</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Cross-cloud security needs shared severity, ownership and response while preserving provider-native evidence. Tool aggregation is not a substitute for remediation and containment.</w:t>
            </w:r>
          </w:p>
        </w:tc>
      </w:tr>
    </w:tbl>
    <w:p>
      <w:pPr>
        <w:spacing w:after="0"/>
      </w:pPr>
    </w:p>
    <w:p>
      <w:pPr>
        <w:pStyle w:val="Heading2"/>
        <w:keepNext/>
      </w:pPr>
      <w:r>
        <w:t>Learning Objectives</w:t>
      </w:r>
    </w:p>
    <w:p>
      <w:pPr>
        <w:pStyle w:val="ListBullet"/>
      </w:pPr>
      <w:r>
        <w:t>Explain the architecture, responsibility boundaries and major trade-offs of posture and configuration governance.</w:t>
      </w:r>
    </w:p>
    <w:p>
      <w:pPr>
        <w:pStyle w:val="ListBullet"/>
      </w:pPr>
      <w:r>
        <w:t>Design workload, identity and data threat detection for enterprise scale, least privilege and bounded failure.</w:t>
      </w:r>
    </w:p>
    <w:p>
      <w:pPr>
        <w:pStyle w:val="ListBullet"/>
      </w:pPr>
      <w:r>
        <w:t>Implement siem/soar integration and evidence normalization through version-controlled automation and policy checks.</w:t>
      </w:r>
    </w:p>
    <w:p>
      <w:pPr>
        <w:pStyle w:val="ListBullet"/>
      </w:pPr>
      <w:r>
        <w:t>Troubleshoot containment, forensics and recovery using provider-native telemetry and repeatable evidence.</w:t>
      </w:r>
    </w:p>
    <w:p>
      <w:pPr>
        <w:pStyle w:val="ListBullet"/>
      </w:pPr>
      <w:r>
        <w:t>Deliver a sanitized portfolio artifact for build a cross-cloud security finding and response model.</w:t>
      </w:r>
    </w:p>
    <w:p>
      <w:pPr>
        <w:pStyle w:val="Heading2"/>
        <w:keepNext/>
      </w:pPr>
      <w:r>
        <w:t>Core Concepts</w:t>
      </w:r>
    </w:p>
    <w:p>
      <w:pPr>
        <w:pStyle w:val="Heading3"/>
        <w:keepNext/>
      </w:pPr>
      <w:r>
        <w:t>Posture and configuration governance</w:t>
      </w:r>
    </w:p>
    <w:p>
      <w:pPr>
        <w:keepNext w:val="0"/>
      </w:pPr>
      <w:r>
        <w:t>Posture and configuration governance is a design boundary, not merely a console feature. In Cloud Security Posture, CNAPP and SOC Integration, the team must document ownership, trust assumptions, dependency direction, failure impact and the evidence used to prove the control. The recommended implementation uses Security Hub / GuardDuty / Config, Defender for Cloud / Sentinel, Security Command Center, Enterprise platform where approved only where they satisfy an explicit requirement; equivalent services are not automatically interchangeable.</w:t>
      </w:r>
    </w:p>
    <w:p>
      <w:pPr>
        <w:pStyle w:val="Heading3"/>
        <w:keepNext/>
      </w:pPr>
      <w:r>
        <w:t>Workload, identity and data threat detection</w:t>
      </w:r>
    </w:p>
    <w:p>
      <w:pPr>
        <w:keepNext w:val="0"/>
      </w:pPr>
      <w:r>
        <w:t>A production implementation of Workload, identity and data threat detection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SIEM/SOAR integration and evidence normalization</w:t>
      </w:r>
    </w:p>
    <w:p>
      <w:pPr>
        <w:keepNext w:val="0"/>
      </w:pPr>
      <w:r>
        <w:t>For SIEM/SOAR integration and evidence normalization,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Containment, forensics and recovery</w:t>
      </w:r>
    </w:p>
    <w:p>
      <w:pPr>
        <w:keepNext w:val="0"/>
      </w:pPr>
      <w:r>
        <w:t>The strongest validation for Containment, forensics and recovery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AWS</w:t>
            </w:r>
          </w:p>
        </w:tc>
        <w:tc>
          <w:tcPr>
            <w:tcW w:type="dxa" w:w="2952"/>
            <w:tcMar>
              <w:top w:w="65" w:type="dxa"/>
              <w:start w:w="85" w:type="dxa"/>
              <w:bottom w:w="65" w:type="dxa"/>
              <w:end w:w="85" w:type="dxa"/>
            </w:tcMar>
            <w:vAlign w:val="top"/>
          </w:tcPr>
          <w:p>
            <w:r>
              <w:rPr>
                <w:sz w:val="14"/>
              </w:rPr>
              <w:t>Security Hub / GuardDuty / Config</w:t>
            </w:r>
          </w:p>
        </w:tc>
        <w:tc>
          <w:tcPr>
            <w:tcW w:type="dxa" w:w="4824"/>
            <w:tcMar>
              <w:top w:w="65" w:type="dxa"/>
              <w:start w:w="85" w:type="dxa"/>
              <w:bottom w:w="65" w:type="dxa"/>
              <w:end w:w="85" w:type="dxa"/>
            </w:tcMar>
            <w:vAlign w:val="top"/>
          </w:tcPr>
          <w:p>
            <w:r>
              <w:rPr>
                <w:sz w:val="14"/>
              </w:rPr>
              <w:t>Provide AWS findings and posture evidence.</w:t>
            </w:r>
          </w:p>
        </w:tc>
      </w:tr>
      <w:tr>
        <w:trPr>
          <w:cantSplit/>
        </w:trPr>
        <w:tc>
          <w:tcPr>
            <w:tcW w:type="dxa" w:w="2232"/>
            <w:tcMar>
              <w:top w:w="65" w:type="dxa"/>
              <w:start w:w="85" w:type="dxa"/>
              <w:bottom w:w="65" w:type="dxa"/>
              <w:end w:w="85" w:type="dxa"/>
            </w:tcMar>
            <w:vAlign w:val="top"/>
          </w:tcPr>
          <w:p>
            <w:r>
              <w:rPr>
                <w:sz w:val="14"/>
              </w:rPr>
              <w:t>Azure</w:t>
            </w:r>
          </w:p>
        </w:tc>
        <w:tc>
          <w:tcPr>
            <w:tcW w:type="dxa" w:w="2952"/>
            <w:tcMar>
              <w:top w:w="65" w:type="dxa"/>
              <w:start w:w="85" w:type="dxa"/>
              <w:bottom w:w="65" w:type="dxa"/>
              <w:end w:w="85" w:type="dxa"/>
            </w:tcMar>
            <w:vAlign w:val="top"/>
          </w:tcPr>
          <w:p>
            <w:r>
              <w:rPr>
                <w:sz w:val="14"/>
              </w:rPr>
              <w:t>Defender for Cloud / Sentinel</w:t>
            </w:r>
          </w:p>
        </w:tc>
        <w:tc>
          <w:tcPr>
            <w:tcW w:type="dxa" w:w="4824"/>
            <w:tcMar>
              <w:top w:w="65" w:type="dxa"/>
              <w:start w:w="85" w:type="dxa"/>
              <w:bottom w:w="65" w:type="dxa"/>
              <w:end w:w="85" w:type="dxa"/>
            </w:tcMar>
            <w:vAlign w:val="top"/>
          </w:tcPr>
          <w:p>
            <w:r>
              <w:rPr>
                <w:sz w:val="14"/>
              </w:rPr>
              <w:t>Provide Azure posture, protection and analytics.</w:t>
            </w:r>
          </w:p>
        </w:tc>
      </w:tr>
      <w:tr>
        <w:trPr>
          <w:cantSplit/>
        </w:trPr>
        <w:tc>
          <w:tcPr>
            <w:tcW w:type="dxa" w:w="2232"/>
            <w:tcMar>
              <w:top w:w="65" w:type="dxa"/>
              <w:start w:w="85" w:type="dxa"/>
              <w:bottom w:w="65" w:type="dxa"/>
              <w:end w:w="85" w:type="dxa"/>
            </w:tcMar>
            <w:vAlign w:val="top"/>
          </w:tcPr>
          <w:p>
            <w:r>
              <w:rPr>
                <w:sz w:val="14"/>
              </w:rPr>
              <w:t>Google Cloud</w:t>
            </w:r>
          </w:p>
        </w:tc>
        <w:tc>
          <w:tcPr>
            <w:tcW w:type="dxa" w:w="2952"/>
            <w:tcMar>
              <w:top w:w="65" w:type="dxa"/>
              <w:start w:w="85" w:type="dxa"/>
              <w:bottom w:w="65" w:type="dxa"/>
              <w:end w:w="85" w:type="dxa"/>
            </w:tcMar>
            <w:vAlign w:val="top"/>
          </w:tcPr>
          <w:p>
            <w:r>
              <w:rPr>
                <w:sz w:val="14"/>
              </w:rPr>
              <w:t>Security Command Center</w:t>
            </w:r>
          </w:p>
        </w:tc>
        <w:tc>
          <w:tcPr>
            <w:tcW w:type="dxa" w:w="4824"/>
            <w:tcMar>
              <w:top w:w="65" w:type="dxa"/>
              <w:start w:w="85" w:type="dxa"/>
              <w:bottom w:w="65" w:type="dxa"/>
              <w:end w:w="85" w:type="dxa"/>
            </w:tcMar>
            <w:vAlign w:val="top"/>
          </w:tcPr>
          <w:p>
            <w:r>
              <w:rPr>
                <w:sz w:val="14"/>
              </w:rPr>
              <w:t>Provide Google Cloud findings and threat data.</w:t>
            </w:r>
          </w:p>
        </w:tc>
      </w:tr>
      <w:tr>
        <w:trPr>
          <w:cantSplit/>
        </w:trPr>
        <w:tc>
          <w:tcPr>
            <w:tcW w:type="dxa" w:w="2232"/>
            <w:tcMar>
              <w:top w:w="65" w:type="dxa"/>
              <w:start w:w="85" w:type="dxa"/>
              <w:bottom w:w="65" w:type="dxa"/>
              <w:end w:w="85" w:type="dxa"/>
            </w:tcMar>
            <w:vAlign w:val="top"/>
          </w:tcPr>
          <w:p>
            <w:r>
              <w:rPr>
                <w:sz w:val="14"/>
              </w:rPr>
              <w:t>CNAPP</w:t>
            </w:r>
          </w:p>
        </w:tc>
        <w:tc>
          <w:tcPr>
            <w:tcW w:type="dxa" w:w="2952"/>
            <w:tcMar>
              <w:top w:w="65" w:type="dxa"/>
              <w:start w:w="85" w:type="dxa"/>
              <w:bottom w:w="65" w:type="dxa"/>
              <w:end w:w="85" w:type="dxa"/>
            </w:tcMar>
            <w:vAlign w:val="top"/>
          </w:tcPr>
          <w:p>
            <w:r>
              <w:rPr>
                <w:sz w:val="14"/>
              </w:rPr>
              <w:t>Enterprise platform where approved</w:t>
            </w:r>
          </w:p>
        </w:tc>
        <w:tc>
          <w:tcPr>
            <w:tcW w:type="dxa" w:w="4824"/>
            <w:tcMar>
              <w:top w:w="65" w:type="dxa"/>
              <w:start w:w="85" w:type="dxa"/>
              <w:bottom w:w="65" w:type="dxa"/>
              <w:end w:w="85" w:type="dxa"/>
            </w:tcMar>
            <w:vAlign w:val="top"/>
          </w:tcPr>
          <w:p>
            <w:r>
              <w:rPr>
                <w:sz w:val="14"/>
              </w:rPr>
              <w:t>Normalize posture, workload and entitlement risk.</w:t>
            </w:r>
          </w:p>
        </w:tc>
      </w:tr>
      <w:tr>
        <w:trPr>
          <w:cantSplit/>
        </w:trPr>
        <w:tc>
          <w:tcPr>
            <w:tcW w:type="dxa" w:w="2232"/>
            <w:tcMar>
              <w:top w:w="65" w:type="dxa"/>
              <w:start w:w="85" w:type="dxa"/>
              <w:bottom w:w="65" w:type="dxa"/>
              <w:end w:w="85" w:type="dxa"/>
            </w:tcMar>
            <w:vAlign w:val="top"/>
          </w:tcPr>
          <w:p>
            <w:r>
              <w:rPr>
                <w:sz w:val="14"/>
              </w:rPr>
              <w:t>SIEM</w:t>
            </w:r>
          </w:p>
        </w:tc>
        <w:tc>
          <w:tcPr>
            <w:tcW w:type="dxa" w:w="2952"/>
            <w:tcMar>
              <w:top w:w="65" w:type="dxa"/>
              <w:start w:w="85" w:type="dxa"/>
              <w:bottom w:w="65" w:type="dxa"/>
              <w:end w:w="85" w:type="dxa"/>
            </w:tcMar>
            <w:vAlign w:val="top"/>
          </w:tcPr>
          <w:p>
            <w:r>
              <w:rPr>
                <w:sz w:val="14"/>
              </w:rPr>
              <w:t>Central security analytics</w:t>
            </w:r>
          </w:p>
        </w:tc>
        <w:tc>
          <w:tcPr>
            <w:tcW w:type="dxa" w:w="4824"/>
            <w:tcMar>
              <w:top w:w="65" w:type="dxa"/>
              <w:start w:w="85" w:type="dxa"/>
              <w:bottom w:w="65" w:type="dxa"/>
              <w:end w:w="85" w:type="dxa"/>
            </w:tcMar>
            <w:vAlign w:val="top"/>
          </w:tcPr>
          <w:p>
            <w:r>
              <w:rPr>
                <w:sz w:val="14"/>
              </w:rPr>
              <w:t>Correlate provider and application telemetry.</w:t>
            </w:r>
          </w:p>
        </w:tc>
      </w:tr>
      <w:tr>
        <w:trPr>
          <w:cantSplit/>
        </w:trPr>
        <w:tc>
          <w:tcPr>
            <w:tcW w:type="dxa" w:w="2232"/>
            <w:tcMar>
              <w:top w:w="65" w:type="dxa"/>
              <w:start w:w="85" w:type="dxa"/>
              <w:bottom w:w="65" w:type="dxa"/>
              <w:end w:w="85" w:type="dxa"/>
            </w:tcMar>
            <w:vAlign w:val="top"/>
          </w:tcPr>
          <w:p>
            <w:r>
              <w:rPr>
                <w:sz w:val="14"/>
              </w:rPr>
              <w:t>Response</w:t>
            </w:r>
          </w:p>
        </w:tc>
        <w:tc>
          <w:tcPr>
            <w:tcW w:type="dxa" w:w="2952"/>
            <w:tcMar>
              <w:top w:w="65" w:type="dxa"/>
              <w:start w:w="85" w:type="dxa"/>
              <w:bottom w:w="65" w:type="dxa"/>
              <w:end w:w="85" w:type="dxa"/>
            </w:tcMar>
            <w:vAlign w:val="top"/>
          </w:tcPr>
          <w:p>
            <w:r>
              <w:rPr>
                <w:sz w:val="14"/>
              </w:rPr>
              <w:t>Provider-native automation</w:t>
            </w:r>
          </w:p>
        </w:tc>
        <w:tc>
          <w:tcPr>
            <w:tcW w:type="dxa" w:w="4824"/>
            <w:tcMar>
              <w:top w:w="65" w:type="dxa"/>
              <w:start w:w="85" w:type="dxa"/>
              <w:bottom w:w="65" w:type="dxa"/>
              <w:end w:w="85" w:type="dxa"/>
            </w:tcMar>
            <w:vAlign w:val="top"/>
          </w:tcPr>
          <w:p>
            <w:r>
              <w:rPr>
                <w:sz w:val="14"/>
              </w:rPr>
              <w:t>Contain resources using least-privileged playbooks.</w:t>
            </w:r>
          </w:p>
        </w:tc>
      </w:tr>
    </w:tbl>
    <w:p>
      <w:pPr>
        <w:pStyle w:val="Heading2"/>
        <w:keepNext/>
      </w:pPr>
      <w:r>
        <w:t>Architecture and Operating Decisions</w:t>
      </w:r>
    </w:p>
    <w:p>
      <w:pPr>
        <w:pStyle w:val="ListBullet"/>
      </w:pPr>
      <w:r>
        <w:t>Use Multi-Cloud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siem/soar integration and evidence normalization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finding_contract:</w:t>
              <w:br/>
              <w:t xml:space="preserve">  fields: [provider, account_or_subscription_or_project, resource, severity, control, owner, evidence]</w:t>
              <w:br/>
              <w:t xml:space="preserve">  deduplication: preserve_provider_finding_id</w:t>
              <w:br/>
              <w:t xml:space="preserve">  sla: risk_based</w:t>
              <w:br/>
              <w:t xml:space="preserve">  containment: approved_automation_only</w:t>
              <w:br/>
              <w:t xml:space="preserve">  evidence: immutable_timeline</w:t>
              <w:br/>
              <w:t xml:space="preserve">  closure: remediation_verified_not_ticket_closed_only</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cloud security posture, cnapp and soc integration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51: Build a Cross-Cloud Security Finding and Response Model</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cloud security posture, cnapp and soc integration using fictional enterprise requirements.</w:t>
      </w:r>
    </w:p>
    <w:p>
      <w:pPr>
        <w:ind w:left="360" w:hanging="360"/>
      </w:pPr>
      <w:r>
        <w:rPr>
          <w:b/>
        </w:rPr>
        <w:t xml:space="preserve">2. </w:t>
      </w:r>
      <w:r>
        <w:t>Implement the smallest safe sandbox using Security Hub / GuardDuty / Config, Defender for Cloud / Sentinel, Security Command Center;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Cloud Security Posture, CNAPP and SOC Integration?</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Multi-Cloud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Posture and configuration governance defines a key architecture boundary.</w:t>
      </w:r>
    </w:p>
    <w:p>
      <w:pPr>
        <w:pStyle w:val="ListBullet"/>
      </w:pPr>
      <w:r>
        <w:t>Workload, identity and data threat detection must be automated and least-privileged.</w:t>
      </w:r>
    </w:p>
    <w:p>
      <w:pPr>
        <w:pStyle w:val="ListBullet"/>
      </w:pPr>
      <w:r>
        <w:t>SIEM/SOAR integration and evidence normalization requires policy, telemetry and recovery evidence.</w:t>
      </w:r>
    </w:p>
    <w:p>
      <w:pPr>
        <w:pStyle w:val="ListBullet"/>
      </w:pPr>
      <w:r>
        <w:t>Containment, forensics and recovery should be tested before production and after material change.</w:t>
      </w:r>
    </w:p>
    <w:p>
      <w:r>
        <w:br w:type="page"/>
      </w:r>
    </w:p>
    <w:p>
      <w:pPr>
        <w:jc w:val="center"/>
      </w:pPr>
      <w:r>
        <w:rPr>
          <w:b/>
          <w:color w:val="14919B"/>
          <w:sz w:val="17"/>
        </w:rPr>
        <w:t>VOLUME 12E  |  CHAPTER 52</w:t>
      </w:r>
    </w:p>
    <w:p>
      <w:pPr>
        <w:pStyle w:val="Heading1"/>
        <w:jc w:val="center"/>
      </w:pPr>
      <w:r>
        <w:t>Chapter 52: Multi-Cloud Observability and Incident Response</w:t>
      </w:r>
    </w:p>
    <w:p>
      <w:pPr>
        <w:jc w:val="center"/>
      </w:pPr>
      <w:r>
        <w:rPr>
          <w:i/>
          <w:color w:val="4B5563"/>
          <w:sz w:val="20"/>
        </w:rPr>
        <w:t>Correlating services and user impact across provider boundaries</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Incidents cross clouds through APIs, identity, DNS, data and network dependencies. Common telemetry conventions and incident command reduce investigation time.</w:t>
            </w:r>
          </w:p>
        </w:tc>
      </w:tr>
    </w:tbl>
    <w:p>
      <w:pPr>
        <w:spacing w:after="0"/>
      </w:pPr>
    </w:p>
    <w:p>
      <w:pPr>
        <w:pStyle w:val="Heading2"/>
        <w:keepNext/>
      </w:pPr>
      <w:r>
        <w:t>Learning Objectives</w:t>
      </w:r>
    </w:p>
    <w:p>
      <w:pPr>
        <w:pStyle w:val="ListBullet"/>
      </w:pPr>
      <w:r>
        <w:t>Explain the architecture, responsibility boundaries and major trade-offs of common service, environment and ownership metadata.</w:t>
      </w:r>
    </w:p>
    <w:p>
      <w:pPr>
        <w:pStyle w:val="ListBullet"/>
      </w:pPr>
      <w:r>
        <w:t>Design metrics, logs, traces and audit normalization for enterprise scale, least privilege and bounded failure.</w:t>
      </w:r>
    </w:p>
    <w:p>
      <w:pPr>
        <w:pStyle w:val="ListBullet"/>
      </w:pPr>
      <w:r>
        <w:t>Implement provider health and dependency correlation through version-controlled automation and policy checks.</w:t>
      </w:r>
    </w:p>
    <w:p>
      <w:pPr>
        <w:pStyle w:val="ListBullet"/>
      </w:pPr>
      <w:r>
        <w:t>Troubleshoot incident command, communications and evidence using provider-native telemetry and repeatable evidence.</w:t>
      </w:r>
    </w:p>
    <w:p>
      <w:pPr>
        <w:pStyle w:val="ListBullet"/>
      </w:pPr>
      <w:r>
        <w:t>Deliver a sanitized portfolio artifact for investigate a cross-cloud dependency incident.</w:t>
      </w:r>
    </w:p>
    <w:p>
      <w:pPr>
        <w:pStyle w:val="Heading2"/>
        <w:keepNext/>
      </w:pPr>
      <w:r>
        <w:t>Core Concepts</w:t>
      </w:r>
    </w:p>
    <w:p>
      <w:pPr>
        <w:pStyle w:val="Heading3"/>
        <w:keepNext/>
      </w:pPr>
      <w:r>
        <w:t>Common service, environment and ownership metadata</w:t>
      </w:r>
    </w:p>
    <w:p>
      <w:pPr>
        <w:keepNext w:val="0"/>
      </w:pPr>
      <w:r>
        <w:t>Common service, environment and ownership metadata is a design boundary, not merely a console feature. In Multi-Cloud Observability and Incident Response, the team must document ownership, trust assumptions, dependency direction, failure impact and the evidence used to prove the control. The recommended implementation uses OpenTelemetry / provider agents, Prometheus or managed equivalents, Central or federated log platforms, OpenTelemetry-compatible backends only where they satisfy an explicit requirement; equivalent services are not automatically interchangeable.</w:t>
      </w:r>
    </w:p>
    <w:p>
      <w:pPr>
        <w:pStyle w:val="Heading3"/>
        <w:keepNext/>
      </w:pPr>
      <w:r>
        <w:t>Metrics, logs, traces and audit normalization</w:t>
      </w:r>
    </w:p>
    <w:p>
      <w:pPr>
        <w:keepNext w:val="0"/>
      </w:pPr>
      <w:r>
        <w:t>A production implementation of Metrics, logs, traces and audit normalization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Provider health and dependency correlation</w:t>
      </w:r>
    </w:p>
    <w:p>
      <w:pPr>
        <w:keepNext w:val="0"/>
      </w:pPr>
      <w:r>
        <w:t>For Provider health and dependency correlation,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Incident command, communications and evidence</w:t>
      </w:r>
    </w:p>
    <w:p>
      <w:pPr>
        <w:keepNext w:val="0"/>
      </w:pPr>
      <w:r>
        <w:t>The strongest validation for Incident command, communications and evidence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Collection</w:t>
            </w:r>
          </w:p>
        </w:tc>
        <w:tc>
          <w:tcPr>
            <w:tcW w:type="dxa" w:w="2952"/>
            <w:tcMar>
              <w:top w:w="65" w:type="dxa"/>
              <w:start w:w="85" w:type="dxa"/>
              <w:bottom w:w="65" w:type="dxa"/>
              <w:end w:w="85" w:type="dxa"/>
            </w:tcMar>
            <w:vAlign w:val="top"/>
          </w:tcPr>
          <w:p>
            <w:r>
              <w:rPr>
                <w:sz w:val="14"/>
              </w:rPr>
              <w:t>OpenTelemetry / provider agents</w:t>
            </w:r>
          </w:p>
        </w:tc>
        <w:tc>
          <w:tcPr>
            <w:tcW w:type="dxa" w:w="4824"/>
            <w:tcMar>
              <w:top w:w="65" w:type="dxa"/>
              <w:start w:w="85" w:type="dxa"/>
              <w:bottom w:w="65" w:type="dxa"/>
              <w:end w:w="85" w:type="dxa"/>
            </w:tcMar>
            <w:vAlign w:val="top"/>
          </w:tcPr>
          <w:p>
            <w:r>
              <w:rPr>
                <w:sz w:val="14"/>
              </w:rPr>
              <w:t>Collect portable application telemetry.</w:t>
            </w:r>
          </w:p>
        </w:tc>
      </w:tr>
      <w:tr>
        <w:trPr>
          <w:cantSplit/>
        </w:trPr>
        <w:tc>
          <w:tcPr>
            <w:tcW w:type="dxa" w:w="2232"/>
            <w:tcMar>
              <w:top w:w="65" w:type="dxa"/>
              <w:start w:w="85" w:type="dxa"/>
              <w:bottom w:w="65" w:type="dxa"/>
              <w:end w:w="85" w:type="dxa"/>
            </w:tcMar>
            <w:vAlign w:val="top"/>
          </w:tcPr>
          <w:p>
            <w:r>
              <w:rPr>
                <w:sz w:val="14"/>
              </w:rPr>
              <w:t>Metrics</w:t>
            </w:r>
          </w:p>
        </w:tc>
        <w:tc>
          <w:tcPr>
            <w:tcW w:type="dxa" w:w="2952"/>
            <w:tcMar>
              <w:top w:w="65" w:type="dxa"/>
              <w:start w:w="85" w:type="dxa"/>
              <w:bottom w:w="65" w:type="dxa"/>
              <w:end w:w="85" w:type="dxa"/>
            </w:tcMar>
            <w:vAlign w:val="top"/>
          </w:tcPr>
          <w:p>
            <w:r>
              <w:rPr>
                <w:sz w:val="14"/>
              </w:rPr>
              <w:t>Prometheus or managed equivalents</w:t>
            </w:r>
          </w:p>
        </w:tc>
        <w:tc>
          <w:tcPr>
            <w:tcW w:type="dxa" w:w="4824"/>
            <w:tcMar>
              <w:top w:w="65" w:type="dxa"/>
              <w:start w:w="85" w:type="dxa"/>
              <w:bottom w:w="65" w:type="dxa"/>
              <w:end w:w="85" w:type="dxa"/>
            </w:tcMar>
            <w:vAlign w:val="top"/>
          </w:tcPr>
          <w:p>
            <w:r>
              <w:rPr>
                <w:sz w:val="14"/>
              </w:rPr>
              <w:t>Measure services with common labels.</w:t>
            </w:r>
          </w:p>
        </w:tc>
      </w:tr>
      <w:tr>
        <w:trPr>
          <w:cantSplit/>
        </w:trPr>
        <w:tc>
          <w:tcPr>
            <w:tcW w:type="dxa" w:w="2232"/>
            <w:tcMar>
              <w:top w:w="65" w:type="dxa"/>
              <w:start w:w="85" w:type="dxa"/>
              <w:bottom w:w="65" w:type="dxa"/>
              <w:end w:w="85" w:type="dxa"/>
            </w:tcMar>
            <w:vAlign w:val="top"/>
          </w:tcPr>
          <w:p>
            <w:r>
              <w:rPr>
                <w:sz w:val="14"/>
              </w:rPr>
              <w:t>Logs</w:t>
            </w:r>
          </w:p>
        </w:tc>
        <w:tc>
          <w:tcPr>
            <w:tcW w:type="dxa" w:w="2952"/>
            <w:tcMar>
              <w:top w:w="65" w:type="dxa"/>
              <w:start w:w="85" w:type="dxa"/>
              <w:bottom w:w="65" w:type="dxa"/>
              <w:end w:w="85" w:type="dxa"/>
            </w:tcMar>
            <w:vAlign w:val="top"/>
          </w:tcPr>
          <w:p>
            <w:r>
              <w:rPr>
                <w:sz w:val="14"/>
              </w:rPr>
              <w:t>Central or federated log platforms</w:t>
            </w:r>
          </w:p>
        </w:tc>
        <w:tc>
          <w:tcPr>
            <w:tcW w:type="dxa" w:w="4824"/>
            <w:tcMar>
              <w:top w:w="65" w:type="dxa"/>
              <w:start w:w="85" w:type="dxa"/>
              <w:bottom w:w="65" w:type="dxa"/>
              <w:end w:w="85" w:type="dxa"/>
            </w:tcMar>
            <w:vAlign w:val="top"/>
          </w:tcPr>
          <w:p>
            <w:r>
              <w:rPr>
                <w:sz w:val="14"/>
              </w:rPr>
              <w:t>Search structured events with provider context.</w:t>
            </w:r>
          </w:p>
        </w:tc>
      </w:tr>
      <w:tr>
        <w:trPr>
          <w:cantSplit/>
        </w:trPr>
        <w:tc>
          <w:tcPr>
            <w:tcW w:type="dxa" w:w="2232"/>
            <w:tcMar>
              <w:top w:w="65" w:type="dxa"/>
              <w:start w:w="85" w:type="dxa"/>
              <w:bottom w:w="65" w:type="dxa"/>
              <w:end w:w="85" w:type="dxa"/>
            </w:tcMar>
            <w:vAlign w:val="top"/>
          </w:tcPr>
          <w:p>
            <w:r>
              <w:rPr>
                <w:sz w:val="14"/>
              </w:rPr>
              <w:t>Traces</w:t>
            </w:r>
          </w:p>
        </w:tc>
        <w:tc>
          <w:tcPr>
            <w:tcW w:type="dxa" w:w="2952"/>
            <w:tcMar>
              <w:top w:w="65" w:type="dxa"/>
              <w:start w:w="85" w:type="dxa"/>
              <w:bottom w:w="65" w:type="dxa"/>
              <w:end w:w="85" w:type="dxa"/>
            </w:tcMar>
            <w:vAlign w:val="top"/>
          </w:tcPr>
          <w:p>
            <w:r>
              <w:rPr>
                <w:sz w:val="14"/>
              </w:rPr>
              <w:t>OpenTelemetry-compatible backends</w:t>
            </w:r>
          </w:p>
        </w:tc>
        <w:tc>
          <w:tcPr>
            <w:tcW w:type="dxa" w:w="4824"/>
            <w:tcMar>
              <w:top w:w="65" w:type="dxa"/>
              <w:start w:w="85" w:type="dxa"/>
              <w:bottom w:w="65" w:type="dxa"/>
              <w:end w:w="85" w:type="dxa"/>
            </w:tcMar>
            <w:vAlign w:val="top"/>
          </w:tcPr>
          <w:p>
            <w:r>
              <w:rPr>
                <w:sz w:val="14"/>
              </w:rPr>
              <w:t>Follow requests across clouds.</w:t>
            </w:r>
          </w:p>
        </w:tc>
      </w:tr>
      <w:tr>
        <w:trPr>
          <w:cantSplit/>
        </w:trPr>
        <w:tc>
          <w:tcPr>
            <w:tcW w:type="dxa" w:w="2232"/>
            <w:tcMar>
              <w:top w:w="65" w:type="dxa"/>
              <w:start w:w="85" w:type="dxa"/>
              <w:bottom w:w="65" w:type="dxa"/>
              <w:end w:w="85" w:type="dxa"/>
            </w:tcMar>
            <w:vAlign w:val="top"/>
          </w:tcPr>
          <w:p>
            <w:r>
              <w:rPr>
                <w:sz w:val="14"/>
              </w:rPr>
              <w:t>Health</w:t>
            </w:r>
          </w:p>
        </w:tc>
        <w:tc>
          <w:tcPr>
            <w:tcW w:type="dxa" w:w="2952"/>
            <w:tcMar>
              <w:top w:w="65" w:type="dxa"/>
              <w:start w:w="85" w:type="dxa"/>
              <w:bottom w:w="65" w:type="dxa"/>
              <w:end w:w="85" w:type="dxa"/>
            </w:tcMar>
            <w:vAlign w:val="top"/>
          </w:tcPr>
          <w:p>
            <w:r>
              <w:rPr>
                <w:sz w:val="14"/>
              </w:rPr>
              <w:t>AWS Health / Azure Service Health / Google Service Health</w:t>
            </w:r>
          </w:p>
        </w:tc>
        <w:tc>
          <w:tcPr>
            <w:tcW w:type="dxa" w:w="4824"/>
            <w:tcMar>
              <w:top w:w="65" w:type="dxa"/>
              <w:start w:w="85" w:type="dxa"/>
              <w:bottom w:w="65" w:type="dxa"/>
              <w:end w:w="85" w:type="dxa"/>
            </w:tcMar>
            <w:vAlign w:val="top"/>
          </w:tcPr>
          <w:p>
            <w:r>
              <w:rPr>
                <w:sz w:val="14"/>
              </w:rPr>
              <w:t>Correlate provider incidents.</w:t>
            </w:r>
          </w:p>
        </w:tc>
      </w:tr>
      <w:tr>
        <w:trPr>
          <w:cantSplit/>
        </w:trPr>
        <w:tc>
          <w:tcPr>
            <w:tcW w:type="dxa" w:w="2232"/>
            <w:tcMar>
              <w:top w:w="65" w:type="dxa"/>
              <w:start w:w="85" w:type="dxa"/>
              <w:bottom w:w="65" w:type="dxa"/>
              <w:end w:w="85" w:type="dxa"/>
            </w:tcMar>
            <w:vAlign w:val="top"/>
          </w:tcPr>
          <w:p>
            <w:r>
              <w:rPr>
                <w:sz w:val="14"/>
              </w:rPr>
              <w:t>Response</w:t>
            </w:r>
          </w:p>
        </w:tc>
        <w:tc>
          <w:tcPr>
            <w:tcW w:type="dxa" w:w="2952"/>
            <w:tcMar>
              <w:top w:w="65" w:type="dxa"/>
              <w:start w:w="85" w:type="dxa"/>
              <w:bottom w:w="65" w:type="dxa"/>
              <w:end w:w="85" w:type="dxa"/>
            </w:tcMar>
            <w:vAlign w:val="top"/>
          </w:tcPr>
          <w:p>
            <w:r>
              <w:rPr>
                <w:sz w:val="14"/>
              </w:rPr>
              <w:t>Unified incident process</w:t>
            </w:r>
          </w:p>
        </w:tc>
        <w:tc>
          <w:tcPr>
            <w:tcW w:type="dxa" w:w="4824"/>
            <w:tcMar>
              <w:top w:w="65" w:type="dxa"/>
              <w:start w:w="85" w:type="dxa"/>
              <w:bottom w:w="65" w:type="dxa"/>
              <w:end w:w="85" w:type="dxa"/>
            </w:tcMar>
            <w:vAlign w:val="top"/>
          </w:tcPr>
          <w:p>
            <w:r>
              <w:rPr>
                <w:sz w:val="14"/>
              </w:rPr>
              <w:t>Coordinate technical and stakeholder work.</w:t>
            </w:r>
          </w:p>
        </w:tc>
      </w:tr>
    </w:tbl>
    <w:p>
      <w:pPr>
        <w:pStyle w:val="Heading2"/>
        <w:keepNext/>
      </w:pPr>
      <w:r>
        <w:t>Architecture and Operating Decisions</w:t>
      </w:r>
    </w:p>
    <w:p>
      <w:pPr>
        <w:pStyle w:val="ListBullet"/>
      </w:pPr>
      <w:r>
        <w:t>Use Multi-Cloud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provider health and dependency correlation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telemetry_contract:</w:t>
              <w:br/>
              <w:t xml:space="preserve">  required_attributes: [service, environment, provider, region, owner, version]</w:t>
              <w:br/>
              <w:t xml:space="preserve">  clocks: synchronized</w:t>
              <w:br/>
              <w:t xml:space="preserve">  trace_context: propagated_across_http_and_messaging</w:t>
              <w:br/>
              <w:t xml:space="preserve">  audit: provider_native_retained</w:t>
              <w:br/>
              <w:t xml:space="preserve">  alerts: user_impact_and_slo_burn</w:t>
              <w:br/>
              <w:t xml:space="preserve">  incident_timeline: common_utc</w:t>
              <w:br/>
              <w:t xml:space="preserve">  cost: retention_and_cardinality_budget</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multi-cloud observability and incident response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52: Investigate a Cross-Cloud Dependency Incident</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multi-cloud observability and incident response using fictional enterprise requirements.</w:t>
      </w:r>
    </w:p>
    <w:p>
      <w:pPr>
        <w:ind w:left="360" w:hanging="360"/>
      </w:pPr>
      <w:r>
        <w:rPr>
          <w:b/>
        </w:rPr>
        <w:t xml:space="preserve">2. </w:t>
      </w:r>
      <w:r>
        <w:t>Implement the smallest safe sandbox using OpenTelemetry / provider agents, Prometheus or managed equivalents, Central or federated log platforms;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Multi-Cloud Observability and Incident Response?</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Multi-Cloud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Common service, environment and ownership metadata defines a key architecture boundary.</w:t>
      </w:r>
    </w:p>
    <w:p>
      <w:pPr>
        <w:pStyle w:val="ListBullet"/>
      </w:pPr>
      <w:r>
        <w:t>Metrics, logs, traces and audit normalization must be automated and least-privileged.</w:t>
      </w:r>
    </w:p>
    <w:p>
      <w:pPr>
        <w:pStyle w:val="ListBullet"/>
      </w:pPr>
      <w:r>
        <w:t>Provider health and dependency correlation requires policy, telemetry and recovery evidence.</w:t>
      </w:r>
    </w:p>
    <w:p>
      <w:pPr>
        <w:pStyle w:val="ListBullet"/>
      </w:pPr>
      <w:r>
        <w:t>Incident command, communications and evidence should be tested before production and after material change.</w:t>
      </w:r>
    </w:p>
    <w:p>
      <w:r>
        <w:br w:type="page"/>
      </w:r>
    </w:p>
    <w:p>
      <w:pPr>
        <w:jc w:val="center"/>
      </w:pPr>
      <w:r>
        <w:rPr>
          <w:b/>
          <w:color w:val="14919B"/>
          <w:sz w:val="17"/>
        </w:rPr>
        <w:t>VOLUME 12E  |  CHAPTER 53</w:t>
      </w:r>
    </w:p>
    <w:p>
      <w:pPr>
        <w:pStyle w:val="Heading1"/>
        <w:jc w:val="center"/>
      </w:pPr>
      <w:r>
        <w:t>Chapter 53: Multi-Cloud FinOps, Contracts and Unit Economics</w:t>
      </w:r>
    </w:p>
    <w:p>
      <w:pPr>
        <w:jc w:val="center"/>
      </w:pPr>
      <w:r>
        <w:rPr>
          <w:i/>
          <w:color w:val="4B5563"/>
          <w:sz w:val="20"/>
        </w:rPr>
        <w:t>Optimizing value across pricing models and commercial commitments</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Provider invoices are structurally different. A common financial model must normalize allocation and unit economics without hiding contract and data-transfer differences.</w:t>
            </w:r>
          </w:p>
        </w:tc>
      </w:tr>
    </w:tbl>
    <w:p>
      <w:pPr>
        <w:spacing w:after="0"/>
      </w:pPr>
    </w:p>
    <w:p>
      <w:pPr>
        <w:pStyle w:val="Heading2"/>
        <w:keepNext/>
      </w:pPr>
      <w:r>
        <w:t>Learning Objectives</w:t>
      </w:r>
    </w:p>
    <w:p>
      <w:pPr>
        <w:pStyle w:val="ListBullet"/>
      </w:pPr>
      <w:r>
        <w:t>Explain the architecture, responsibility boundaries and major trade-offs of billing normalization and allocation coverage.</w:t>
      </w:r>
    </w:p>
    <w:p>
      <w:pPr>
        <w:pStyle w:val="ListBullet"/>
      </w:pPr>
      <w:r>
        <w:t>Design shared cost distribution and unit economics for enterprise scale, least privilege and bounded failure.</w:t>
      </w:r>
    </w:p>
    <w:p>
      <w:pPr>
        <w:pStyle w:val="ListBullet"/>
      </w:pPr>
      <w:r>
        <w:t>Implement commitment portfolios and contract governance through version-controlled automation and policy checks.</w:t>
      </w:r>
    </w:p>
    <w:p>
      <w:pPr>
        <w:pStyle w:val="ListBullet"/>
      </w:pPr>
      <w:r>
        <w:t>Troubleshoot data transfer, licensing and architecture economics using provider-native telemetry and repeatable evidence.</w:t>
      </w:r>
    </w:p>
    <w:p>
      <w:pPr>
        <w:pStyle w:val="ListBullet"/>
      </w:pPr>
      <w:r>
        <w:t>Deliver a sanitized portfolio artifact for normalize three provider billing datasets and calculate unit cost.</w:t>
      </w:r>
    </w:p>
    <w:p>
      <w:pPr>
        <w:pStyle w:val="Heading2"/>
        <w:keepNext/>
      </w:pPr>
      <w:r>
        <w:t>Core Concepts</w:t>
      </w:r>
    </w:p>
    <w:p>
      <w:pPr>
        <w:pStyle w:val="Heading3"/>
        <w:keepNext/>
      </w:pPr>
      <w:r>
        <w:t>Billing normalization and allocation coverage</w:t>
      </w:r>
    </w:p>
    <w:p>
      <w:pPr>
        <w:keepNext w:val="0"/>
      </w:pPr>
      <w:r>
        <w:t>Billing normalization and allocation coverage is a design boundary, not merely a console feature. In Multi-Cloud FinOps, Contracts and Unit Economics, the team must document ownership, trust assumptions, dependency direction, failure impact and the evidence used to prove the control. The recommended implementation uses Data Exports / Cost Explorer, Cost Management exports, Billing export to BigQuery, FinOps Open Cost and Usage Specification where adopted only where they satisfy an explicit requirement; equivalent services are not automatically interchangeable.</w:t>
      </w:r>
    </w:p>
    <w:p>
      <w:pPr>
        <w:pStyle w:val="Heading3"/>
        <w:keepNext/>
      </w:pPr>
      <w:r>
        <w:t>Shared cost distribution and unit economics</w:t>
      </w:r>
    </w:p>
    <w:p>
      <w:pPr>
        <w:keepNext w:val="0"/>
      </w:pPr>
      <w:r>
        <w:t>A production implementation of Shared cost distribution and unit economics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Commitment portfolios and contract governance</w:t>
      </w:r>
    </w:p>
    <w:p>
      <w:pPr>
        <w:keepNext w:val="0"/>
      </w:pPr>
      <w:r>
        <w:t>For Commitment portfolios and contract governance,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Data transfer, licensing and architecture economics</w:t>
      </w:r>
    </w:p>
    <w:p>
      <w:pPr>
        <w:keepNext w:val="0"/>
      </w:pPr>
      <w:r>
        <w:t>The strongest validation for Data transfer, licensing and architecture economics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AWS</w:t>
            </w:r>
          </w:p>
        </w:tc>
        <w:tc>
          <w:tcPr>
            <w:tcW w:type="dxa" w:w="2952"/>
            <w:tcMar>
              <w:top w:w="65" w:type="dxa"/>
              <w:start w:w="85" w:type="dxa"/>
              <w:bottom w:w="65" w:type="dxa"/>
              <w:end w:w="85" w:type="dxa"/>
            </w:tcMar>
            <w:vAlign w:val="top"/>
          </w:tcPr>
          <w:p>
            <w:r>
              <w:rPr>
                <w:sz w:val="14"/>
              </w:rPr>
              <w:t>Data Exports / Cost Explorer</w:t>
            </w:r>
          </w:p>
        </w:tc>
        <w:tc>
          <w:tcPr>
            <w:tcW w:type="dxa" w:w="4824"/>
            <w:tcMar>
              <w:top w:w="65" w:type="dxa"/>
              <w:start w:w="85" w:type="dxa"/>
              <w:bottom w:w="65" w:type="dxa"/>
              <w:end w:w="85" w:type="dxa"/>
            </w:tcMar>
            <w:vAlign w:val="top"/>
          </w:tcPr>
          <w:p>
            <w:r>
              <w:rPr>
                <w:sz w:val="14"/>
              </w:rPr>
              <w:t>Provide AWS cost and usage data.</w:t>
            </w:r>
          </w:p>
        </w:tc>
      </w:tr>
      <w:tr>
        <w:trPr>
          <w:cantSplit/>
        </w:trPr>
        <w:tc>
          <w:tcPr>
            <w:tcW w:type="dxa" w:w="2232"/>
            <w:tcMar>
              <w:top w:w="65" w:type="dxa"/>
              <w:start w:w="85" w:type="dxa"/>
              <w:bottom w:w="65" w:type="dxa"/>
              <w:end w:w="85" w:type="dxa"/>
            </w:tcMar>
            <w:vAlign w:val="top"/>
          </w:tcPr>
          <w:p>
            <w:r>
              <w:rPr>
                <w:sz w:val="14"/>
              </w:rPr>
              <w:t>Azure</w:t>
            </w:r>
          </w:p>
        </w:tc>
        <w:tc>
          <w:tcPr>
            <w:tcW w:type="dxa" w:w="2952"/>
            <w:tcMar>
              <w:top w:w="65" w:type="dxa"/>
              <w:start w:w="85" w:type="dxa"/>
              <w:bottom w:w="65" w:type="dxa"/>
              <w:end w:w="85" w:type="dxa"/>
            </w:tcMar>
            <w:vAlign w:val="top"/>
          </w:tcPr>
          <w:p>
            <w:r>
              <w:rPr>
                <w:sz w:val="14"/>
              </w:rPr>
              <w:t>Cost Management exports</w:t>
            </w:r>
          </w:p>
        </w:tc>
        <w:tc>
          <w:tcPr>
            <w:tcW w:type="dxa" w:w="4824"/>
            <w:tcMar>
              <w:top w:w="65" w:type="dxa"/>
              <w:start w:w="85" w:type="dxa"/>
              <w:bottom w:w="65" w:type="dxa"/>
              <w:end w:w="85" w:type="dxa"/>
            </w:tcMar>
            <w:vAlign w:val="top"/>
          </w:tcPr>
          <w:p>
            <w:r>
              <w:rPr>
                <w:sz w:val="14"/>
              </w:rPr>
              <w:t>Provide Azure billing data.</w:t>
            </w:r>
          </w:p>
        </w:tc>
      </w:tr>
      <w:tr>
        <w:trPr>
          <w:cantSplit/>
        </w:trPr>
        <w:tc>
          <w:tcPr>
            <w:tcW w:type="dxa" w:w="2232"/>
            <w:tcMar>
              <w:top w:w="65" w:type="dxa"/>
              <w:start w:w="85" w:type="dxa"/>
              <w:bottom w:w="65" w:type="dxa"/>
              <w:end w:w="85" w:type="dxa"/>
            </w:tcMar>
            <w:vAlign w:val="top"/>
          </w:tcPr>
          <w:p>
            <w:r>
              <w:rPr>
                <w:sz w:val="14"/>
              </w:rPr>
              <w:t>Google Cloud</w:t>
            </w:r>
          </w:p>
        </w:tc>
        <w:tc>
          <w:tcPr>
            <w:tcW w:type="dxa" w:w="2952"/>
            <w:tcMar>
              <w:top w:w="65" w:type="dxa"/>
              <w:start w:w="85" w:type="dxa"/>
              <w:bottom w:w="65" w:type="dxa"/>
              <w:end w:w="85" w:type="dxa"/>
            </w:tcMar>
            <w:vAlign w:val="top"/>
          </w:tcPr>
          <w:p>
            <w:r>
              <w:rPr>
                <w:sz w:val="14"/>
              </w:rPr>
              <w:t>Billing export to BigQuery</w:t>
            </w:r>
          </w:p>
        </w:tc>
        <w:tc>
          <w:tcPr>
            <w:tcW w:type="dxa" w:w="4824"/>
            <w:tcMar>
              <w:top w:w="65" w:type="dxa"/>
              <w:start w:w="85" w:type="dxa"/>
              <w:bottom w:w="65" w:type="dxa"/>
              <w:end w:w="85" w:type="dxa"/>
            </w:tcMar>
            <w:vAlign w:val="top"/>
          </w:tcPr>
          <w:p>
            <w:r>
              <w:rPr>
                <w:sz w:val="14"/>
              </w:rPr>
              <w:t>Provide Google Cloud cost detail.</w:t>
            </w:r>
          </w:p>
        </w:tc>
      </w:tr>
      <w:tr>
        <w:trPr>
          <w:cantSplit/>
        </w:trPr>
        <w:tc>
          <w:tcPr>
            <w:tcW w:type="dxa" w:w="2232"/>
            <w:tcMar>
              <w:top w:w="65" w:type="dxa"/>
              <w:start w:w="85" w:type="dxa"/>
              <w:bottom w:w="65" w:type="dxa"/>
              <w:end w:w="85" w:type="dxa"/>
            </w:tcMar>
            <w:vAlign w:val="top"/>
          </w:tcPr>
          <w:p>
            <w:r>
              <w:rPr>
                <w:sz w:val="14"/>
              </w:rPr>
              <w:t>Normalization</w:t>
            </w:r>
          </w:p>
        </w:tc>
        <w:tc>
          <w:tcPr>
            <w:tcW w:type="dxa" w:w="2952"/>
            <w:tcMar>
              <w:top w:w="65" w:type="dxa"/>
              <w:start w:w="85" w:type="dxa"/>
              <w:bottom w:w="65" w:type="dxa"/>
              <w:end w:w="85" w:type="dxa"/>
            </w:tcMar>
            <w:vAlign w:val="top"/>
          </w:tcPr>
          <w:p>
            <w:r>
              <w:rPr>
                <w:sz w:val="14"/>
              </w:rPr>
              <w:t>FinOps Open Cost and Usage Specification where adopted</w:t>
            </w:r>
          </w:p>
        </w:tc>
        <w:tc>
          <w:tcPr>
            <w:tcW w:type="dxa" w:w="4824"/>
            <w:tcMar>
              <w:top w:w="65" w:type="dxa"/>
              <w:start w:w="85" w:type="dxa"/>
              <w:bottom w:w="65" w:type="dxa"/>
              <w:end w:w="85" w:type="dxa"/>
            </w:tcMar>
            <w:vAlign w:val="top"/>
          </w:tcPr>
          <w:p>
            <w:r>
              <w:rPr>
                <w:sz w:val="14"/>
              </w:rPr>
              <w:t>Map provider billing into a common schema.</w:t>
            </w:r>
          </w:p>
        </w:tc>
      </w:tr>
      <w:tr>
        <w:trPr>
          <w:cantSplit/>
        </w:trPr>
        <w:tc>
          <w:tcPr>
            <w:tcW w:type="dxa" w:w="2232"/>
            <w:tcMar>
              <w:top w:w="65" w:type="dxa"/>
              <w:start w:w="85" w:type="dxa"/>
              <w:bottom w:w="65" w:type="dxa"/>
              <w:end w:w="85" w:type="dxa"/>
            </w:tcMar>
            <w:vAlign w:val="top"/>
          </w:tcPr>
          <w:p>
            <w:r>
              <w:rPr>
                <w:sz w:val="14"/>
              </w:rPr>
              <w:t>Commitments</w:t>
            </w:r>
          </w:p>
        </w:tc>
        <w:tc>
          <w:tcPr>
            <w:tcW w:type="dxa" w:w="2952"/>
            <w:tcMar>
              <w:top w:w="65" w:type="dxa"/>
              <w:start w:w="85" w:type="dxa"/>
              <w:bottom w:w="65" w:type="dxa"/>
              <w:end w:w="85" w:type="dxa"/>
            </w:tcMar>
            <w:vAlign w:val="top"/>
          </w:tcPr>
          <w:p>
            <w:r>
              <w:rPr>
                <w:sz w:val="14"/>
              </w:rPr>
              <w:t>Savings Plans / reservations / CUDs</w:t>
            </w:r>
          </w:p>
        </w:tc>
        <w:tc>
          <w:tcPr>
            <w:tcW w:type="dxa" w:w="4824"/>
            <w:tcMar>
              <w:top w:w="65" w:type="dxa"/>
              <w:start w:w="85" w:type="dxa"/>
              <w:bottom w:w="65" w:type="dxa"/>
              <w:end w:w="85" w:type="dxa"/>
            </w:tcMar>
            <w:vAlign w:val="top"/>
          </w:tcPr>
          <w:p>
            <w:r>
              <w:rPr>
                <w:sz w:val="14"/>
              </w:rPr>
              <w:t>Govern discount portfolios.</w:t>
            </w:r>
          </w:p>
        </w:tc>
      </w:tr>
      <w:tr>
        <w:trPr>
          <w:cantSplit/>
        </w:trPr>
        <w:tc>
          <w:tcPr>
            <w:tcW w:type="dxa" w:w="2232"/>
            <w:tcMar>
              <w:top w:w="65" w:type="dxa"/>
              <w:start w:w="85" w:type="dxa"/>
              <w:bottom w:w="65" w:type="dxa"/>
              <w:end w:w="85" w:type="dxa"/>
            </w:tcMar>
            <w:vAlign w:val="top"/>
          </w:tcPr>
          <w:p>
            <w:r>
              <w:rPr>
                <w:sz w:val="14"/>
              </w:rPr>
              <w:t>Contracts</w:t>
            </w:r>
          </w:p>
        </w:tc>
        <w:tc>
          <w:tcPr>
            <w:tcW w:type="dxa" w:w="2952"/>
            <w:tcMar>
              <w:top w:w="65" w:type="dxa"/>
              <w:start w:w="85" w:type="dxa"/>
              <w:bottom w:w="65" w:type="dxa"/>
              <w:end w:w="85" w:type="dxa"/>
            </w:tcMar>
            <w:vAlign w:val="top"/>
          </w:tcPr>
          <w:p>
            <w:r>
              <w:rPr>
                <w:sz w:val="14"/>
              </w:rPr>
              <w:t>Enterprise agreements and support plans</w:t>
            </w:r>
          </w:p>
        </w:tc>
        <w:tc>
          <w:tcPr>
            <w:tcW w:type="dxa" w:w="4824"/>
            <w:tcMar>
              <w:top w:w="65" w:type="dxa"/>
              <w:start w:w="85" w:type="dxa"/>
              <w:bottom w:w="65" w:type="dxa"/>
              <w:end w:w="85" w:type="dxa"/>
            </w:tcMar>
            <w:vAlign w:val="top"/>
          </w:tcPr>
          <w:p>
            <w:r>
              <w:rPr>
                <w:sz w:val="14"/>
              </w:rPr>
              <w:t>Manage commercial risk and obligations.</w:t>
            </w:r>
          </w:p>
        </w:tc>
      </w:tr>
    </w:tbl>
    <w:p>
      <w:pPr>
        <w:pStyle w:val="Heading2"/>
        <w:keepNext/>
      </w:pPr>
      <w:r>
        <w:t>Architecture and Operating Decisions</w:t>
      </w:r>
    </w:p>
    <w:p>
      <w:pPr>
        <w:pStyle w:val="ListBullet"/>
      </w:pPr>
      <w:r>
        <w:t>Use Multi-Cloud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commitment portfolios and contract governance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finops_model:</w:t>
              <w:br/>
              <w:t xml:space="preserve">  allocation_dimensions: [product, environment, provider, region, owner]</w:t>
              <w:br/>
              <w:t xml:space="preserve">  shared_cost_rule: consumption_or_agreed_driver</w:t>
              <w:br/>
              <w:t xml:space="preserve">  unit_costs: [cost_per_order, cost_per_gb_processed]</w:t>
              <w:br/>
              <w:t xml:space="preserve">  commitments: separate_portfolios_with_coverage_and_utilization</w:t>
              <w:br/>
              <w:t xml:space="preserve">  transfer_cost: architecture_review_required</w:t>
              <w:br/>
              <w:t xml:space="preserve">  cadence: weekly_anomaly_monthly_optimization_quarterly_contract</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multi-cloud finops, contracts and unit economics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53: Normalize Three Provider Billing Datasets and Calculate Unit Cost</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multi-cloud finops, contracts and unit economics using fictional enterprise requirements.</w:t>
      </w:r>
    </w:p>
    <w:p>
      <w:pPr>
        <w:ind w:left="360" w:hanging="360"/>
      </w:pPr>
      <w:r>
        <w:rPr>
          <w:b/>
        </w:rPr>
        <w:t xml:space="preserve">2. </w:t>
      </w:r>
      <w:r>
        <w:t>Implement the smallest safe sandbox using Data Exports / Cost Explorer, Cost Management exports, Billing export to BigQuery;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Multi-Cloud FinOps, Contracts and Unit Economics?</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Multi-Cloud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Billing normalization and allocation coverage defines a key architecture boundary.</w:t>
      </w:r>
    </w:p>
    <w:p>
      <w:pPr>
        <w:pStyle w:val="ListBullet"/>
      </w:pPr>
      <w:r>
        <w:t>Shared cost distribution and unit economics must be automated and least-privileged.</w:t>
      </w:r>
    </w:p>
    <w:p>
      <w:pPr>
        <w:pStyle w:val="ListBullet"/>
      </w:pPr>
      <w:r>
        <w:t>Commitment portfolios and contract governance requires policy, telemetry and recovery evidence.</w:t>
      </w:r>
    </w:p>
    <w:p>
      <w:pPr>
        <w:pStyle w:val="ListBullet"/>
      </w:pPr>
      <w:r>
        <w:t>Data transfer, licensing and architecture economics should be tested before production and after material change.</w:t>
      </w:r>
    </w:p>
    <w:p>
      <w:r>
        <w:br w:type="page"/>
      </w:r>
    </w:p>
    <w:p>
      <w:pPr>
        <w:jc w:val="center"/>
      </w:pPr>
      <w:r>
        <w:rPr>
          <w:b/>
          <w:color w:val="14919B"/>
          <w:sz w:val="17"/>
        </w:rPr>
        <w:t>VOLUME 12E  |  CHAPTER 54</w:t>
      </w:r>
    </w:p>
    <w:p>
      <w:pPr>
        <w:pStyle w:val="Heading1"/>
        <w:jc w:val="center"/>
      </w:pPr>
      <w:r>
        <w:t>Chapter 54: Cross-Cloud Policy, Compliance and Audit Evidence</w:t>
      </w:r>
    </w:p>
    <w:p>
      <w:pPr>
        <w:jc w:val="center"/>
      </w:pPr>
      <w:r>
        <w:rPr>
          <w:i/>
          <w:color w:val="4B5563"/>
          <w:sz w:val="20"/>
        </w:rPr>
        <w:t>Creating comparable controls with provider-native enforcement</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Compliance requires evidence that controls work, not identical product names. A control catalog should map intent to provider implementation, tests, evidence, exceptions and retention.</w:t>
            </w:r>
          </w:p>
        </w:tc>
      </w:tr>
    </w:tbl>
    <w:p>
      <w:pPr>
        <w:spacing w:after="0"/>
      </w:pPr>
    </w:p>
    <w:p>
      <w:pPr>
        <w:pStyle w:val="Heading2"/>
        <w:keepNext/>
      </w:pPr>
      <w:r>
        <w:t>Learning Objectives</w:t>
      </w:r>
    </w:p>
    <w:p>
      <w:pPr>
        <w:pStyle w:val="ListBullet"/>
      </w:pPr>
      <w:r>
        <w:t>Explain the architecture, responsibility boundaries and major trade-offs of control catalog and provider mappings.</w:t>
      </w:r>
    </w:p>
    <w:p>
      <w:pPr>
        <w:pStyle w:val="ListBullet"/>
      </w:pPr>
      <w:r>
        <w:t>Design policy as code and preventive guardrails for enterprise scale, least privilege and bounded failure.</w:t>
      </w:r>
    </w:p>
    <w:p>
      <w:pPr>
        <w:pStyle w:val="ListBullet"/>
      </w:pPr>
      <w:r>
        <w:t>Implement continuous evidence collection and retention through version-controlled automation and policy checks.</w:t>
      </w:r>
    </w:p>
    <w:p>
      <w:pPr>
        <w:pStyle w:val="ListBullet"/>
      </w:pPr>
      <w:r>
        <w:t>Troubleshoot exceptions, compensating controls and audit response using provider-native telemetry and repeatable evidence.</w:t>
      </w:r>
    </w:p>
    <w:p>
      <w:pPr>
        <w:pStyle w:val="ListBullet"/>
      </w:pPr>
      <w:r>
        <w:t>Deliver a sanitized portfolio artifact for build a cross-cloud control and evidence catalog.</w:t>
      </w:r>
    </w:p>
    <w:p>
      <w:pPr>
        <w:pStyle w:val="Heading2"/>
        <w:keepNext/>
      </w:pPr>
      <w:r>
        <w:t>Core Concepts</w:t>
      </w:r>
    </w:p>
    <w:p>
      <w:pPr>
        <w:pStyle w:val="Heading3"/>
        <w:keepNext/>
      </w:pPr>
      <w:r>
        <w:t>Control catalog and provider mappings</w:t>
      </w:r>
    </w:p>
    <w:p>
      <w:pPr>
        <w:keepNext w:val="0"/>
      </w:pPr>
      <w:r>
        <w:t>Control catalog and provider mappings is a design boundary, not merely a console feature. In Cross-Cloud Policy, Compliance and Audit Evidence, the team must document ownership, trust assumptions, dependency direction, failure impact and the evidence used to prove the control. The recommended implementation uses SCPs / Config / Security Hub standards, Policy initiatives / Defender regulatory compliance, Organization Policy / SCC compliance, OPA / Sentinel / tests only where they satisfy an explicit requirement; equivalent services are not automatically interchangeable.</w:t>
      </w:r>
    </w:p>
    <w:p>
      <w:pPr>
        <w:pStyle w:val="Heading3"/>
        <w:keepNext/>
      </w:pPr>
      <w:r>
        <w:t>Policy as code and preventive guardrails</w:t>
      </w:r>
    </w:p>
    <w:p>
      <w:pPr>
        <w:keepNext w:val="0"/>
      </w:pPr>
      <w:r>
        <w:t>A production implementation of Policy as code and preventive guardrails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Continuous evidence collection and retention</w:t>
      </w:r>
    </w:p>
    <w:p>
      <w:pPr>
        <w:keepNext w:val="0"/>
      </w:pPr>
      <w:r>
        <w:t>For Continuous evidence collection and retention,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Exceptions, compensating controls and audit response</w:t>
      </w:r>
    </w:p>
    <w:p>
      <w:pPr>
        <w:keepNext w:val="0"/>
      </w:pPr>
      <w:r>
        <w:t>The strongest validation for Exceptions, compensating controls and audit response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AWS</w:t>
            </w:r>
          </w:p>
        </w:tc>
        <w:tc>
          <w:tcPr>
            <w:tcW w:type="dxa" w:w="2952"/>
            <w:tcMar>
              <w:top w:w="65" w:type="dxa"/>
              <w:start w:w="85" w:type="dxa"/>
              <w:bottom w:w="65" w:type="dxa"/>
              <w:end w:w="85" w:type="dxa"/>
            </w:tcMar>
            <w:vAlign w:val="top"/>
          </w:tcPr>
          <w:p>
            <w:r>
              <w:rPr>
                <w:sz w:val="14"/>
              </w:rPr>
              <w:t>SCPs / Config / Security Hub standards</w:t>
            </w:r>
          </w:p>
        </w:tc>
        <w:tc>
          <w:tcPr>
            <w:tcW w:type="dxa" w:w="4824"/>
            <w:tcMar>
              <w:top w:w="65" w:type="dxa"/>
              <w:start w:w="85" w:type="dxa"/>
              <w:bottom w:w="65" w:type="dxa"/>
              <w:end w:w="85" w:type="dxa"/>
            </w:tcMar>
            <w:vAlign w:val="top"/>
          </w:tcPr>
          <w:p>
            <w:r>
              <w:rPr>
                <w:sz w:val="14"/>
              </w:rPr>
              <w:t>Implement and evidence AWS controls.</w:t>
            </w:r>
          </w:p>
        </w:tc>
      </w:tr>
      <w:tr>
        <w:trPr>
          <w:cantSplit/>
        </w:trPr>
        <w:tc>
          <w:tcPr>
            <w:tcW w:type="dxa" w:w="2232"/>
            <w:tcMar>
              <w:top w:w="65" w:type="dxa"/>
              <w:start w:w="85" w:type="dxa"/>
              <w:bottom w:w="65" w:type="dxa"/>
              <w:end w:w="85" w:type="dxa"/>
            </w:tcMar>
            <w:vAlign w:val="top"/>
          </w:tcPr>
          <w:p>
            <w:r>
              <w:rPr>
                <w:sz w:val="14"/>
              </w:rPr>
              <w:t>Azure</w:t>
            </w:r>
          </w:p>
        </w:tc>
        <w:tc>
          <w:tcPr>
            <w:tcW w:type="dxa" w:w="2952"/>
            <w:tcMar>
              <w:top w:w="65" w:type="dxa"/>
              <w:start w:w="85" w:type="dxa"/>
              <w:bottom w:w="65" w:type="dxa"/>
              <w:end w:w="85" w:type="dxa"/>
            </w:tcMar>
            <w:vAlign w:val="top"/>
          </w:tcPr>
          <w:p>
            <w:r>
              <w:rPr>
                <w:sz w:val="14"/>
              </w:rPr>
              <w:t>Policy initiatives / Defender regulatory compliance</w:t>
            </w:r>
          </w:p>
        </w:tc>
        <w:tc>
          <w:tcPr>
            <w:tcW w:type="dxa" w:w="4824"/>
            <w:tcMar>
              <w:top w:w="65" w:type="dxa"/>
              <w:start w:w="85" w:type="dxa"/>
              <w:bottom w:w="65" w:type="dxa"/>
              <w:end w:w="85" w:type="dxa"/>
            </w:tcMar>
            <w:vAlign w:val="top"/>
          </w:tcPr>
          <w:p>
            <w:r>
              <w:rPr>
                <w:sz w:val="14"/>
              </w:rPr>
              <w:t>Implement and evidence Azure controls.</w:t>
            </w:r>
          </w:p>
        </w:tc>
      </w:tr>
      <w:tr>
        <w:trPr>
          <w:cantSplit/>
        </w:trPr>
        <w:tc>
          <w:tcPr>
            <w:tcW w:type="dxa" w:w="2232"/>
            <w:tcMar>
              <w:top w:w="65" w:type="dxa"/>
              <w:start w:w="85" w:type="dxa"/>
              <w:bottom w:w="65" w:type="dxa"/>
              <w:end w:w="85" w:type="dxa"/>
            </w:tcMar>
            <w:vAlign w:val="top"/>
          </w:tcPr>
          <w:p>
            <w:r>
              <w:rPr>
                <w:sz w:val="14"/>
              </w:rPr>
              <w:t>Google Cloud</w:t>
            </w:r>
          </w:p>
        </w:tc>
        <w:tc>
          <w:tcPr>
            <w:tcW w:type="dxa" w:w="2952"/>
            <w:tcMar>
              <w:top w:w="65" w:type="dxa"/>
              <w:start w:w="85" w:type="dxa"/>
              <w:bottom w:w="65" w:type="dxa"/>
              <w:end w:w="85" w:type="dxa"/>
            </w:tcMar>
            <w:vAlign w:val="top"/>
          </w:tcPr>
          <w:p>
            <w:r>
              <w:rPr>
                <w:sz w:val="14"/>
              </w:rPr>
              <w:t>Organization Policy / SCC compliance</w:t>
            </w:r>
          </w:p>
        </w:tc>
        <w:tc>
          <w:tcPr>
            <w:tcW w:type="dxa" w:w="4824"/>
            <w:tcMar>
              <w:top w:w="65" w:type="dxa"/>
              <w:start w:w="85" w:type="dxa"/>
              <w:bottom w:w="65" w:type="dxa"/>
              <w:end w:w="85" w:type="dxa"/>
            </w:tcMar>
            <w:vAlign w:val="top"/>
          </w:tcPr>
          <w:p>
            <w:r>
              <w:rPr>
                <w:sz w:val="14"/>
              </w:rPr>
              <w:t>Implement and evidence Google Cloud controls.</w:t>
            </w:r>
          </w:p>
        </w:tc>
      </w:tr>
      <w:tr>
        <w:trPr>
          <w:cantSplit/>
        </w:trPr>
        <w:tc>
          <w:tcPr>
            <w:tcW w:type="dxa" w:w="2232"/>
            <w:tcMar>
              <w:top w:w="65" w:type="dxa"/>
              <w:start w:w="85" w:type="dxa"/>
              <w:bottom w:w="65" w:type="dxa"/>
              <w:end w:w="85" w:type="dxa"/>
            </w:tcMar>
            <w:vAlign w:val="top"/>
          </w:tcPr>
          <w:p>
            <w:r>
              <w:rPr>
                <w:sz w:val="14"/>
              </w:rPr>
              <w:t>IaC</w:t>
            </w:r>
          </w:p>
        </w:tc>
        <w:tc>
          <w:tcPr>
            <w:tcW w:type="dxa" w:w="2952"/>
            <w:tcMar>
              <w:top w:w="65" w:type="dxa"/>
              <w:start w:w="85" w:type="dxa"/>
              <w:bottom w:w="65" w:type="dxa"/>
              <w:end w:w="85" w:type="dxa"/>
            </w:tcMar>
            <w:vAlign w:val="top"/>
          </w:tcPr>
          <w:p>
            <w:r>
              <w:rPr>
                <w:sz w:val="14"/>
              </w:rPr>
              <w:t>OPA / Sentinel / tests</w:t>
            </w:r>
          </w:p>
        </w:tc>
        <w:tc>
          <w:tcPr>
            <w:tcW w:type="dxa" w:w="4824"/>
            <w:tcMar>
              <w:top w:w="65" w:type="dxa"/>
              <w:start w:w="85" w:type="dxa"/>
              <w:bottom w:w="65" w:type="dxa"/>
              <w:end w:w="85" w:type="dxa"/>
            </w:tcMar>
            <w:vAlign w:val="top"/>
          </w:tcPr>
          <w:p>
            <w:r>
              <w:rPr>
                <w:sz w:val="14"/>
              </w:rPr>
              <w:t>Evaluate plans before deployment.</w:t>
            </w:r>
          </w:p>
        </w:tc>
      </w:tr>
      <w:tr>
        <w:trPr>
          <w:cantSplit/>
        </w:trPr>
        <w:tc>
          <w:tcPr>
            <w:tcW w:type="dxa" w:w="2232"/>
            <w:tcMar>
              <w:top w:w="65" w:type="dxa"/>
              <w:start w:w="85" w:type="dxa"/>
              <w:bottom w:w="65" w:type="dxa"/>
              <w:end w:w="85" w:type="dxa"/>
            </w:tcMar>
            <w:vAlign w:val="top"/>
          </w:tcPr>
          <w:p>
            <w:r>
              <w:rPr>
                <w:sz w:val="14"/>
              </w:rPr>
              <w:t>Evidence</w:t>
            </w:r>
          </w:p>
        </w:tc>
        <w:tc>
          <w:tcPr>
            <w:tcW w:type="dxa" w:w="2952"/>
            <w:tcMar>
              <w:top w:w="65" w:type="dxa"/>
              <w:start w:w="85" w:type="dxa"/>
              <w:bottom w:w="65" w:type="dxa"/>
              <w:end w:w="85" w:type="dxa"/>
            </w:tcMar>
            <w:vAlign w:val="top"/>
          </w:tcPr>
          <w:p>
            <w:r>
              <w:rPr>
                <w:sz w:val="14"/>
              </w:rPr>
              <w:t>Central evidence store</w:t>
            </w:r>
          </w:p>
        </w:tc>
        <w:tc>
          <w:tcPr>
            <w:tcW w:type="dxa" w:w="4824"/>
            <w:tcMar>
              <w:top w:w="65" w:type="dxa"/>
              <w:start w:w="85" w:type="dxa"/>
              <w:bottom w:w="65" w:type="dxa"/>
              <w:end w:w="85" w:type="dxa"/>
            </w:tcMar>
            <w:vAlign w:val="top"/>
          </w:tcPr>
          <w:p>
            <w:r>
              <w:rPr>
                <w:sz w:val="14"/>
              </w:rPr>
              <w:t>Retain configuration, logs and test results.</w:t>
            </w:r>
          </w:p>
        </w:tc>
      </w:tr>
      <w:tr>
        <w:trPr>
          <w:cantSplit/>
        </w:trPr>
        <w:tc>
          <w:tcPr>
            <w:tcW w:type="dxa" w:w="2232"/>
            <w:tcMar>
              <w:top w:w="65" w:type="dxa"/>
              <w:start w:w="85" w:type="dxa"/>
              <w:bottom w:w="65" w:type="dxa"/>
              <w:end w:w="85" w:type="dxa"/>
            </w:tcMar>
            <w:vAlign w:val="top"/>
          </w:tcPr>
          <w:p>
            <w:r>
              <w:rPr>
                <w:sz w:val="14"/>
              </w:rPr>
              <w:t>Exceptions</w:t>
            </w:r>
          </w:p>
        </w:tc>
        <w:tc>
          <w:tcPr>
            <w:tcW w:type="dxa" w:w="2952"/>
            <w:tcMar>
              <w:top w:w="65" w:type="dxa"/>
              <w:start w:w="85" w:type="dxa"/>
              <w:bottom w:w="65" w:type="dxa"/>
              <w:end w:w="85" w:type="dxa"/>
            </w:tcMar>
            <w:vAlign w:val="top"/>
          </w:tcPr>
          <w:p>
            <w:r>
              <w:rPr>
                <w:sz w:val="14"/>
              </w:rPr>
              <w:t>Risk acceptance workflow</w:t>
            </w:r>
          </w:p>
        </w:tc>
        <w:tc>
          <w:tcPr>
            <w:tcW w:type="dxa" w:w="4824"/>
            <w:tcMar>
              <w:top w:w="65" w:type="dxa"/>
              <w:start w:w="85" w:type="dxa"/>
              <w:bottom w:w="65" w:type="dxa"/>
              <w:end w:w="85" w:type="dxa"/>
            </w:tcMar>
            <w:vAlign w:val="top"/>
          </w:tcPr>
          <w:p>
            <w:r>
              <w:rPr>
                <w:sz w:val="14"/>
              </w:rPr>
              <w:t>Track owner, expiry and compensating controls.</w:t>
            </w:r>
          </w:p>
        </w:tc>
      </w:tr>
    </w:tbl>
    <w:p>
      <w:pPr>
        <w:pStyle w:val="Heading2"/>
        <w:keepNext/>
      </w:pPr>
      <w:r>
        <w:t>Architecture and Operating Decisions</w:t>
      </w:r>
    </w:p>
    <w:p>
      <w:pPr>
        <w:pStyle w:val="ListBullet"/>
      </w:pPr>
      <w:r>
        <w:t>Use Multi-Cloud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continuous evidence collection and retention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control:</w:t>
              <w:br/>
              <w:t xml:space="preserve">  id: CLD-ENC-001</w:t>
              <w:br/>
              <w:t xml:space="preserve">  intent: encrypt_sensitive_data_at_rest</w:t>
              <w:br/>
              <w:t xml:space="preserve">  aws: kms_plus_config_rule</w:t>
              <w:br/>
              <w:t xml:space="preserve">  azure: encryption_plus_policy</w:t>
              <w:br/>
              <w:t xml:space="preserve">  gcp: cmeK_plus_org_policy_where_required</w:t>
              <w:br/>
              <w:t xml:space="preserve">  test: create_noncompliant_resource_expect_denial_or_finding</w:t>
              <w:br/>
              <w:t xml:space="preserve">  evidence: policy_result_plus_resource_state</w:t>
              <w:br/>
              <w:t xml:space="preserve">  exception: owner_expiry_compensating_control</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cross-cloud policy, compliance and audit evidence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54: Build a Cross-Cloud Control and Evidence Catalog</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cross-cloud policy, compliance and audit evidence using fictional enterprise requirements.</w:t>
      </w:r>
    </w:p>
    <w:p>
      <w:pPr>
        <w:ind w:left="360" w:hanging="360"/>
      </w:pPr>
      <w:r>
        <w:rPr>
          <w:b/>
        </w:rPr>
        <w:t xml:space="preserve">2. </w:t>
      </w:r>
      <w:r>
        <w:t>Implement the smallest safe sandbox using SCPs / Config / Security Hub standards, Policy initiatives / Defender regulatory compliance, Organization Policy / SCC compliance;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Cross-Cloud Policy, Compliance and Audit Evidence?</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Multi-Cloud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Control catalog and provider mappings defines a key architecture boundary.</w:t>
      </w:r>
    </w:p>
    <w:p>
      <w:pPr>
        <w:pStyle w:val="ListBullet"/>
      </w:pPr>
      <w:r>
        <w:t>Policy as code and preventive guardrails must be automated and least-privileged.</w:t>
      </w:r>
    </w:p>
    <w:p>
      <w:pPr>
        <w:pStyle w:val="ListBullet"/>
      </w:pPr>
      <w:r>
        <w:t>Continuous evidence collection and retention requires policy, telemetry and recovery evidence.</w:t>
      </w:r>
    </w:p>
    <w:p>
      <w:pPr>
        <w:pStyle w:val="ListBullet"/>
      </w:pPr>
      <w:r>
        <w:t>Exceptions, compensating controls and audit response should be tested before production and after material change.</w:t>
      </w:r>
    </w:p>
    <w:p>
      <w:r>
        <w:br w:type="page"/>
      </w:r>
    </w:p>
    <w:p>
      <w:pPr>
        <w:jc w:val="center"/>
      </w:pPr>
      <w:r>
        <w:rPr>
          <w:b/>
          <w:color w:val="14919B"/>
          <w:sz w:val="17"/>
        </w:rPr>
        <w:t>VOLUME 12E  |  CHAPTER 55</w:t>
      </w:r>
    </w:p>
    <w:p>
      <w:pPr>
        <w:pStyle w:val="Heading1"/>
        <w:jc w:val="center"/>
      </w:pPr>
      <w:r>
        <w:t>Chapter 55: Hybrid and Multi-Cloud Operations Capstone</w:t>
      </w:r>
    </w:p>
    <w:p>
      <w:pPr>
        <w:jc w:val="center"/>
      </w:pPr>
      <w:r>
        <w:rPr>
          <w:i/>
          <w:color w:val="4B5563"/>
          <w:sz w:val="20"/>
        </w:rPr>
        <w:t>Migrating and operating a business service across provider boundaries</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The capstone integrates identity, network, IaC, delivery, data, security, observability, FinOps and recovery into a defensible operating model.</w:t>
            </w:r>
          </w:p>
        </w:tc>
      </w:tr>
    </w:tbl>
    <w:p>
      <w:pPr>
        <w:spacing w:after="0"/>
      </w:pPr>
    </w:p>
    <w:p>
      <w:pPr>
        <w:pStyle w:val="Heading2"/>
        <w:keepNext/>
      </w:pPr>
      <w:r>
        <w:t>Learning Objectives</w:t>
      </w:r>
    </w:p>
    <w:p>
      <w:pPr>
        <w:pStyle w:val="ListBullet"/>
      </w:pPr>
      <w:r>
        <w:t>Explain the architecture, responsibility boundaries and major trade-offs of cloud foundation integration.</w:t>
      </w:r>
    </w:p>
    <w:p>
      <w:pPr>
        <w:pStyle w:val="ListBullet"/>
      </w:pPr>
      <w:r>
        <w:t>Design migration wave and data cutover for enterprise scale, least privilege and bounded failure.</w:t>
      </w:r>
    </w:p>
    <w:p>
      <w:pPr>
        <w:pStyle w:val="ListBullet"/>
      </w:pPr>
      <w:r>
        <w:t>Implement cross-cloud operations and security through version-controlled automation and policy checks.</w:t>
      </w:r>
    </w:p>
    <w:p>
      <w:pPr>
        <w:pStyle w:val="ListBullet"/>
      </w:pPr>
      <w:r>
        <w:t>Troubleshoot recovery, cost and lifecycle validation using provider-native telemetry and repeatable evidence.</w:t>
      </w:r>
    </w:p>
    <w:p>
      <w:pPr>
        <w:pStyle w:val="ListBullet"/>
      </w:pPr>
      <w:r>
        <w:t>Deliver a sanitized portfolio artifact for deliver the hybrid and multi-cloud operations capstone.</w:t>
      </w:r>
    </w:p>
    <w:p>
      <w:pPr>
        <w:pStyle w:val="Heading2"/>
        <w:keepNext/>
      </w:pPr>
      <w:r>
        <w:t>Core Concepts</w:t>
      </w:r>
    </w:p>
    <w:p>
      <w:pPr>
        <w:pStyle w:val="Heading3"/>
        <w:keepNext/>
      </w:pPr>
      <w:r>
        <w:t>Cloud foundation integration</w:t>
      </w:r>
    </w:p>
    <w:p>
      <w:pPr>
        <w:keepNext w:val="0"/>
      </w:pPr>
      <w:r>
        <w:t>Cloud foundation integration is a design boundary, not merely a console feature. In Hybrid and Multi-Cloud Operations Capstone, the team must document ownership, trust assumptions, dependency direction, failure impact and the evidence used to prove the control. The recommended implementation uses Federated humans and keyless workloads, Selective private connectivity, Provider modules and policy gates, Signed artifact promotion only where they satisfy an explicit requirement; equivalent services are not automatically interchangeable.</w:t>
      </w:r>
    </w:p>
    <w:p>
      <w:pPr>
        <w:pStyle w:val="Heading3"/>
        <w:keepNext/>
      </w:pPr>
      <w:r>
        <w:t>Migration wave and data cutover</w:t>
      </w:r>
    </w:p>
    <w:p>
      <w:pPr>
        <w:keepNext w:val="0"/>
      </w:pPr>
      <w:r>
        <w:t>A production implementation of Migration wave and data cutover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Cross-cloud operations and security</w:t>
      </w:r>
    </w:p>
    <w:p>
      <w:pPr>
        <w:keepNext w:val="0"/>
      </w:pPr>
      <w:r>
        <w:t>For Cross-cloud operations and security,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Recovery, cost and lifecycle validation</w:t>
      </w:r>
    </w:p>
    <w:p>
      <w:pPr>
        <w:keepNext w:val="0"/>
      </w:pPr>
      <w:r>
        <w:t>The strongest validation for Recovery, cost and lifecycle validation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Identity</w:t>
            </w:r>
          </w:p>
        </w:tc>
        <w:tc>
          <w:tcPr>
            <w:tcW w:type="dxa" w:w="2952"/>
            <w:tcMar>
              <w:top w:w="65" w:type="dxa"/>
              <w:start w:w="85" w:type="dxa"/>
              <w:bottom w:w="65" w:type="dxa"/>
              <w:end w:w="85" w:type="dxa"/>
            </w:tcMar>
            <w:vAlign w:val="top"/>
          </w:tcPr>
          <w:p>
            <w:r>
              <w:rPr>
                <w:sz w:val="14"/>
              </w:rPr>
              <w:t>Federated humans and keyless workloads</w:t>
            </w:r>
          </w:p>
        </w:tc>
        <w:tc>
          <w:tcPr>
            <w:tcW w:type="dxa" w:w="4824"/>
            <w:tcMar>
              <w:top w:w="65" w:type="dxa"/>
              <w:start w:w="85" w:type="dxa"/>
              <w:bottom w:w="65" w:type="dxa"/>
              <w:end w:w="85" w:type="dxa"/>
            </w:tcMar>
            <w:vAlign w:val="top"/>
          </w:tcPr>
          <w:p>
            <w:r>
              <w:rPr>
                <w:sz w:val="14"/>
              </w:rPr>
              <w:t>Provide controlled access across providers.</w:t>
            </w:r>
          </w:p>
        </w:tc>
      </w:tr>
      <w:tr>
        <w:trPr>
          <w:cantSplit/>
        </w:trPr>
        <w:tc>
          <w:tcPr>
            <w:tcW w:type="dxa" w:w="2232"/>
            <w:tcMar>
              <w:top w:w="65" w:type="dxa"/>
              <w:start w:w="85" w:type="dxa"/>
              <w:bottom w:w="65" w:type="dxa"/>
              <w:end w:w="85" w:type="dxa"/>
            </w:tcMar>
            <w:vAlign w:val="top"/>
          </w:tcPr>
          <w:p>
            <w:r>
              <w:rPr>
                <w:sz w:val="14"/>
              </w:rPr>
              <w:t>Network</w:t>
            </w:r>
          </w:p>
        </w:tc>
        <w:tc>
          <w:tcPr>
            <w:tcW w:type="dxa" w:w="2952"/>
            <w:tcMar>
              <w:top w:w="65" w:type="dxa"/>
              <w:start w:w="85" w:type="dxa"/>
              <w:bottom w:w="65" w:type="dxa"/>
              <w:end w:w="85" w:type="dxa"/>
            </w:tcMar>
            <w:vAlign w:val="top"/>
          </w:tcPr>
          <w:p>
            <w:r>
              <w:rPr>
                <w:sz w:val="14"/>
              </w:rPr>
              <w:t>Selective private connectivity</w:t>
            </w:r>
          </w:p>
        </w:tc>
        <w:tc>
          <w:tcPr>
            <w:tcW w:type="dxa" w:w="4824"/>
            <w:tcMar>
              <w:top w:w="65" w:type="dxa"/>
              <w:start w:w="85" w:type="dxa"/>
              <w:bottom w:w="65" w:type="dxa"/>
              <w:end w:w="85" w:type="dxa"/>
            </w:tcMar>
            <w:vAlign w:val="top"/>
          </w:tcPr>
          <w:p>
            <w:r>
              <w:rPr>
                <w:sz w:val="14"/>
              </w:rPr>
              <w:t>Connect only approved dependencies.</w:t>
            </w:r>
          </w:p>
        </w:tc>
      </w:tr>
      <w:tr>
        <w:trPr>
          <w:cantSplit/>
        </w:trPr>
        <w:tc>
          <w:tcPr>
            <w:tcW w:type="dxa" w:w="2232"/>
            <w:tcMar>
              <w:top w:w="65" w:type="dxa"/>
              <w:start w:w="85" w:type="dxa"/>
              <w:bottom w:w="65" w:type="dxa"/>
              <w:end w:w="85" w:type="dxa"/>
            </w:tcMar>
            <w:vAlign w:val="top"/>
          </w:tcPr>
          <w:p>
            <w:r>
              <w:rPr>
                <w:sz w:val="14"/>
              </w:rPr>
              <w:t>IaC</w:t>
            </w:r>
          </w:p>
        </w:tc>
        <w:tc>
          <w:tcPr>
            <w:tcW w:type="dxa" w:w="2952"/>
            <w:tcMar>
              <w:top w:w="65" w:type="dxa"/>
              <w:start w:w="85" w:type="dxa"/>
              <w:bottom w:w="65" w:type="dxa"/>
              <w:end w:w="85" w:type="dxa"/>
            </w:tcMar>
            <w:vAlign w:val="top"/>
          </w:tcPr>
          <w:p>
            <w:r>
              <w:rPr>
                <w:sz w:val="14"/>
              </w:rPr>
              <w:t>Provider modules and policy gates</w:t>
            </w:r>
          </w:p>
        </w:tc>
        <w:tc>
          <w:tcPr>
            <w:tcW w:type="dxa" w:w="4824"/>
            <w:tcMar>
              <w:top w:w="65" w:type="dxa"/>
              <w:start w:w="85" w:type="dxa"/>
              <w:bottom w:w="65" w:type="dxa"/>
              <w:end w:w="85" w:type="dxa"/>
            </w:tcMar>
            <w:vAlign w:val="top"/>
          </w:tcPr>
          <w:p>
            <w:r>
              <w:rPr>
                <w:sz w:val="14"/>
              </w:rPr>
              <w:t>Provision reproducibly.</w:t>
            </w:r>
          </w:p>
        </w:tc>
      </w:tr>
      <w:tr>
        <w:trPr>
          <w:cantSplit/>
        </w:trPr>
        <w:tc>
          <w:tcPr>
            <w:tcW w:type="dxa" w:w="2232"/>
            <w:tcMar>
              <w:top w:w="65" w:type="dxa"/>
              <w:start w:w="85" w:type="dxa"/>
              <w:bottom w:w="65" w:type="dxa"/>
              <w:end w:w="85" w:type="dxa"/>
            </w:tcMar>
            <w:vAlign w:val="top"/>
          </w:tcPr>
          <w:p>
            <w:r>
              <w:rPr>
                <w:sz w:val="14"/>
              </w:rPr>
              <w:t>Delivery</w:t>
            </w:r>
          </w:p>
        </w:tc>
        <w:tc>
          <w:tcPr>
            <w:tcW w:type="dxa" w:w="2952"/>
            <w:tcMar>
              <w:top w:w="65" w:type="dxa"/>
              <w:start w:w="85" w:type="dxa"/>
              <w:bottom w:w="65" w:type="dxa"/>
              <w:end w:w="85" w:type="dxa"/>
            </w:tcMar>
            <w:vAlign w:val="top"/>
          </w:tcPr>
          <w:p>
            <w:r>
              <w:rPr>
                <w:sz w:val="14"/>
              </w:rPr>
              <w:t>Signed artifact promotion</w:t>
            </w:r>
          </w:p>
        </w:tc>
        <w:tc>
          <w:tcPr>
            <w:tcW w:type="dxa" w:w="4824"/>
            <w:tcMar>
              <w:top w:w="65" w:type="dxa"/>
              <w:start w:w="85" w:type="dxa"/>
              <w:bottom w:w="65" w:type="dxa"/>
              <w:end w:w="85" w:type="dxa"/>
            </w:tcMar>
            <w:vAlign w:val="top"/>
          </w:tcPr>
          <w:p>
            <w:r>
              <w:rPr>
                <w:sz w:val="14"/>
              </w:rPr>
              <w:t>Deploy without rebuilding.</w:t>
            </w:r>
          </w:p>
        </w:tc>
      </w:tr>
      <w:tr>
        <w:trPr>
          <w:cantSplit/>
        </w:trPr>
        <w:tc>
          <w:tcPr>
            <w:tcW w:type="dxa" w:w="2232"/>
            <w:tcMar>
              <w:top w:w="65" w:type="dxa"/>
              <w:start w:w="85" w:type="dxa"/>
              <w:bottom w:w="65" w:type="dxa"/>
              <w:end w:w="85" w:type="dxa"/>
            </w:tcMar>
            <w:vAlign w:val="top"/>
          </w:tcPr>
          <w:p>
            <w:r>
              <w:rPr>
                <w:sz w:val="14"/>
              </w:rPr>
              <w:t>Operations</w:t>
            </w:r>
          </w:p>
        </w:tc>
        <w:tc>
          <w:tcPr>
            <w:tcW w:type="dxa" w:w="2952"/>
            <w:tcMar>
              <w:top w:w="65" w:type="dxa"/>
              <w:start w:w="85" w:type="dxa"/>
              <w:bottom w:w="65" w:type="dxa"/>
              <w:end w:w="85" w:type="dxa"/>
            </w:tcMar>
            <w:vAlign w:val="top"/>
          </w:tcPr>
          <w:p>
            <w:r>
              <w:rPr>
                <w:sz w:val="14"/>
              </w:rPr>
              <w:t>Common telemetry and incident process</w:t>
            </w:r>
          </w:p>
        </w:tc>
        <w:tc>
          <w:tcPr>
            <w:tcW w:type="dxa" w:w="4824"/>
            <w:tcMar>
              <w:top w:w="65" w:type="dxa"/>
              <w:start w:w="85" w:type="dxa"/>
              <w:bottom w:w="65" w:type="dxa"/>
              <w:end w:w="85" w:type="dxa"/>
            </w:tcMar>
            <w:vAlign w:val="top"/>
          </w:tcPr>
          <w:p>
            <w:r>
              <w:rPr>
                <w:sz w:val="14"/>
              </w:rPr>
              <w:t>Investigate end-to-end behavior.</w:t>
            </w:r>
          </w:p>
        </w:tc>
      </w:tr>
      <w:tr>
        <w:trPr>
          <w:cantSplit/>
        </w:trPr>
        <w:tc>
          <w:tcPr>
            <w:tcW w:type="dxa" w:w="2232"/>
            <w:tcMar>
              <w:top w:w="65" w:type="dxa"/>
              <w:start w:w="85" w:type="dxa"/>
              <w:bottom w:w="65" w:type="dxa"/>
              <w:end w:w="85" w:type="dxa"/>
            </w:tcMar>
            <w:vAlign w:val="top"/>
          </w:tcPr>
          <w:p>
            <w:r>
              <w:rPr>
                <w:sz w:val="14"/>
              </w:rPr>
              <w:t>FinOps</w:t>
            </w:r>
          </w:p>
        </w:tc>
        <w:tc>
          <w:tcPr>
            <w:tcW w:type="dxa" w:w="2952"/>
            <w:tcMar>
              <w:top w:w="65" w:type="dxa"/>
              <w:start w:w="85" w:type="dxa"/>
              <w:bottom w:w="65" w:type="dxa"/>
              <w:end w:w="85" w:type="dxa"/>
            </w:tcMar>
            <w:vAlign w:val="top"/>
          </w:tcPr>
          <w:p>
            <w:r>
              <w:rPr>
                <w:sz w:val="14"/>
              </w:rPr>
              <w:t>Normalized allocation and unit metrics</w:t>
            </w:r>
          </w:p>
        </w:tc>
        <w:tc>
          <w:tcPr>
            <w:tcW w:type="dxa" w:w="4824"/>
            <w:tcMar>
              <w:top w:w="65" w:type="dxa"/>
              <w:start w:w="85" w:type="dxa"/>
              <w:bottom w:w="65" w:type="dxa"/>
              <w:end w:w="85" w:type="dxa"/>
            </w:tcMar>
            <w:vAlign w:val="top"/>
          </w:tcPr>
          <w:p>
            <w:r>
              <w:rPr>
                <w:sz w:val="14"/>
              </w:rPr>
              <w:t>Measure value and control spend.</w:t>
            </w:r>
          </w:p>
        </w:tc>
      </w:tr>
    </w:tbl>
    <w:p>
      <w:pPr>
        <w:pStyle w:val="Heading2"/>
        <w:keepNext/>
      </w:pPr>
      <w:r>
        <w:t>Architecture and Operating Decisions</w:t>
      </w:r>
    </w:p>
    <w:p>
      <w:pPr>
        <w:pStyle w:val="ListBullet"/>
      </w:pPr>
      <w:r>
        <w:t>Use Multi-Cloud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cross-cloud operations and security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acceptance:</w:t>
              <w:br/>
              <w:t xml:space="preserve">  providers: [aws, azure, gcp]</w:t>
              <w:br/>
              <w:t xml:space="preserve">  long_lived_ci_keys: 0</w:t>
              <w:br/>
              <w:t xml:space="preserve">  approved_network_flows_only: true</w:t>
              <w:br/>
              <w:t xml:space="preserve">  artifact_rebuilt_per_environment: false</w:t>
              <w:br/>
              <w:t xml:space="preserve">  migration_reconciliation_passed: true</w:t>
              <w:br/>
              <w:t xml:space="preserve">  cross_cloud_incident_drill: passed</w:t>
              <w:br/>
              <w:t xml:space="preserve">  rto_rpo: measured</w:t>
              <w:br/>
              <w:t xml:space="preserve">  allocation_coverage_percent: 100</w:t>
              <w:br/>
              <w:t xml:space="preserve">  teardown: verified</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hybrid and multi-cloud operations capstone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55: Deliver the Hybrid and Multi-Cloud Operations Capstone</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hybrid and multi-cloud operations capstone using fictional enterprise requirements.</w:t>
      </w:r>
    </w:p>
    <w:p>
      <w:pPr>
        <w:ind w:left="360" w:hanging="360"/>
      </w:pPr>
      <w:r>
        <w:rPr>
          <w:b/>
        </w:rPr>
        <w:t xml:space="preserve">2. </w:t>
      </w:r>
      <w:r>
        <w:t>Implement the smallest safe sandbox using Federated humans and keyless workloads, Selective private connectivity, Provider modules and policy gates;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Hybrid and Multi-Cloud Operations Capstone?</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Multi-Cloud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Cloud foundation integration defines a key architecture boundary.</w:t>
      </w:r>
    </w:p>
    <w:p>
      <w:pPr>
        <w:pStyle w:val="ListBullet"/>
      </w:pPr>
      <w:r>
        <w:t>Migration wave and data cutover must be automated and least-privileged.</w:t>
      </w:r>
    </w:p>
    <w:p>
      <w:pPr>
        <w:pStyle w:val="ListBullet"/>
      </w:pPr>
      <w:r>
        <w:t>Cross-cloud operations and security requires policy, telemetry and recovery evidence.</w:t>
      </w:r>
    </w:p>
    <w:p>
      <w:pPr>
        <w:pStyle w:val="ListBullet"/>
      </w:pPr>
      <w:r>
        <w:t>Recovery, cost and lifecycle validation should be tested before production and after material change.</w:t>
      </w:r>
    </w:p>
    <w:p>
      <w:r>
        <w:br w:type="page"/>
      </w:r>
    </w:p>
    <w:p>
      <w:pPr>
        <w:pStyle w:val="Heading1"/>
        <w:keepNext w:val="0"/>
      </w:pPr>
      <w:r>
        <w:t>Hybrid and Multi-Cloud Operations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Use this reference to review architecture outcomes, implementation controls and the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176B87"/>
            <w:tcMar>
              <w:top w:w="65" w:type="dxa"/>
              <w:start w:w="85" w:type="dxa"/>
              <w:bottom w:w="65" w:type="dxa"/>
              <w:end w:w="85" w:type="dxa"/>
            </w:tcMar>
            <w:vAlign w:val="center"/>
          </w:tcPr>
          <w:p>
            <w:r>
              <w:rPr>
                <w:b/>
                <w:color w:val="FFFFFF"/>
                <w:sz w:val="14"/>
              </w:rPr>
              <w:t>Domain</w:t>
            </w:r>
          </w:p>
        </w:tc>
        <w:tc>
          <w:tcPr>
            <w:tcW w:type="dxa" w:w="4104"/>
            <w:shd w:fill="176B87"/>
            <w:tcMar>
              <w:top w:w="65" w:type="dxa"/>
              <w:start w:w="85" w:type="dxa"/>
              <w:bottom w:w="65" w:type="dxa"/>
              <w:end w:w="85" w:type="dxa"/>
            </w:tcMar>
            <w:vAlign w:val="center"/>
          </w:tcPr>
          <w:p>
            <w:r>
              <w:rPr>
                <w:b/>
                <w:color w:val="FFFFFF"/>
                <w:sz w:val="14"/>
              </w:rPr>
              <w:t>Required outcome</w:t>
            </w:r>
          </w:p>
        </w:tc>
        <w:tc>
          <w:tcPr>
            <w:tcW w:type="dxa" w:w="4464"/>
            <w:shd w:fill="176B87"/>
            <w:tcMar>
              <w:top w:w="65" w:type="dxa"/>
              <w:start w:w="85" w:type="dxa"/>
              <w:bottom w:w="65" w:type="dxa"/>
              <w:end w:w="85" w:type="dxa"/>
            </w:tcMar>
            <w:vAlign w:val="center"/>
          </w:tcPr>
          <w:p>
            <w:r>
              <w:rPr>
                <w:b/>
                <w:color w:val="FFFFFF"/>
                <w:sz w:val="14"/>
              </w:rPr>
              <w:t>Validation evidence</w:t>
            </w:r>
          </w:p>
        </w:tc>
      </w:tr>
      <w:tr>
        <w:trPr>
          <w:cantSplit/>
        </w:trPr>
        <w:tc>
          <w:tcPr>
            <w:tcW w:type="dxa" w:w="1512"/>
            <w:tcMar>
              <w:top w:w="65" w:type="dxa"/>
              <w:start w:w="85" w:type="dxa"/>
              <w:bottom w:w="65" w:type="dxa"/>
              <w:end w:w="85" w:type="dxa"/>
            </w:tcMar>
            <w:vAlign w:val="top"/>
          </w:tcPr>
          <w:p>
            <w:r>
              <w:rPr>
                <w:sz w:val="14"/>
              </w:rPr>
              <w:t>Hierarchy and ownership</w:t>
            </w:r>
          </w:p>
        </w:tc>
        <w:tc>
          <w:tcPr>
            <w:tcW w:type="dxa" w:w="4104"/>
            <w:tcMar>
              <w:top w:w="65" w:type="dxa"/>
              <w:start w:w="85" w:type="dxa"/>
              <w:bottom w:w="65" w:type="dxa"/>
              <w:end w:w="85" w:type="dxa"/>
            </w:tcMar>
            <w:vAlign w:val="top"/>
          </w:tcPr>
          <w:p>
            <w:r>
              <w:rPr>
                <w:sz w:val="14"/>
              </w:rPr>
              <w:t>Durable resource boundaries with accountable owners</w:t>
            </w:r>
          </w:p>
        </w:tc>
        <w:tc>
          <w:tcPr>
            <w:tcW w:type="dxa" w:w="4464"/>
            <w:tcMar>
              <w:top w:w="65" w:type="dxa"/>
              <w:start w:w="85" w:type="dxa"/>
              <w:bottom w:w="65" w:type="dxa"/>
              <w:end w:w="85" w:type="dxa"/>
            </w:tcMar>
            <w:vAlign w:val="top"/>
          </w:tcPr>
          <w:p>
            <w:r>
              <w:rPr>
                <w:sz w:val="14"/>
              </w:rPr>
              <w:t>Inventory, effective policy and lifecycle tests</w:t>
            </w:r>
          </w:p>
        </w:tc>
      </w:tr>
      <w:tr>
        <w:trPr>
          <w:cantSplit/>
        </w:trPr>
        <w:tc>
          <w:tcPr>
            <w:tcW w:type="dxa" w:w="1512"/>
            <w:tcMar>
              <w:top w:w="65" w:type="dxa"/>
              <w:start w:w="85" w:type="dxa"/>
              <w:bottom w:w="65" w:type="dxa"/>
              <w:end w:w="85" w:type="dxa"/>
            </w:tcMar>
            <w:vAlign w:val="top"/>
          </w:tcPr>
          <w:p>
            <w:r>
              <w:rPr>
                <w:sz w:val="14"/>
              </w:rPr>
              <w:t>Identity</w:t>
            </w:r>
          </w:p>
        </w:tc>
        <w:tc>
          <w:tcPr>
            <w:tcW w:type="dxa" w:w="4104"/>
            <w:tcMar>
              <w:top w:w="65" w:type="dxa"/>
              <w:start w:w="85" w:type="dxa"/>
              <w:bottom w:w="65" w:type="dxa"/>
              <w:end w:w="85" w:type="dxa"/>
            </w:tcMar>
            <w:vAlign w:val="top"/>
          </w:tcPr>
          <w:p>
            <w:r>
              <w:rPr>
                <w:sz w:val="14"/>
              </w:rPr>
              <w:t>Federated humans and keyless workloads</w:t>
            </w:r>
          </w:p>
        </w:tc>
        <w:tc>
          <w:tcPr>
            <w:tcW w:type="dxa" w:w="4464"/>
            <w:tcMar>
              <w:top w:w="65" w:type="dxa"/>
              <w:start w:w="85" w:type="dxa"/>
              <w:bottom w:w="65" w:type="dxa"/>
              <w:end w:w="85" w:type="dxa"/>
            </w:tcMar>
            <w:vAlign w:val="top"/>
          </w:tcPr>
          <w:p>
            <w:r>
              <w:rPr>
                <w:sz w:val="14"/>
              </w:rPr>
              <w:t>Token, role, access-review and denied-action evidence</w:t>
            </w:r>
          </w:p>
        </w:tc>
      </w:tr>
      <w:tr>
        <w:trPr>
          <w:cantSplit/>
        </w:trPr>
        <w:tc>
          <w:tcPr>
            <w:tcW w:type="dxa" w:w="1512"/>
            <w:tcMar>
              <w:top w:w="65" w:type="dxa"/>
              <w:start w:w="85" w:type="dxa"/>
              <w:bottom w:w="65" w:type="dxa"/>
              <w:end w:w="85" w:type="dxa"/>
            </w:tcMar>
            <w:vAlign w:val="top"/>
          </w:tcPr>
          <w:p>
            <w:r>
              <w:rPr>
                <w:sz w:val="14"/>
              </w:rPr>
              <w:t>Network</w:t>
            </w:r>
          </w:p>
        </w:tc>
        <w:tc>
          <w:tcPr>
            <w:tcW w:type="dxa" w:w="4104"/>
            <w:tcMar>
              <w:top w:w="65" w:type="dxa"/>
              <w:start w:w="85" w:type="dxa"/>
              <w:bottom w:w="65" w:type="dxa"/>
              <w:end w:w="85" w:type="dxa"/>
            </w:tcMar>
            <w:vAlign w:val="top"/>
          </w:tcPr>
          <w:p>
            <w:r>
              <w:rPr>
                <w:sz w:val="14"/>
              </w:rPr>
              <w:t>Approved routes, DNS, private access and egress</w:t>
            </w:r>
          </w:p>
        </w:tc>
        <w:tc>
          <w:tcPr>
            <w:tcW w:type="dxa" w:w="4464"/>
            <w:tcMar>
              <w:top w:w="65" w:type="dxa"/>
              <w:start w:w="85" w:type="dxa"/>
              <w:bottom w:w="65" w:type="dxa"/>
              <w:end w:w="85" w:type="dxa"/>
            </w:tcMar>
            <w:vAlign w:val="top"/>
          </w:tcPr>
          <w:p>
            <w:r>
              <w:rPr>
                <w:sz w:val="14"/>
              </w:rPr>
              <w:t>Reachability, flow, DNS, latency and failover tests</w:t>
            </w:r>
          </w:p>
        </w:tc>
      </w:tr>
      <w:tr>
        <w:trPr>
          <w:cantSplit/>
        </w:trPr>
        <w:tc>
          <w:tcPr>
            <w:tcW w:type="dxa" w:w="1512"/>
            <w:tcMar>
              <w:top w:w="65" w:type="dxa"/>
              <w:start w:w="85" w:type="dxa"/>
              <w:bottom w:w="65" w:type="dxa"/>
              <w:end w:w="85" w:type="dxa"/>
            </w:tcMar>
            <w:vAlign w:val="top"/>
          </w:tcPr>
          <w:p>
            <w:r>
              <w:rPr>
                <w:sz w:val="14"/>
              </w:rPr>
              <w:t>Data</w:t>
            </w:r>
          </w:p>
        </w:tc>
        <w:tc>
          <w:tcPr>
            <w:tcW w:type="dxa" w:w="4104"/>
            <w:tcMar>
              <w:top w:w="65" w:type="dxa"/>
              <w:start w:w="85" w:type="dxa"/>
              <w:bottom w:w="65" w:type="dxa"/>
              <w:end w:w="85" w:type="dxa"/>
            </w:tcMar>
            <w:vAlign w:val="top"/>
          </w:tcPr>
          <w:p>
            <w:r>
              <w:rPr>
                <w:sz w:val="14"/>
              </w:rPr>
              <w:t>Classified, encrypted and recoverable state</w:t>
            </w:r>
          </w:p>
        </w:tc>
        <w:tc>
          <w:tcPr>
            <w:tcW w:type="dxa" w:w="4464"/>
            <w:tcMar>
              <w:top w:w="65" w:type="dxa"/>
              <w:start w:w="85" w:type="dxa"/>
              <w:bottom w:w="65" w:type="dxa"/>
              <w:end w:w="85" w:type="dxa"/>
            </w:tcMar>
            <w:vAlign w:val="top"/>
          </w:tcPr>
          <w:p>
            <w:r>
              <w:rPr>
                <w:sz w:val="14"/>
              </w:rPr>
              <w:t>Backup, restore, reconciliation and exit evidence</w:t>
            </w:r>
          </w:p>
        </w:tc>
      </w:tr>
      <w:tr>
        <w:trPr>
          <w:cantSplit/>
        </w:trPr>
        <w:tc>
          <w:tcPr>
            <w:tcW w:type="dxa" w:w="1512"/>
            <w:tcMar>
              <w:top w:w="65" w:type="dxa"/>
              <w:start w:w="85" w:type="dxa"/>
              <w:bottom w:w="65" w:type="dxa"/>
              <w:end w:w="85" w:type="dxa"/>
            </w:tcMar>
            <w:vAlign w:val="top"/>
          </w:tcPr>
          <w:p>
            <w:r>
              <w:rPr>
                <w:sz w:val="14"/>
              </w:rPr>
              <w:t>Security</w:t>
            </w:r>
          </w:p>
        </w:tc>
        <w:tc>
          <w:tcPr>
            <w:tcW w:type="dxa" w:w="4104"/>
            <w:tcMar>
              <w:top w:w="65" w:type="dxa"/>
              <w:start w:w="85" w:type="dxa"/>
              <w:bottom w:w="65" w:type="dxa"/>
              <w:end w:w="85" w:type="dxa"/>
            </w:tcMar>
            <w:vAlign w:val="top"/>
          </w:tcPr>
          <w:p>
            <w:r>
              <w:rPr>
                <w:sz w:val="14"/>
              </w:rPr>
              <w:t>Preventive, detective and recovery controls</w:t>
            </w:r>
          </w:p>
        </w:tc>
        <w:tc>
          <w:tcPr>
            <w:tcW w:type="dxa" w:w="4464"/>
            <w:tcMar>
              <w:top w:w="65" w:type="dxa"/>
              <w:start w:w="85" w:type="dxa"/>
              <w:bottom w:w="65" w:type="dxa"/>
              <w:end w:w="85" w:type="dxa"/>
            </w:tcMar>
            <w:vAlign w:val="top"/>
          </w:tcPr>
          <w:p>
            <w:r>
              <w:rPr>
                <w:sz w:val="14"/>
              </w:rPr>
              <w:t>Policy results, findings, containment and audit timeline</w:t>
            </w:r>
          </w:p>
        </w:tc>
      </w:tr>
      <w:tr>
        <w:trPr>
          <w:cantSplit/>
        </w:trPr>
        <w:tc>
          <w:tcPr>
            <w:tcW w:type="dxa" w:w="1512"/>
            <w:tcMar>
              <w:top w:w="65" w:type="dxa"/>
              <w:start w:w="85" w:type="dxa"/>
              <w:bottom w:w="65" w:type="dxa"/>
              <w:end w:w="85" w:type="dxa"/>
            </w:tcMar>
            <w:vAlign w:val="top"/>
          </w:tcPr>
          <w:p>
            <w:r>
              <w:rPr>
                <w:sz w:val="14"/>
              </w:rPr>
              <w:t>Operations</w:t>
            </w:r>
          </w:p>
        </w:tc>
        <w:tc>
          <w:tcPr>
            <w:tcW w:type="dxa" w:w="4104"/>
            <w:tcMar>
              <w:top w:w="65" w:type="dxa"/>
              <w:start w:w="85" w:type="dxa"/>
              <w:bottom w:w="65" w:type="dxa"/>
              <w:end w:w="85" w:type="dxa"/>
            </w:tcMar>
            <w:vAlign w:val="top"/>
          </w:tcPr>
          <w:p>
            <w:r>
              <w:rPr>
                <w:sz w:val="14"/>
              </w:rPr>
              <w:t>SLOs, telemetry, runbooks and incident process</w:t>
            </w:r>
          </w:p>
        </w:tc>
        <w:tc>
          <w:tcPr>
            <w:tcW w:type="dxa" w:w="4464"/>
            <w:tcMar>
              <w:top w:w="65" w:type="dxa"/>
              <w:start w:w="85" w:type="dxa"/>
              <w:bottom w:w="65" w:type="dxa"/>
              <w:end w:w="85" w:type="dxa"/>
            </w:tcMar>
            <w:vAlign w:val="top"/>
          </w:tcPr>
          <w:p>
            <w:r>
              <w:rPr>
                <w:sz w:val="14"/>
              </w:rPr>
              <w:t>Dashboards, alerts, drill timeline and postmortem</w:t>
            </w:r>
          </w:p>
        </w:tc>
      </w:tr>
      <w:tr>
        <w:trPr>
          <w:cantSplit/>
        </w:trPr>
        <w:tc>
          <w:tcPr>
            <w:tcW w:type="dxa" w:w="1512"/>
            <w:tcMar>
              <w:top w:w="65" w:type="dxa"/>
              <w:start w:w="85" w:type="dxa"/>
              <w:bottom w:w="65" w:type="dxa"/>
              <w:end w:w="85" w:type="dxa"/>
            </w:tcMar>
            <w:vAlign w:val="top"/>
          </w:tcPr>
          <w:p>
            <w:r>
              <w:rPr>
                <w:sz w:val="14"/>
              </w:rPr>
              <w:t>FinOps</w:t>
            </w:r>
          </w:p>
        </w:tc>
        <w:tc>
          <w:tcPr>
            <w:tcW w:type="dxa" w:w="4104"/>
            <w:tcMar>
              <w:top w:w="65" w:type="dxa"/>
              <w:start w:w="85" w:type="dxa"/>
              <w:bottom w:w="65" w:type="dxa"/>
              <w:end w:w="85" w:type="dxa"/>
            </w:tcMar>
            <w:vAlign w:val="top"/>
          </w:tcPr>
          <w:p>
            <w:r>
              <w:rPr>
                <w:sz w:val="14"/>
              </w:rPr>
              <w:t>Allocation, budgets, unit economics and commitment governance</w:t>
            </w:r>
          </w:p>
        </w:tc>
        <w:tc>
          <w:tcPr>
            <w:tcW w:type="dxa" w:w="4464"/>
            <w:tcMar>
              <w:top w:w="65" w:type="dxa"/>
              <w:start w:w="85" w:type="dxa"/>
              <w:bottom w:w="65" w:type="dxa"/>
              <w:end w:w="85" w:type="dxa"/>
            </w:tcMar>
            <w:vAlign w:val="top"/>
          </w:tcPr>
          <w:p>
            <w:r>
              <w:rPr>
                <w:sz w:val="14"/>
              </w:rPr>
              <w:t>Billing export, owner coverage and optimization record</w:t>
            </w:r>
          </w:p>
        </w:tc>
      </w:tr>
      <w:tr>
        <w:trPr>
          <w:cantSplit/>
        </w:trPr>
        <w:tc>
          <w:tcPr>
            <w:tcW w:type="dxa" w:w="1512"/>
            <w:tcMar>
              <w:top w:w="65" w:type="dxa"/>
              <w:start w:w="85" w:type="dxa"/>
              <w:bottom w:w="65" w:type="dxa"/>
              <w:end w:w="85" w:type="dxa"/>
            </w:tcMar>
            <w:vAlign w:val="top"/>
          </w:tcPr>
          <w:p>
            <w:r>
              <w:rPr>
                <w:sz w:val="14"/>
              </w:rPr>
              <w:t>Delivery</w:t>
            </w:r>
          </w:p>
        </w:tc>
        <w:tc>
          <w:tcPr>
            <w:tcW w:type="dxa" w:w="4104"/>
            <w:tcMar>
              <w:top w:w="65" w:type="dxa"/>
              <w:start w:w="85" w:type="dxa"/>
              <w:bottom w:w="65" w:type="dxa"/>
              <w:end w:w="85" w:type="dxa"/>
            </w:tcMar>
            <w:vAlign w:val="top"/>
          </w:tcPr>
          <w:p>
            <w:r>
              <w:rPr>
                <w:sz w:val="14"/>
              </w:rPr>
              <w:t>Reviewed IaC and immutable artifact promotion</w:t>
            </w:r>
          </w:p>
        </w:tc>
        <w:tc>
          <w:tcPr>
            <w:tcW w:type="dxa" w:w="4464"/>
            <w:tcMar>
              <w:top w:w="65" w:type="dxa"/>
              <w:start w:w="85" w:type="dxa"/>
              <w:bottom w:w="65" w:type="dxa"/>
              <w:end w:w="85" w:type="dxa"/>
            </w:tcMar>
            <w:vAlign w:val="top"/>
          </w:tcPr>
          <w:p>
            <w:r>
              <w:rPr>
                <w:sz w:val="14"/>
              </w:rPr>
              <w:t>Plan, policy, signature, deployment and rollback chain</w:t>
            </w:r>
          </w:p>
        </w:tc>
      </w:tr>
      <w:tr>
        <w:trPr>
          <w:cantSplit/>
        </w:trPr>
        <w:tc>
          <w:tcPr>
            <w:tcW w:type="dxa" w:w="1512"/>
            <w:tcMar>
              <w:top w:w="65" w:type="dxa"/>
              <w:start w:w="85" w:type="dxa"/>
              <w:bottom w:w="65" w:type="dxa"/>
              <w:end w:w="85" w:type="dxa"/>
            </w:tcMar>
            <w:vAlign w:val="top"/>
          </w:tcPr>
          <w:p>
            <w:r>
              <w:rPr>
                <w:sz w:val="14"/>
              </w:rPr>
              <w:t>Reliability</w:t>
            </w:r>
          </w:p>
        </w:tc>
        <w:tc>
          <w:tcPr>
            <w:tcW w:type="dxa" w:w="4104"/>
            <w:tcMar>
              <w:top w:w="65" w:type="dxa"/>
              <w:start w:w="85" w:type="dxa"/>
              <w:bottom w:w="65" w:type="dxa"/>
              <w:end w:w="85" w:type="dxa"/>
            </w:tcMar>
            <w:vAlign w:val="top"/>
          </w:tcPr>
          <w:p>
            <w:r>
              <w:rPr>
                <w:sz w:val="14"/>
              </w:rPr>
              <w:t>Measured capacity, RTO/RPO and failback</w:t>
            </w:r>
          </w:p>
        </w:tc>
        <w:tc>
          <w:tcPr>
            <w:tcW w:type="dxa" w:w="4464"/>
            <w:tcMar>
              <w:top w:w="65" w:type="dxa"/>
              <w:start w:w="85" w:type="dxa"/>
              <w:bottom w:w="65" w:type="dxa"/>
              <w:end w:w="85" w:type="dxa"/>
            </w:tcMar>
            <w:vAlign w:val="top"/>
          </w:tcPr>
          <w:p>
            <w:r>
              <w:rPr>
                <w:sz w:val="14"/>
              </w:rPr>
              <w:t>Load, failure, recovery and integrity tests</w:t>
            </w:r>
          </w:p>
        </w:tc>
      </w:tr>
      <w:tr>
        <w:trPr>
          <w:cantSplit/>
        </w:trPr>
        <w:tc>
          <w:tcPr>
            <w:tcW w:type="dxa" w:w="1512"/>
            <w:tcMar>
              <w:top w:w="65" w:type="dxa"/>
              <w:start w:w="85" w:type="dxa"/>
              <w:bottom w:w="65" w:type="dxa"/>
              <w:end w:w="85" w:type="dxa"/>
            </w:tcMar>
            <w:vAlign w:val="top"/>
          </w:tcPr>
          <w:p>
            <w:r>
              <w:rPr>
                <w:sz w:val="14"/>
              </w:rPr>
              <w:t>Lifecycle</w:t>
            </w:r>
          </w:p>
        </w:tc>
        <w:tc>
          <w:tcPr>
            <w:tcW w:type="dxa" w:w="4104"/>
            <w:tcMar>
              <w:top w:w="65" w:type="dxa"/>
              <w:start w:w="85" w:type="dxa"/>
              <w:bottom w:w="65" w:type="dxa"/>
              <w:end w:w="85" w:type="dxa"/>
            </w:tcMar>
            <w:vAlign w:val="top"/>
          </w:tcPr>
          <w:p>
            <w:r>
              <w:rPr>
                <w:sz w:val="14"/>
              </w:rPr>
              <w:t>Vending, upgrade, exception and closure</w:t>
            </w:r>
          </w:p>
        </w:tc>
        <w:tc>
          <w:tcPr>
            <w:tcW w:type="dxa" w:w="4464"/>
            <w:tcMar>
              <w:top w:w="65" w:type="dxa"/>
              <w:start w:w="85" w:type="dxa"/>
              <w:bottom w:w="65" w:type="dxa"/>
              <w:end w:w="85" w:type="dxa"/>
            </w:tcMar>
            <w:vAlign w:val="top"/>
          </w:tcPr>
          <w:p>
            <w:r>
              <w:rPr>
                <w:sz w:val="14"/>
              </w:rPr>
              <w:t>Fresh deployment, drift and zero-residual teardown</w:t>
            </w:r>
          </w:p>
        </w:tc>
      </w:tr>
    </w:tbl>
    <w:p>
      <w:pPr>
        <w:pStyle w:val="Heading1"/>
        <w:keepNext w:val="0"/>
      </w:pPr>
      <w:r>
        <w:t>Completion Checklist</w:t>
      </w:r>
    </w:p>
    <w:p>
      <w:pPr>
        <w:ind w:left="259" w:hanging="259"/>
      </w:pPr>
      <w:r>
        <w:t>☐ I can explain the architecture and trade-offs in every chapter of 12E.</w:t>
      </w:r>
    </w:p>
    <w:p>
      <w:pPr>
        <w:ind w:left="259" w:hanging="259"/>
      </w:pPr>
      <w:r>
        <w:t>☐ I can implement at least one sandbox pattern through IaC and short-lived identity.</w:t>
      </w:r>
    </w:p>
    <w:p>
      <w:pPr>
        <w:ind w:left="259" w:hanging="259"/>
      </w:pPr>
      <w:r>
        <w:t>☐ I can demonstrate approved, denied and failure behavior with provider-native evidence.</w:t>
      </w:r>
    </w:p>
    <w:p>
      <w:pPr>
        <w:ind w:left="259" w:hanging="259"/>
      </w:pPr>
      <w:r>
        <w:t>☐ I can design private connectivity, data protection, recovery and cost governance.</w:t>
      </w:r>
    </w:p>
    <w:p>
      <w:pPr>
        <w:ind w:left="259" w:hanging="259"/>
      </w:pPr>
      <w:r>
        <w:t>☐ I can produce architecture diagrams, ADRs, runbooks and troubleshooting timelines.</w:t>
      </w:r>
    </w:p>
    <w:p>
      <w:pPr>
        <w:ind w:left="259" w:hanging="259"/>
      </w:pPr>
      <w:r>
        <w:t>☐ I can destroy the lab safely and prove that no unexpected billable resource remains.</w:t>
      </w:r>
    </w:p>
    <w:p>
      <w:pPr>
        <w:pStyle w:val="Heading1"/>
        <w:keepNext w:val="0"/>
      </w:pPr>
      <w:r>
        <w:t>Additional Portfolio Projects</w:t>
      </w:r>
    </w:p>
    <w:p>
      <w:r>
        <w:rPr>
          <w:b/>
        </w:rPr>
        <w:t xml:space="preserve">1. </w:t>
      </w:r>
      <w:r>
        <w:t>Resource vending workflow with ownership, policy, budget and closure automation.</w:t>
      </w:r>
    </w:p>
    <w:p>
      <w:r>
        <w:rPr>
          <w:b/>
        </w:rPr>
        <w:t xml:space="preserve">2. </w:t>
      </w:r>
      <w:r>
        <w:t>Keyless CI/CD identity module and effective-access test harness.</w:t>
      </w:r>
    </w:p>
    <w:p>
      <w:r>
        <w:rPr>
          <w:b/>
        </w:rPr>
        <w:t xml:space="preserve">3. </w:t>
      </w:r>
      <w:r>
        <w:t>Private network and DNS validation pack with route and failure scenarios.</w:t>
      </w:r>
    </w:p>
    <w:p>
      <w:r>
        <w:rPr>
          <w:b/>
        </w:rPr>
        <w:t xml:space="preserve">4. </w:t>
      </w:r>
      <w:r>
        <w:t>Managed data backup, restore and reconciliation project.</w:t>
      </w:r>
    </w:p>
    <w:p>
      <w:r>
        <w:rPr>
          <w:b/>
        </w:rPr>
        <w:t xml:space="preserve">5. </w:t>
      </w:r>
      <w:r>
        <w:t>Security finding triage and automated containment simulation.</w:t>
      </w:r>
    </w:p>
    <w:p>
      <w:r>
        <w:rPr>
          <w:b/>
        </w:rPr>
        <w:t xml:space="preserve">6. </w:t>
      </w:r>
      <w:r>
        <w:t>SLO dashboard and incident-command game day.</w:t>
      </w:r>
    </w:p>
    <w:p>
      <w:r>
        <w:rPr>
          <w:b/>
        </w:rPr>
        <w:t xml:space="preserve">7. </w:t>
      </w:r>
      <w:r>
        <w:t>Billing export, allocation coverage and unit-cost dashboard.</w:t>
      </w:r>
    </w:p>
    <w:p>
      <w:r>
        <w:rPr>
          <w:b/>
        </w:rPr>
        <w:t xml:space="preserve">8. </w:t>
      </w:r>
      <w:r>
        <w:t>IaC provider-upgrade and drift-remediation pipeline.</w:t>
      </w:r>
    </w:p>
    <w:p>
      <w:r>
        <w:rPr>
          <w:b/>
        </w:rPr>
        <w:t xml:space="preserve">9. </w:t>
      </w:r>
      <w:r>
        <w:t>Regional or cross-provider disaster-recovery exercise.</w:t>
      </w:r>
    </w:p>
    <w:p>
      <w:r>
        <w:rPr>
          <w:b/>
        </w:rPr>
        <w:t xml:space="preserve">10. </w:t>
      </w:r>
      <w:r>
        <w:t>Executive architecture brief with decisions, risks, roadmap and measured outcomes.</w:t>
      </w:r>
    </w:p>
    <w:p>
      <w:pPr>
        <w:pStyle w:val="Heading1"/>
        <w:keepNext w:val="0"/>
      </w:pPr>
      <w:r>
        <w:t>30-Day 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65" w:type="dxa"/>
              <w:start w:w="85" w:type="dxa"/>
              <w:bottom w:w="65" w:type="dxa"/>
              <w:end w:w="85" w:type="dxa"/>
            </w:tcMar>
            <w:vAlign w:val="center"/>
          </w:tcPr>
          <w:p>
            <w:r>
              <w:rPr>
                <w:b/>
                <w:color w:val="FFFFFF"/>
                <w:sz w:val="14"/>
              </w:rPr>
              <w:t>Days</w:t>
            </w:r>
          </w:p>
        </w:tc>
        <w:tc>
          <w:tcPr>
            <w:tcW w:type="dxa" w:w="2952"/>
            <w:shd w:fill="176B87"/>
            <w:tcMar>
              <w:top w:w="65" w:type="dxa"/>
              <w:start w:w="85" w:type="dxa"/>
              <w:bottom w:w="65" w:type="dxa"/>
              <w:end w:w="85" w:type="dxa"/>
            </w:tcMar>
            <w:vAlign w:val="center"/>
          </w:tcPr>
          <w:p>
            <w:r>
              <w:rPr>
                <w:b/>
                <w:color w:val="FFFFFF"/>
                <w:sz w:val="14"/>
              </w:rPr>
              <w:t>Focus</w:t>
            </w:r>
          </w:p>
        </w:tc>
        <w:tc>
          <w:tcPr>
            <w:tcW w:type="dxa" w:w="5904"/>
            <w:shd w:fill="176B87"/>
            <w:tcMar>
              <w:top w:w="65" w:type="dxa"/>
              <w:start w:w="85" w:type="dxa"/>
              <w:bottom w:w="65" w:type="dxa"/>
              <w:end w:w="85" w:type="dxa"/>
            </w:tcMar>
            <w:vAlign w:val="center"/>
          </w:tcPr>
          <w:p>
            <w:r>
              <w:rPr>
                <w:b/>
                <w:color w:val="FFFFFF"/>
                <w:sz w:val="14"/>
              </w:rPr>
              <w:t>Required output</w:t>
            </w:r>
          </w:p>
        </w:tc>
      </w:tr>
      <w:tr>
        <w:trPr>
          <w:cantSplit/>
        </w:trPr>
        <w:tc>
          <w:tcPr>
            <w:tcW w:type="dxa" w:w="1080"/>
            <w:tcMar>
              <w:top w:w="65" w:type="dxa"/>
              <w:start w:w="85" w:type="dxa"/>
              <w:bottom w:w="65" w:type="dxa"/>
              <w:end w:w="85" w:type="dxa"/>
            </w:tcMar>
            <w:vAlign w:val="top"/>
          </w:tcPr>
          <w:p>
            <w:r>
              <w:rPr>
                <w:sz w:val="14"/>
              </w:rPr>
              <w:t>1-4</w:t>
            </w:r>
          </w:p>
        </w:tc>
        <w:tc>
          <w:tcPr>
            <w:tcW w:type="dxa" w:w="2952"/>
            <w:tcMar>
              <w:top w:w="65" w:type="dxa"/>
              <w:start w:w="85" w:type="dxa"/>
              <w:bottom w:w="65" w:type="dxa"/>
              <w:end w:w="85" w:type="dxa"/>
            </w:tcMar>
            <w:vAlign w:val="top"/>
          </w:tcPr>
          <w:p>
            <w:r>
              <w:rPr>
                <w:sz w:val="14"/>
              </w:rPr>
              <w:t>Hierarchy, ownership and identity</w:t>
            </w:r>
          </w:p>
        </w:tc>
        <w:tc>
          <w:tcPr>
            <w:tcW w:type="dxa" w:w="5904"/>
            <w:tcMar>
              <w:top w:w="65" w:type="dxa"/>
              <w:start w:w="85" w:type="dxa"/>
              <w:bottom w:w="65" w:type="dxa"/>
              <w:end w:w="85" w:type="dxa"/>
            </w:tcMar>
            <w:vAlign w:val="top"/>
          </w:tcPr>
          <w:p>
            <w:r>
              <w:rPr>
                <w:sz w:val="14"/>
              </w:rPr>
              <w:t>Architecture diagram, RACI and access tests</w:t>
            </w:r>
          </w:p>
        </w:tc>
      </w:tr>
      <w:tr>
        <w:trPr>
          <w:cantSplit/>
        </w:trPr>
        <w:tc>
          <w:tcPr>
            <w:tcW w:type="dxa" w:w="1080"/>
            <w:tcMar>
              <w:top w:w="65" w:type="dxa"/>
              <w:start w:w="85" w:type="dxa"/>
              <w:bottom w:w="65" w:type="dxa"/>
              <w:end w:w="85" w:type="dxa"/>
            </w:tcMar>
            <w:vAlign w:val="top"/>
          </w:tcPr>
          <w:p>
            <w:r>
              <w:rPr>
                <w:sz w:val="14"/>
              </w:rPr>
              <w:t>5-8</w:t>
            </w:r>
          </w:p>
        </w:tc>
        <w:tc>
          <w:tcPr>
            <w:tcW w:type="dxa" w:w="2952"/>
            <w:tcMar>
              <w:top w:w="65" w:type="dxa"/>
              <w:start w:w="85" w:type="dxa"/>
              <w:bottom w:w="65" w:type="dxa"/>
              <w:end w:w="85" w:type="dxa"/>
            </w:tcMar>
            <w:vAlign w:val="top"/>
          </w:tcPr>
          <w:p>
            <w:r>
              <w:rPr>
                <w:sz w:val="14"/>
              </w:rPr>
              <w:t>Networking and private services</w:t>
            </w:r>
          </w:p>
        </w:tc>
        <w:tc>
          <w:tcPr>
            <w:tcW w:type="dxa" w:w="5904"/>
            <w:tcMar>
              <w:top w:w="65" w:type="dxa"/>
              <w:start w:w="85" w:type="dxa"/>
              <w:bottom w:w="65" w:type="dxa"/>
              <w:end w:w="85" w:type="dxa"/>
            </w:tcMar>
            <w:vAlign w:val="top"/>
          </w:tcPr>
          <w:p>
            <w:r>
              <w:rPr>
                <w:sz w:val="14"/>
              </w:rPr>
              <w:t>IP plan, flow matrix and reachability evidence</w:t>
            </w:r>
          </w:p>
        </w:tc>
      </w:tr>
      <w:tr>
        <w:trPr>
          <w:cantSplit/>
        </w:trPr>
        <w:tc>
          <w:tcPr>
            <w:tcW w:type="dxa" w:w="1080"/>
            <w:tcMar>
              <w:top w:w="65" w:type="dxa"/>
              <w:start w:w="85" w:type="dxa"/>
              <w:bottom w:w="65" w:type="dxa"/>
              <w:end w:w="85" w:type="dxa"/>
            </w:tcMar>
            <w:vAlign w:val="top"/>
          </w:tcPr>
          <w:p>
            <w:r>
              <w:rPr>
                <w:sz w:val="14"/>
              </w:rPr>
              <w:t>9-12</w:t>
            </w:r>
          </w:p>
        </w:tc>
        <w:tc>
          <w:tcPr>
            <w:tcW w:type="dxa" w:w="2952"/>
            <w:tcMar>
              <w:top w:w="65" w:type="dxa"/>
              <w:start w:w="85" w:type="dxa"/>
              <w:bottom w:w="65" w:type="dxa"/>
              <w:end w:w="85" w:type="dxa"/>
            </w:tcMar>
            <w:vAlign w:val="top"/>
          </w:tcPr>
          <w:p>
            <w:r>
              <w:rPr>
                <w:sz w:val="14"/>
              </w:rPr>
              <w:t>Compute and delivery</w:t>
            </w:r>
          </w:p>
        </w:tc>
        <w:tc>
          <w:tcPr>
            <w:tcW w:type="dxa" w:w="5904"/>
            <w:tcMar>
              <w:top w:w="65" w:type="dxa"/>
              <w:start w:w="85" w:type="dxa"/>
              <w:bottom w:w="65" w:type="dxa"/>
              <w:end w:w="85" w:type="dxa"/>
            </w:tcMar>
            <w:vAlign w:val="top"/>
          </w:tcPr>
          <w:p>
            <w:r>
              <w:rPr>
                <w:sz w:val="14"/>
              </w:rPr>
              <w:t>Workload deployment, autoscaling and rollback</w:t>
            </w:r>
          </w:p>
        </w:tc>
      </w:tr>
      <w:tr>
        <w:trPr>
          <w:cantSplit/>
        </w:trPr>
        <w:tc>
          <w:tcPr>
            <w:tcW w:type="dxa" w:w="1080"/>
            <w:tcMar>
              <w:top w:w="65" w:type="dxa"/>
              <w:start w:w="85" w:type="dxa"/>
              <w:bottom w:w="65" w:type="dxa"/>
              <w:end w:w="85" w:type="dxa"/>
            </w:tcMar>
            <w:vAlign w:val="top"/>
          </w:tcPr>
          <w:p>
            <w:r>
              <w:rPr>
                <w:sz w:val="14"/>
              </w:rPr>
              <w:t>13-16</w:t>
            </w:r>
          </w:p>
        </w:tc>
        <w:tc>
          <w:tcPr>
            <w:tcW w:type="dxa" w:w="2952"/>
            <w:tcMar>
              <w:top w:w="65" w:type="dxa"/>
              <w:start w:w="85" w:type="dxa"/>
              <w:bottom w:w="65" w:type="dxa"/>
              <w:end w:w="85" w:type="dxa"/>
            </w:tcMar>
            <w:vAlign w:val="top"/>
          </w:tcPr>
          <w:p>
            <w:r>
              <w:rPr>
                <w:sz w:val="14"/>
              </w:rPr>
              <w:t>Data and recovery</w:t>
            </w:r>
          </w:p>
        </w:tc>
        <w:tc>
          <w:tcPr>
            <w:tcW w:type="dxa" w:w="5904"/>
            <w:tcMar>
              <w:top w:w="65" w:type="dxa"/>
              <w:start w:w="85" w:type="dxa"/>
              <w:bottom w:w="65" w:type="dxa"/>
              <w:end w:w="85" w:type="dxa"/>
            </w:tcMar>
            <w:vAlign w:val="top"/>
          </w:tcPr>
          <w:p>
            <w:r>
              <w:rPr>
                <w:sz w:val="14"/>
              </w:rPr>
              <w:t>Backup, restore and integrity report</w:t>
            </w:r>
          </w:p>
        </w:tc>
      </w:tr>
      <w:tr>
        <w:trPr>
          <w:cantSplit/>
        </w:trPr>
        <w:tc>
          <w:tcPr>
            <w:tcW w:type="dxa" w:w="1080"/>
            <w:tcMar>
              <w:top w:w="65" w:type="dxa"/>
              <w:start w:w="85" w:type="dxa"/>
              <w:bottom w:w="65" w:type="dxa"/>
              <w:end w:w="85" w:type="dxa"/>
            </w:tcMar>
            <w:vAlign w:val="top"/>
          </w:tcPr>
          <w:p>
            <w:r>
              <w:rPr>
                <w:sz w:val="14"/>
              </w:rPr>
              <w:t>17-20</w:t>
            </w:r>
          </w:p>
        </w:tc>
        <w:tc>
          <w:tcPr>
            <w:tcW w:type="dxa" w:w="2952"/>
            <w:tcMar>
              <w:top w:w="65" w:type="dxa"/>
              <w:start w:w="85" w:type="dxa"/>
              <w:bottom w:w="65" w:type="dxa"/>
              <w:end w:w="85" w:type="dxa"/>
            </w:tcMar>
            <w:vAlign w:val="top"/>
          </w:tcPr>
          <w:p>
            <w:r>
              <w:rPr>
                <w:sz w:val="14"/>
              </w:rPr>
              <w:t>Security and audit</w:t>
            </w:r>
          </w:p>
        </w:tc>
        <w:tc>
          <w:tcPr>
            <w:tcW w:type="dxa" w:w="5904"/>
            <w:tcMar>
              <w:top w:w="65" w:type="dxa"/>
              <w:start w:w="85" w:type="dxa"/>
              <w:bottom w:w="65" w:type="dxa"/>
              <w:end w:w="85" w:type="dxa"/>
            </w:tcMar>
            <w:vAlign w:val="top"/>
          </w:tcPr>
          <w:p>
            <w:r>
              <w:rPr>
                <w:sz w:val="14"/>
              </w:rPr>
              <w:t>Threat model, policy tests and finding workflow</w:t>
            </w:r>
          </w:p>
        </w:tc>
      </w:tr>
      <w:tr>
        <w:trPr>
          <w:cantSplit/>
        </w:trPr>
        <w:tc>
          <w:tcPr>
            <w:tcW w:type="dxa" w:w="1080"/>
            <w:tcMar>
              <w:top w:w="65" w:type="dxa"/>
              <w:start w:w="85" w:type="dxa"/>
              <w:bottom w:w="65" w:type="dxa"/>
              <w:end w:w="85" w:type="dxa"/>
            </w:tcMar>
            <w:vAlign w:val="top"/>
          </w:tcPr>
          <w:p>
            <w:r>
              <w:rPr>
                <w:sz w:val="14"/>
              </w:rPr>
              <w:t>21-23</w:t>
            </w:r>
          </w:p>
        </w:tc>
        <w:tc>
          <w:tcPr>
            <w:tcW w:type="dxa" w:w="2952"/>
            <w:tcMar>
              <w:top w:w="65" w:type="dxa"/>
              <w:start w:w="85" w:type="dxa"/>
              <w:bottom w:w="65" w:type="dxa"/>
              <w:end w:w="85" w:type="dxa"/>
            </w:tcMar>
            <w:vAlign w:val="top"/>
          </w:tcPr>
          <w:p>
            <w:r>
              <w:rPr>
                <w:sz w:val="14"/>
              </w:rPr>
              <w:t>Observability and incidents</w:t>
            </w:r>
          </w:p>
        </w:tc>
        <w:tc>
          <w:tcPr>
            <w:tcW w:type="dxa" w:w="5904"/>
            <w:tcMar>
              <w:top w:w="65" w:type="dxa"/>
              <w:start w:w="85" w:type="dxa"/>
              <w:bottom w:w="65" w:type="dxa"/>
              <w:end w:w="85" w:type="dxa"/>
            </w:tcMar>
            <w:vAlign w:val="top"/>
          </w:tcPr>
          <w:p>
            <w:r>
              <w:rPr>
                <w:sz w:val="14"/>
              </w:rPr>
              <w:t>SLO, dashboard and incident timeline</w:t>
            </w:r>
          </w:p>
        </w:tc>
      </w:tr>
      <w:tr>
        <w:trPr>
          <w:cantSplit/>
        </w:trPr>
        <w:tc>
          <w:tcPr>
            <w:tcW w:type="dxa" w:w="1080"/>
            <w:tcMar>
              <w:top w:w="65" w:type="dxa"/>
              <w:start w:w="85" w:type="dxa"/>
              <w:bottom w:w="65" w:type="dxa"/>
              <w:end w:w="85" w:type="dxa"/>
            </w:tcMar>
            <w:vAlign w:val="top"/>
          </w:tcPr>
          <w:p>
            <w:r>
              <w:rPr>
                <w:sz w:val="14"/>
              </w:rPr>
              <w:t>24-26</w:t>
            </w:r>
          </w:p>
        </w:tc>
        <w:tc>
          <w:tcPr>
            <w:tcW w:type="dxa" w:w="2952"/>
            <w:tcMar>
              <w:top w:w="65" w:type="dxa"/>
              <w:start w:w="85" w:type="dxa"/>
              <w:bottom w:w="65" w:type="dxa"/>
              <w:end w:w="85" w:type="dxa"/>
            </w:tcMar>
            <w:vAlign w:val="top"/>
          </w:tcPr>
          <w:p>
            <w:r>
              <w:rPr>
                <w:sz w:val="14"/>
              </w:rPr>
              <w:t>FinOps and governance</w:t>
            </w:r>
          </w:p>
        </w:tc>
        <w:tc>
          <w:tcPr>
            <w:tcW w:type="dxa" w:w="5904"/>
            <w:tcMar>
              <w:top w:w="65" w:type="dxa"/>
              <w:start w:w="85" w:type="dxa"/>
              <w:bottom w:w="65" w:type="dxa"/>
              <w:end w:w="85" w:type="dxa"/>
            </w:tcMar>
            <w:vAlign w:val="top"/>
          </w:tcPr>
          <w:p>
            <w:r>
              <w:rPr>
                <w:sz w:val="14"/>
              </w:rPr>
              <w:t>Allocation, budget and unit-cost review</w:t>
            </w:r>
          </w:p>
        </w:tc>
      </w:tr>
      <w:tr>
        <w:trPr>
          <w:cantSplit/>
        </w:trPr>
        <w:tc>
          <w:tcPr>
            <w:tcW w:type="dxa" w:w="1080"/>
            <w:tcMar>
              <w:top w:w="65" w:type="dxa"/>
              <w:start w:w="85" w:type="dxa"/>
              <w:bottom w:w="65" w:type="dxa"/>
              <w:end w:w="85" w:type="dxa"/>
            </w:tcMar>
            <w:vAlign w:val="top"/>
          </w:tcPr>
          <w:p>
            <w:r>
              <w:rPr>
                <w:sz w:val="14"/>
              </w:rPr>
              <w:t>27-28</w:t>
            </w:r>
          </w:p>
        </w:tc>
        <w:tc>
          <w:tcPr>
            <w:tcW w:type="dxa" w:w="2952"/>
            <w:tcMar>
              <w:top w:w="65" w:type="dxa"/>
              <w:start w:w="85" w:type="dxa"/>
              <w:bottom w:w="65" w:type="dxa"/>
              <w:end w:w="85" w:type="dxa"/>
            </w:tcMar>
            <w:vAlign w:val="top"/>
          </w:tcPr>
          <w:p>
            <w:r>
              <w:rPr>
                <w:sz w:val="14"/>
              </w:rPr>
              <w:t>Failure drills</w:t>
            </w:r>
          </w:p>
        </w:tc>
        <w:tc>
          <w:tcPr>
            <w:tcW w:type="dxa" w:w="5904"/>
            <w:tcMar>
              <w:top w:w="65" w:type="dxa"/>
              <w:start w:w="85" w:type="dxa"/>
              <w:bottom w:w="65" w:type="dxa"/>
              <w:end w:w="85" w:type="dxa"/>
            </w:tcMar>
            <w:vAlign w:val="top"/>
          </w:tcPr>
          <w:p>
            <w:r>
              <w:rPr>
                <w:sz w:val="14"/>
              </w:rPr>
              <w:t>Bounded outage and recovery evidence</w:t>
            </w:r>
          </w:p>
        </w:tc>
      </w:tr>
      <w:tr>
        <w:trPr>
          <w:cantSplit/>
        </w:trPr>
        <w:tc>
          <w:tcPr>
            <w:tcW w:type="dxa" w:w="1080"/>
            <w:tcMar>
              <w:top w:w="65" w:type="dxa"/>
              <w:start w:w="85" w:type="dxa"/>
              <w:bottom w:w="65" w:type="dxa"/>
              <w:end w:w="85" w:type="dxa"/>
            </w:tcMar>
            <w:vAlign w:val="top"/>
          </w:tcPr>
          <w:p>
            <w:r>
              <w:rPr>
                <w:sz w:val="14"/>
              </w:rPr>
              <w:t>29-30</w:t>
            </w:r>
          </w:p>
        </w:tc>
        <w:tc>
          <w:tcPr>
            <w:tcW w:type="dxa" w:w="2952"/>
            <w:tcMar>
              <w:top w:w="65" w:type="dxa"/>
              <w:start w:w="85" w:type="dxa"/>
              <w:bottom w:w="65" w:type="dxa"/>
              <w:end w:w="85" w:type="dxa"/>
            </w:tcMar>
            <w:vAlign w:val="top"/>
          </w:tcPr>
          <w:p>
            <w:r>
              <w:rPr>
                <w:sz w:val="14"/>
              </w:rPr>
              <w:t>Capstone and portfolio</w:t>
            </w:r>
          </w:p>
        </w:tc>
        <w:tc>
          <w:tcPr>
            <w:tcW w:type="dxa" w:w="5904"/>
            <w:tcMar>
              <w:top w:w="65" w:type="dxa"/>
              <w:start w:w="85" w:type="dxa"/>
              <w:bottom w:w="65" w:type="dxa"/>
              <w:end w:w="85" w:type="dxa"/>
            </w:tcMar>
            <w:vAlign w:val="top"/>
          </w:tcPr>
          <w:p>
            <w:r>
              <w:rPr>
                <w:sz w:val="14"/>
              </w:rPr>
              <w:t>Architecture defense, cleanup and sanitized report</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65" w:type="dxa"/>
              <w:start w:w="85" w:type="dxa"/>
              <w:bottom w:w="65" w:type="dxa"/>
              <w:end w:w="85" w:type="dxa"/>
            </w:tcMar>
            <w:vAlign w:val="center"/>
          </w:tcPr>
          <w:p>
            <w:r>
              <w:rPr>
                <w:b/>
                <w:color w:val="FFFFFF"/>
                <w:sz w:val="15"/>
              </w:rPr>
              <w:t>Term</w:t>
            </w:r>
          </w:p>
        </w:tc>
        <w:tc>
          <w:tcPr>
            <w:tcW w:type="dxa" w:w="7848"/>
            <w:shd w:fill="176B87"/>
            <w:tcMar>
              <w:top w:w="65" w:type="dxa"/>
              <w:start w:w="85" w:type="dxa"/>
              <w:bottom w:w="65" w:type="dxa"/>
              <w:end w:w="85" w:type="dxa"/>
            </w:tcMar>
            <w:vAlign w:val="center"/>
          </w:tcPr>
          <w:p>
            <w:r>
              <w:rPr>
                <w:b/>
                <w:color w:val="FFFFFF"/>
                <w:sz w:val="15"/>
              </w:rPr>
              <w:t>Definition</w:t>
            </w:r>
          </w:p>
        </w:tc>
      </w:tr>
      <w:tr>
        <w:trPr>
          <w:cantSplit/>
        </w:trPr>
        <w:tc>
          <w:tcPr>
            <w:tcW w:type="dxa" w:w="2088"/>
            <w:tcMar>
              <w:top w:w="65" w:type="dxa"/>
              <w:start w:w="85" w:type="dxa"/>
              <w:bottom w:w="65" w:type="dxa"/>
              <w:end w:w="85" w:type="dxa"/>
            </w:tcMar>
            <w:vAlign w:val="top"/>
          </w:tcPr>
          <w:p>
            <w:r>
              <w:rPr>
                <w:sz w:val="15"/>
              </w:rPr>
              <w:t>Application landing zone</w:t>
            </w:r>
          </w:p>
        </w:tc>
        <w:tc>
          <w:tcPr>
            <w:tcW w:type="dxa" w:w="7848"/>
            <w:tcMar>
              <w:top w:w="65" w:type="dxa"/>
              <w:start w:w="85" w:type="dxa"/>
              <w:bottom w:w="65" w:type="dxa"/>
              <w:end w:w="85" w:type="dxa"/>
            </w:tcMar>
            <w:vAlign w:val="top"/>
          </w:tcPr>
          <w:p>
            <w:r>
              <w:rPr>
                <w:sz w:val="15"/>
              </w:rPr>
              <w:t>A governed environment in which a workload team deploys and operates applications.</w:t>
            </w:r>
          </w:p>
        </w:tc>
      </w:tr>
      <w:tr>
        <w:trPr>
          <w:cantSplit/>
        </w:trPr>
        <w:tc>
          <w:tcPr>
            <w:tcW w:type="dxa" w:w="2088"/>
            <w:tcMar>
              <w:top w:w="65" w:type="dxa"/>
              <w:start w:w="85" w:type="dxa"/>
              <w:bottom w:w="65" w:type="dxa"/>
              <w:end w:w="85" w:type="dxa"/>
            </w:tcMar>
            <w:vAlign w:val="top"/>
          </w:tcPr>
          <w:p>
            <w:r>
              <w:rPr>
                <w:sz w:val="15"/>
              </w:rPr>
              <w:t>Blast radius</w:t>
            </w:r>
          </w:p>
        </w:tc>
        <w:tc>
          <w:tcPr>
            <w:tcW w:type="dxa" w:w="7848"/>
            <w:tcMar>
              <w:top w:w="65" w:type="dxa"/>
              <w:start w:w="85" w:type="dxa"/>
              <w:bottom w:w="65" w:type="dxa"/>
              <w:end w:w="85" w:type="dxa"/>
            </w:tcMar>
            <w:vAlign w:val="top"/>
          </w:tcPr>
          <w:p>
            <w:r>
              <w:rPr>
                <w:sz w:val="15"/>
              </w:rPr>
              <w:t>The maximum scope of impact from a failure, credential or change.</w:t>
            </w:r>
          </w:p>
        </w:tc>
      </w:tr>
      <w:tr>
        <w:trPr>
          <w:cantSplit/>
        </w:trPr>
        <w:tc>
          <w:tcPr>
            <w:tcW w:type="dxa" w:w="2088"/>
            <w:tcMar>
              <w:top w:w="65" w:type="dxa"/>
              <w:start w:w="85" w:type="dxa"/>
              <w:bottom w:w="65" w:type="dxa"/>
              <w:end w:w="85" w:type="dxa"/>
            </w:tcMar>
            <w:vAlign w:val="top"/>
          </w:tcPr>
          <w:p>
            <w:r>
              <w:rPr>
                <w:sz w:val="15"/>
              </w:rPr>
              <w:t>Control plane</w:t>
            </w:r>
          </w:p>
        </w:tc>
        <w:tc>
          <w:tcPr>
            <w:tcW w:type="dxa" w:w="7848"/>
            <w:tcMar>
              <w:top w:w="65" w:type="dxa"/>
              <w:start w:w="85" w:type="dxa"/>
              <w:bottom w:w="65" w:type="dxa"/>
              <w:end w:w="85" w:type="dxa"/>
            </w:tcMar>
            <w:vAlign w:val="top"/>
          </w:tcPr>
          <w:p>
            <w:r>
              <w:rPr>
                <w:sz w:val="15"/>
              </w:rPr>
              <w:t>Interfaces and services used to administer a cloud or platform.</w:t>
            </w:r>
          </w:p>
        </w:tc>
      </w:tr>
      <w:tr>
        <w:trPr>
          <w:cantSplit/>
        </w:trPr>
        <w:tc>
          <w:tcPr>
            <w:tcW w:type="dxa" w:w="2088"/>
            <w:tcMar>
              <w:top w:w="65" w:type="dxa"/>
              <w:start w:w="85" w:type="dxa"/>
              <w:bottom w:w="65" w:type="dxa"/>
              <w:end w:w="85" w:type="dxa"/>
            </w:tcMar>
            <w:vAlign w:val="top"/>
          </w:tcPr>
          <w:p>
            <w:r>
              <w:rPr>
                <w:sz w:val="15"/>
              </w:rPr>
              <w:t>Data plane</w:t>
            </w:r>
          </w:p>
        </w:tc>
        <w:tc>
          <w:tcPr>
            <w:tcW w:type="dxa" w:w="7848"/>
            <w:tcMar>
              <w:top w:w="65" w:type="dxa"/>
              <w:start w:w="85" w:type="dxa"/>
              <w:bottom w:w="65" w:type="dxa"/>
              <w:end w:w="85" w:type="dxa"/>
            </w:tcMar>
            <w:vAlign w:val="top"/>
          </w:tcPr>
          <w:p>
            <w:r>
              <w:rPr>
                <w:sz w:val="15"/>
              </w:rPr>
              <w:t>The runtime path that processes application traffic and data.</w:t>
            </w:r>
          </w:p>
        </w:tc>
      </w:tr>
      <w:tr>
        <w:trPr>
          <w:cantSplit/>
        </w:trPr>
        <w:tc>
          <w:tcPr>
            <w:tcW w:type="dxa" w:w="2088"/>
            <w:tcMar>
              <w:top w:w="65" w:type="dxa"/>
              <w:start w:w="85" w:type="dxa"/>
              <w:bottom w:w="65" w:type="dxa"/>
              <w:end w:w="85" w:type="dxa"/>
            </w:tcMar>
            <w:vAlign w:val="top"/>
          </w:tcPr>
          <w:p>
            <w:r>
              <w:rPr>
                <w:sz w:val="15"/>
              </w:rPr>
              <w:t>Federation</w:t>
            </w:r>
          </w:p>
        </w:tc>
        <w:tc>
          <w:tcPr>
            <w:tcW w:type="dxa" w:w="7848"/>
            <w:tcMar>
              <w:top w:w="65" w:type="dxa"/>
              <w:start w:w="85" w:type="dxa"/>
              <w:bottom w:w="65" w:type="dxa"/>
              <w:end w:w="85" w:type="dxa"/>
            </w:tcMar>
            <w:vAlign w:val="top"/>
          </w:tcPr>
          <w:p>
            <w:r>
              <w:rPr>
                <w:sz w:val="15"/>
              </w:rPr>
              <w:t>Trust that allows an external identity source to authenticate without duplicate long-lived credentials.</w:t>
            </w:r>
          </w:p>
        </w:tc>
      </w:tr>
      <w:tr>
        <w:trPr>
          <w:cantSplit/>
        </w:trPr>
        <w:tc>
          <w:tcPr>
            <w:tcW w:type="dxa" w:w="2088"/>
            <w:tcMar>
              <w:top w:w="65" w:type="dxa"/>
              <w:start w:w="85" w:type="dxa"/>
              <w:bottom w:w="65" w:type="dxa"/>
              <w:end w:w="85" w:type="dxa"/>
            </w:tcMar>
            <w:vAlign w:val="top"/>
          </w:tcPr>
          <w:p>
            <w:r>
              <w:rPr>
                <w:sz w:val="15"/>
              </w:rPr>
              <w:t>Guardrail</w:t>
            </w:r>
          </w:p>
        </w:tc>
        <w:tc>
          <w:tcPr>
            <w:tcW w:type="dxa" w:w="7848"/>
            <w:tcMar>
              <w:top w:w="65" w:type="dxa"/>
              <w:start w:w="85" w:type="dxa"/>
              <w:bottom w:w="65" w:type="dxa"/>
              <w:end w:w="85" w:type="dxa"/>
            </w:tcMar>
            <w:vAlign w:val="top"/>
          </w:tcPr>
          <w:p>
            <w:r>
              <w:rPr>
                <w:sz w:val="15"/>
              </w:rPr>
              <w:t>A preventive, detective or corrective control that constrains activity.</w:t>
            </w:r>
          </w:p>
        </w:tc>
      </w:tr>
      <w:tr>
        <w:trPr>
          <w:cantSplit/>
        </w:trPr>
        <w:tc>
          <w:tcPr>
            <w:tcW w:type="dxa" w:w="2088"/>
            <w:tcMar>
              <w:top w:w="65" w:type="dxa"/>
              <w:start w:w="85" w:type="dxa"/>
              <w:bottom w:w="65" w:type="dxa"/>
              <w:end w:w="85" w:type="dxa"/>
            </w:tcMar>
            <w:vAlign w:val="top"/>
          </w:tcPr>
          <w:p>
            <w:r>
              <w:rPr>
                <w:sz w:val="15"/>
              </w:rPr>
              <w:t>Landing zone</w:t>
            </w:r>
          </w:p>
        </w:tc>
        <w:tc>
          <w:tcPr>
            <w:tcW w:type="dxa" w:w="7848"/>
            <w:tcMar>
              <w:top w:w="65" w:type="dxa"/>
              <w:start w:w="85" w:type="dxa"/>
              <w:bottom w:w="65" w:type="dxa"/>
              <w:end w:w="85" w:type="dxa"/>
            </w:tcMar>
            <w:vAlign w:val="top"/>
          </w:tcPr>
          <w:p>
            <w:r>
              <w:rPr>
                <w:sz w:val="15"/>
              </w:rPr>
              <w:t>A scalable cloud foundation for hierarchy, identity, network, security, logging and cost.</w:t>
            </w:r>
          </w:p>
        </w:tc>
      </w:tr>
      <w:tr>
        <w:trPr>
          <w:cantSplit/>
        </w:trPr>
        <w:tc>
          <w:tcPr>
            <w:tcW w:type="dxa" w:w="2088"/>
            <w:tcMar>
              <w:top w:w="65" w:type="dxa"/>
              <w:start w:w="85" w:type="dxa"/>
              <w:bottom w:w="65" w:type="dxa"/>
              <w:end w:w="85" w:type="dxa"/>
            </w:tcMar>
            <w:vAlign w:val="top"/>
          </w:tcPr>
          <w:p>
            <w:r>
              <w:rPr>
                <w:sz w:val="15"/>
              </w:rPr>
              <w:t>Private endpoint</w:t>
            </w:r>
          </w:p>
        </w:tc>
        <w:tc>
          <w:tcPr>
            <w:tcW w:type="dxa" w:w="7848"/>
            <w:tcMar>
              <w:top w:w="65" w:type="dxa"/>
              <w:start w:w="85" w:type="dxa"/>
              <w:bottom w:w="65" w:type="dxa"/>
              <w:end w:w="85" w:type="dxa"/>
            </w:tcMar>
            <w:vAlign w:val="top"/>
          </w:tcPr>
          <w:p>
            <w:r>
              <w:rPr>
                <w:sz w:val="15"/>
              </w:rPr>
              <w:t>A private network interface used to access a managed service without a public path.</w:t>
            </w:r>
          </w:p>
        </w:tc>
      </w:tr>
      <w:tr>
        <w:trPr>
          <w:cantSplit/>
        </w:trPr>
        <w:tc>
          <w:tcPr>
            <w:tcW w:type="dxa" w:w="2088"/>
            <w:tcMar>
              <w:top w:w="65" w:type="dxa"/>
              <w:start w:w="85" w:type="dxa"/>
              <w:bottom w:w="65" w:type="dxa"/>
              <w:end w:w="85" w:type="dxa"/>
            </w:tcMar>
            <w:vAlign w:val="top"/>
          </w:tcPr>
          <w:p>
            <w:r>
              <w:rPr>
                <w:sz w:val="15"/>
              </w:rPr>
              <w:t>RPO</w:t>
            </w:r>
          </w:p>
        </w:tc>
        <w:tc>
          <w:tcPr>
            <w:tcW w:type="dxa" w:w="7848"/>
            <w:tcMar>
              <w:top w:w="65" w:type="dxa"/>
              <w:start w:w="85" w:type="dxa"/>
              <w:bottom w:w="65" w:type="dxa"/>
              <w:end w:w="85" w:type="dxa"/>
            </w:tcMar>
            <w:vAlign w:val="top"/>
          </w:tcPr>
          <w:p>
            <w:r>
              <w:rPr>
                <w:sz w:val="15"/>
              </w:rPr>
              <w:t>Maximum acceptable data loss measured in time.</w:t>
            </w:r>
          </w:p>
        </w:tc>
      </w:tr>
      <w:tr>
        <w:trPr>
          <w:cantSplit/>
        </w:trPr>
        <w:tc>
          <w:tcPr>
            <w:tcW w:type="dxa" w:w="2088"/>
            <w:tcMar>
              <w:top w:w="65" w:type="dxa"/>
              <w:start w:w="85" w:type="dxa"/>
              <w:bottom w:w="65" w:type="dxa"/>
              <w:end w:w="85" w:type="dxa"/>
            </w:tcMar>
            <w:vAlign w:val="top"/>
          </w:tcPr>
          <w:p>
            <w:r>
              <w:rPr>
                <w:sz w:val="15"/>
              </w:rPr>
              <w:t>RTO</w:t>
            </w:r>
          </w:p>
        </w:tc>
        <w:tc>
          <w:tcPr>
            <w:tcW w:type="dxa" w:w="7848"/>
            <w:tcMar>
              <w:top w:w="65" w:type="dxa"/>
              <w:start w:w="85" w:type="dxa"/>
              <w:bottom w:w="65" w:type="dxa"/>
              <w:end w:w="85" w:type="dxa"/>
            </w:tcMar>
            <w:vAlign w:val="top"/>
          </w:tcPr>
          <w:p>
            <w:r>
              <w:rPr>
                <w:sz w:val="15"/>
              </w:rPr>
              <w:t>Target time to restore a service after disruption.</w:t>
            </w:r>
          </w:p>
        </w:tc>
      </w:tr>
      <w:tr>
        <w:trPr>
          <w:cantSplit/>
        </w:trPr>
        <w:tc>
          <w:tcPr>
            <w:tcW w:type="dxa" w:w="2088"/>
            <w:tcMar>
              <w:top w:w="65" w:type="dxa"/>
              <w:start w:w="85" w:type="dxa"/>
              <w:bottom w:w="65" w:type="dxa"/>
              <w:end w:w="85" w:type="dxa"/>
            </w:tcMar>
            <w:vAlign w:val="top"/>
          </w:tcPr>
          <w:p>
            <w:r>
              <w:rPr>
                <w:sz w:val="15"/>
              </w:rPr>
              <w:t>Unit cost</w:t>
            </w:r>
          </w:p>
        </w:tc>
        <w:tc>
          <w:tcPr>
            <w:tcW w:type="dxa" w:w="7848"/>
            <w:tcMar>
              <w:top w:w="65" w:type="dxa"/>
              <w:start w:w="85" w:type="dxa"/>
              <w:bottom w:w="65" w:type="dxa"/>
              <w:end w:w="85" w:type="dxa"/>
            </w:tcMar>
            <w:vAlign w:val="top"/>
          </w:tcPr>
          <w:p>
            <w:r>
              <w:rPr>
                <w:sz w:val="15"/>
              </w:rPr>
              <w:t>Technology cost per useful business or technical output.</w:t>
            </w:r>
          </w:p>
        </w:tc>
      </w:tr>
      <w:tr>
        <w:trPr>
          <w:cantSplit/>
        </w:trPr>
        <w:tc>
          <w:tcPr>
            <w:tcW w:type="dxa" w:w="2088"/>
            <w:tcMar>
              <w:top w:w="65" w:type="dxa"/>
              <w:start w:w="85" w:type="dxa"/>
              <w:bottom w:w="65" w:type="dxa"/>
              <w:end w:w="85" w:type="dxa"/>
            </w:tcMar>
            <w:vAlign w:val="top"/>
          </w:tcPr>
          <w:p>
            <w:r>
              <w:rPr>
                <w:sz w:val="15"/>
              </w:rPr>
              <w:t>Workload identity</w:t>
            </w:r>
          </w:p>
        </w:tc>
        <w:tc>
          <w:tcPr>
            <w:tcW w:type="dxa" w:w="7848"/>
            <w:tcMar>
              <w:top w:w="65" w:type="dxa"/>
              <w:start w:w="85" w:type="dxa"/>
              <w:bottom w:w="65" w:type="dxa"/>
              <w:end w:w="85" w:type="dxa"/>
            </w:tcMar>
            <w:vAlign w:val="top"/>
          </w:tcPr>
          <w:p>
            <w:r>
              <w:rPr>
                <w:sz w:val="15"/>
              </w:rPr>
              <w:t>A short-lived identity issued to software based on trusted runtime context.</w:t>
            </w:r>
          </w:p>
        </w:tc>
      </w:tr>
    </w:tbl>
    <w:p>
      <w:pPr>
        <w:pStyle w:val="Heading1"/>
        <w:keepNext w:val="0"/>
      </w:pPr>
      <w:r>
        <w:t>Official Documentation Index</w:t>
      </w:r>
    </w:p>
    <w:p>
      <w:pPr>
        <w:keepNext w:val="0"/>
      </w:pPr>
      <w:r>
        <w:t>The following official sources were checked for this 2026 edition. Verify current service behavior, quotas, prices and certification requirements before production use or exam registration.</w:t>
      </w:r>
    </w:p>
    <w:p>
      <w:pPr>
        <w:pStyle w:val="ListBullet"/>
      </w:pPr>
      <w:hyperlink r:id="rId72">
        <w:r>
          <w:rPr>
            <w:color w:val="176B87"/>
            <w:u w:val="single"/>
          </w:rPr>
          <w:t>AWS Hybrid and Multicloud</w:t>
        </w:r>
      </w:hyperlink>
    </w:p>
    <w:p>
      <w:pPr>
        <w:pStyle w:val="ListBullet"/>
      </w:pPr>
      <w:hyperlink r:id="rId73">
        <w:r>
          <w:rPr>
            <w:color w:val="176B87"/>
            <w:u w:val="single"/>
          </w:rPr>
          <w:t>Azure Arc Overview</w:t>
        </w:r>
      </w:hyperlink>
    </w:p>
    <w:p>
      <w:pPr>
        <w:pStyle w:val="ListBullet"/>
      </w:pPr>
      <w:hyperlink r:id="rId74">
        <w:r>
          <w:rPr>
            <w:color w:val="176B87"/>
            <w:u w:val="single"/>
          </w:rPr>
          <w:t>Google Cloud Hybrid and Multicloud</w:t>
        </w:r>
      </w:hyperlink>
    </w:p>
    <w:p>
      <w:pPr>
        <w:pStyle w:val="ListBullet"/>
      </w:pPr>
      <w:hyperlink r:id="rId75">
        <w:r>
          <w:rPr>
            <w:color w:val="176B87"/>
            <w:u w:val="single"/>
          </w:rPr>
          <w:t>OpenTelemetry Documentation</w:t>
        </w:r>
      </w:hyperlink>
    </w:p>
    <w:p>
      <w:pPr>
        <w:pStyle w:val="ListBullet"/>
      </w:pPr>
      <w:hyperlink r:id="rId76">
        <w:r>
          <w:rPr>
            <w:color w:val="176B87"/>
            <w:u w:val="single"/>
          </w:rPr>
          <w:t>Terraform Documentation</w:t>
        </w:r>
      </w:hyperlink>
    </w:p>
    <w:p>
      <w:pPr>
        <w:pStyle w:val="ListBullet"/>
      </w:pPr>
      <w:hyperlink r:id="rId71">
        <w:r>
          <w:rPr>
            <w:color w:val="176B87"/>
            <w:u w:val="single"/>
          </w:rPr>
          <w:t>FinOps Framework</w:t>
        </w:r>
      </w:hyperlink>
    </w:p>
    <w:p>
      <w:pPr>
        <w:pStyle w:val="ListBullet"/>
      </w:pPr>
      <w:hyperlink r:id="rId77">
        <w:r>
          <w:rPr>
            <w:color w:val="176B87"/>
            <w:u w:val="single"/>
          </w:rPr>
          <w:t>NIST Cyber Resiliency Engineering Framework</w:t>
        </w:r>
      </w:hyperlink>
    </w:p>
    <w:p>
      <w:pPr>
        <w:pStyle w:val="ListBullet"/>
      </w:pPr>
      <w:hyperlink r:id="rId78">
        <w:r>
          <w:rPr>
            <w:color w:val="176B87"/>
            <w:u w:val="single"/>
          </w:rPr>
          <w:t>CNCF GitOps Principles</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324D"/>
              </w:rPr>
              <w:t>Volume 12E completion: preserve your architecture, code, test evidence, recovery timeline, cost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12E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12E - HYBRID AND MULTI-CLOUD OPERATIONS, MIGRATION, DR, SECURITY AND FINOPS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aws.amazon.com/hybrid/" TargetMode="External"/><Relationship Id="rId73" Type="http://schemas.openxmlformats.org/officeDocument/2006/relationships/hyperlink" Target="https://learn.microsoft.com/en-us/azure/azure-arc/overview" TargetMode="External"/><Relationship Id="rId74" Type="http://schemas.openxmlformats.org/officeDocument/2006/relationships/hyperlink" Target="https://cloud.google.com/solutions/hybrid-and-multicloud" TargetMode="External"/><Relationship Id="rId75" Type="http://schemas.openxmlformats.org/officeDocument/2006/relationships/hyperlink" Target="https://opentelemetry.io/docs/" TargetMode="External"/><Relationship Id="rId76" Type="http://schemas.openxmlformats.org/officeDocument/2006/relationships/hyperlink" Target="https://developer.hashicorp.com/terraform/docs" TargetMode="External"/><Relationship Id="rId77" Type="http://schemas.openxmlformats.org/officeDocument/2006/relationships/hyperlink" Target="https://csrc.nist.gov/publications/detail/sp/800-160/vol-2-rev-1/final" TargetMode="External"/><Relationship Id="rId78" Type="http://schemas.openxmlformats.org/officeDocument/2006/relationships/hyperlink" Target="https://opengitops.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12E - Hybrid and Multi-Cloud Operations, Migration, DR, Security and FinOps</dc:title>
  <dc:subject>Federation • Connectivity • Kubernetes • IaC • Delivery • Data • Migration • Recovery • Governance</dc:subject>
  <dc:creator>OpenAI</dc:creator>
  <cp:keywords>DevOps, Cloud, AWS, Azure, Google Cloud, Multi-Cloud, Terraform, Architecture, FinOps, Security, Reliability</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