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6B87"/>
          <w:sz w:val="24"/>
        </w:rPr>
        <w:t>DEVOPS MASTER COURSE</w:t>
      </w:r>
    </w:p>
    <w:p>
      <w:pPr>
        <w:pStyle w:val="Title"/>
        <w:jc w:val="center"/>
      </w:pPr>
      <w:r>
        <w:t>Volume 14E</w:t>
      </w:r>
    </w:p>
    <w:p>
      <w:pPr>
        <w:jc w:val="center"/>
      </w:pPr>
      <w:r>
        <w:rPr>
          <w:b/>
          <w:color w:val="17324D"/>
          <w:sz w:val="40"/>
        </w:rPr>
        <w:t>AI Infrastructure Operations, Security, Risk and FinOps</w:t>
      </w:r>
    </w:p>
    <w:p>
      <w:pPr>
        <w:pStyle w:val="Subtitle"/>
        <w:jc w:val="center"/>
      </w:pPr>
      <w:r>
        <w:t>GPU | Storage | Networking | Scheduling | Observability | Cost | Security | Responsible AI</w:t>
      </w:r>
    </w:p>
    <w:p>
      <w:pPr>
        <w:keepNext w:val="0"/>
        <w:jc w:val="center"/>
      </w:pPr>
      <w:r>
        <w:t>Chapters 41-55 | 2026 Edition</w:t>
      </w:r>
    </w:p>
    <w:p/>
    <w:p>
      <w:pPr>
        <w:keepNext w:val="0"/>
        <w:jc w:val="center"/>
      </w:pPr>
      <w:r>
        <w:t>Beginner to Enterprise Mastery</w:t>
      </w:r>
    </w:p>
    <w:p>
      <w:r>
        <w:br w:type="page"/>
      </w:r>
    </w:p>
    <w:p>
      <w:pPr>
        <w:pStyle w:val="Heading1"/>
        <w:keepNext w:val="0"/>
      </w:pPr>
      <w:r>
        <w:t>About This Part</w:t>
      </w:r>
    </w:p>
    <w:p>
      <w:pPr>
        <w:keepNext w:val="0"/>
      </w:pPr>
      <w:r>
        <w:t>Part E operates expensive and risk-sensitive AI platforms through capacity, performance, security, governance, incident response, recovery and technology-value management.</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2026 curriculum note: The 2026 operating model connects AI cost, risk and outcomes. Accelerator utilization or token cost alone is insufficient without quality, reliability, privacy and business-value evidence.</w:t>
            </w:r>
          </w:p>
        </w:tc>
      </w:tr>
    </w:tbl>
    <w:p>
      <w:pPr>
        <w:spacing w:after="0"/>
      </w:pPr>
    </w:p>
    <w:p>
      <w:pPr>
        <w:pStyle w:val="Heading2"/>
        <w:keepNext w:val="0"/>
      </w:pPr>
      <w:r>
        <w:t>Volume 14 Roadmap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936"/>
            <w:shd w:fill="176B87"/>
            <w:tcMar>
              <w:top w:w="55" w:type="dxa"/>
              <w:start w:w="75" w:type="dxa"/>
              <w:bottom w:w="55" w:type="dxa"/>
              <w:end w:w="75" w:type="dxa"/>
            </w:tcMar>
            <w:vAlign w:val="center"/>
          </w:tcPr>
          <w:p>
            <w:r>
              <w:rPr>
                <w:b/>
                <w:color w:val="FFFFFF"/>
                <w:sz w:val="14"/>
              </w:rPr>
              <w:t>Part</w:t>
            </w:r>
          </w:p>
        </w:tc>
        <w:tc>
          <w:tcPr>
            <w:tcW w:type="dxa" w:w="7200"/>
            <w:shd w:fill="176B87"/>
            <w:tcMar>
              <w:top w:w="55" w:type="dxa"/>
              <w:start w:w="75" w:type="dxa"/>
              <w:bottom w:w="55" w:type="dxa"/>
              <w:end w:w="75" w:type="dxa"/>
            </w:tcMar>
            <w:vAlign w:val="center"/>
          </w:tcPr>
          <w:p>
            <w:r>
              <w:rPr>
                <w:b/>
                <w:color w:val="FFFFFF"/>
                <w:sz w:val="14"/>
              </w:rPr>
              <w:t>Coverage</w:t>
            </w:r>
          </w:p>
        </w:tc>
        <w:tc>
          <w:tcPr>
            <w:tcW w:type="dxa" w:w="1800"/>
            <w:shd w:fill="176B87"/>
            <w:tcMar>
              <w:top w:w="55" w:type="dxa"/>
              <w:start w:w="75" w:type="dxa"/>
              <w:bottom w:w="55" w:type="dxa"/>
              <w:end w:w="75" w:type="dxa"/>
            </w:tcMar>
            <w:vAlign w:val="center"/>
          </w:tcPr>
          <w:p>
            <w:r>
              <w:rPr>
                <w:b/>
                <w:color w:val="FFFFFF"/>
                <w:sz w:val="14"/>
              </w:rPr>
              <w:t>Status</w:t>
            </w:r>
          </w:p>
        </w:tc>
      </w:tr>
      <w:tr>
        <w:trPr>
          <w:cantSplit/>
        </w:trPr>
        <w:tc>
          <w:tcPr>
            <w:tcW w:type="dxa" w:w="936"/>
            <w:tcMar>
              <w:top w:w="55" w:type="dxa"/>
              <w:start w:w="75" w:type="dxa"/>
              <w:bottom w:w="55" w:type="dxa"/>
              <w:end w:w="75" w:type="dxa"/>
            </w:tcMar>
            <w:vAlign w:val="top"/>
          </w:tcPr>
          <w:p>
            <w:r>
              <w:rPr>
                <w:sz w:val="14"/>
              </w:rPr>
              <w:t>14A</w:t>
            </w:r>
          </w:p>
        </w:tc>
        <w:tc>
          <w:tcPr>
            <w:tcW w:type="dxa" w:w="7200"/>
            <w:tcMar>
              <w:top w:w="55" w:type="dxa"/>
              <w:start w:w="75" w:type="dxa"/>
              <w:bottom w:w="55" w:type="dxa"/>
              <w:end w:w="75" w:type="dxa"/>
            </w:tcMar>
            <w:vAlign w:val="top"/>
          </w:tcPr>
          <w:p>
            <w:r>
              <w:rPr>
                <w:sz w:val="14"/>
              </w:rPr>
              <w:t>DataOps and modern data-platform foundations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14B</w:t>
            </w:r>
          </w:p>
        </w:tc>
        <w:tc>
          <w:tcPr>
            <w:tcW w:type="dxa" w:w="7200"/>
            <w:tcMar>
              <w:top w:w="55" w:type="dxa"/>
              <w:start w:w="75" w:type="dxa"/>
              <w:bottom w:w="55" w:type="dxa"/>
              <w:end w:w="75" w:type="dxa"/>
            </w:tcMar>
            <w:vAlign w:val="top"/>
          </w:tcPr>
          <w:p>
            <w:r>
              <w:rPr>
                <w:sz w:val="14"/>
              </w:rPr>
              <w:t>MLOps lifecycle, registry and monitoring</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14C</w:t>
            </w:r>
          </w:p>
        </w:tc>
        <w:tc>
          <w:tcPr>
            <w:tcW w:type="dxa" w:w="7200"/>
            <w:tcMar>
              <w:top w:w="55" w:type="dxa"/>
              <w:start w:w="75" w:type="dxa"/>
              <w:bottom w:w="55" w:type="dxa"/>
              <w:end w:w="75" w:type="dxa"/>
            </w:tcMar>
            <w:vAlign w:val="top"/>
          </w:tcPr>
          <w:p>
            <w:r>
              <w:rPr>
                <w:sz w:val="14"/>
              </w:rPr>
              <w:t>Kubeflow, Ray and distributed AI infrastructure</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14D</w:t>
            </w:r>
          </w:p>
        </w:tc>
        <w:tc>
          <w:tcPr>
            <w:tcW w:type="dxa" w:w="7200"/>
            <w:tcMar>
              <w:top w:w="55" w:type="dxa"/>
              <w:start w:w="75" w:type="dxa"/>
              <w:bottom w:w="55" w:type="dxa"/>
              <w:end w:w="75" w:type="dxa"/>
            </w:tcMar>
            <w:vAlign w:val="top"/>
          </w:tcPr>
          <w:p>
            <w:r>
              <w:rPr>
                <w:sz w:val="14"/>
              </w:rPr>
              <w:t>Model serving, RAG, agents and LLMOps</w:t>
            </w:r>
          </w:p>
        </w:tc>
        <w:tc>
          <w:tcPr>
            <w:tcW w:type="dxa" w:w="1800"/>
            <w:tcMar>
              <w:top w:w="55" w:type="dxa"/>
              <w:start w:w="75" w:type="dxa"/>
              <w:bottom w:w="55" w:type="dxa"/>
              <w:end w:w="75" w:type="dxa"/>
            </w:tcMar>
            <w:vAlign w:val="top"/>
          </w:tcPr>
          <w:p>
            <w:r>
              <w:rPr>
                <w:sz w:val="14"/>
              </w:rPr>
              <w:t>Course sequence</w:t>
            </w:r>
          </w:p>
        </w:tc>
      </w:tr>
      <w:tr>
        <w:trPr>
          <w:cantSplit/>
        </w:trPr>
        <w:tc>
          <w:tcPr>
            <w:tcW w:type="dxa" w:w="936"/>
            <w:tcMar>
              <w:top w:w="55" w:type="dxa"/>
              <w:start w:w="75" w:type="dxa"/>
              <w:bottom w:w="55" w:type="dxa"/>
              <w:end w:w="75" w:type="dxa"/>
            </w:tcMar>
            <w:vAlign w:val="top"/>
          </w:tcPr>
          <w:p>
            <w:r>
              <w:rPr>
                <w:sz w:val="14"/>
              </w:rPr>
              <w:t>14E</w:t>
            </w:r>
          </w:p>
        </w:tc>
        <w:tc>
          <w:tcPr>
            <w:tcW w:type="dxa" w:w="7200"/>
            <w:tcMar>
              <w:top w:w="55" w:type="dxa"/>
              <w:start w:w="75" w:type="dxa"/>
              <w:bottom w:w="55" w:type="dxa"/>
              <w:end w:w="75" w:type="dxa"/>
            </w:tcMar>
            <w:vAlign w:val="top"/>
          </w:tcPr>
          <w:p>
            <w:r>
              <w:rPr>
                <w:sz w:val="14"/>
              </w:rPr>
              <w:t>AI infrastructure operations, security, risk and FinOps</w:t>
            </w:r>
          </w:p>
        </w:tc>
        <w:tc>
          <w:tcPr>
            <w:tcW w:type="dxa" w:w="1800"/>
            <w:tcMar>
              <w:top w:w="55" w:type="dxa"/>
              <w:start w:w="75" w:type="dxa"/>
              <w:bottom w:w="55" w:type="dxa"/>
              <w:end w:w="75" w:type="dxa"/>
            </w:tcMar>
            <w:vAlign w:val="top"/>
          </w:tcPr>
          <w:p>
            <w:r>
              <w:rPr>
                <w:sz w:val="14"/>
              </w:rPr>
              <w:t>Current part</w:t>
            </w:r>
          </w:p>
        </w:tc>
      </w:tr>
      <w:tr>
        <w:trPr>
          <w:cantSplit/>
        </w:trPr>
        <w:tc>
          <w:tcPr>
            <w:tcW w:type="dxa" w:w="936"/>
            <w:tcMar>
              <w:top w:w="55" w:type="dxa"/>
              <w:start w:w="75" w:type="dxa"/>
              <w:bottom w:w="55" w:type="dxa"/>
              <w:end w:w="75" w:type="dxa"/>
            </w:tcMar>
            <w:vAlign w:val="top"/>
          </w:tcPr>
          <w:p>
            <w:r>
              <w:rPr>
                <w:sz w:val="14"/>
              </w:rPr>
              <w:t>14F</w:t>
            </w:r>
          </w:p>
        </w:tc>
        <w:tc>
          <w:tcPr>
            <w:tcW w:type="dxa" w:w="7200"/>
            <w:tcMar>
              <w:top w:w="55" w:type="dxa"/>
              <w:start w:w="75" w:type="dxa"/>
              <w:bottom w:w="55" w:type="dxa"/>
              <w:end w:w="75" w:type="dxa"/>
            </w:tcMar>
            <w:vAlign w:val="top"/>
          </w:tcPr>
          <w:p>
            <w:r>
              <w:rPr>
                <w:sz w:val="14"/>
              </w:rPr>
              <w:t>Projects, interviews and final AI platform capstone</w:t>
            </w:r>
          </w:p>
        </w:tc>
        <w:tc>
          <w:tcPr>
            <w:tcW w:type="dxa" w:w="1800"/>
            <w:tcMar>
              <w:top w:w="55" w:type="dxa"/>
              <w:start w:w="75" w:type="dxa"/>
              <w:bottom w:w="55" w:type="dxa"/>
              <w:end w:w="75" w:type="dxa"/>
            </w:tcMar>
            <w:vAlign w:val="top"/>
          </w:tcPr>
          <w:p>
            <w:r>
              <w:rPr>
                <w:sz w:val="14"/>
              </w:rPr>
              <w:t>Course sequence</w:t>
            </w:r>
          </w:p>
        </w:tc>
      </w:tr>
    </w:tbl>
    <w:p>
      <w:pPr>
        <w:pStyle w:val="Heading2"/>
        <w:keepNext w:val="0"/>
      </w:pPr>
      <w:r>
        <w:t>Scope, Safety and Professional Practice</w:t>
      </w:r>
    </w:p>
    <w:p>
      <w:pPr>
        <w:pStyle w:val="ListBullet"/>
      </w:pPr>
      <w:r>
        <w:t>Use disposable sandboxes, local simulations or approved training subscriptions. Configure budgets, quotas and expiry before creating resources.</w:t>
      </w:r>
    </w:p>
    <w:p>
      <w:pPr>
        <w:pStyle w:val="ListBullet"/>
      </w:pPr>
      <w:r>
        <w:t>Never use production identities, customer data, employer account structures, internal addresses or confidential contracts in course artifacts.</w:t>
      </w:r>
    </w:p>
    <w:p>
      <w:pPr>
        <w:pStyle w:val="ListBullet"/>
      </w:pPr>
      <w:r>
        <w:t>Open-source projects, cloud services, AI models, pricing, limits and certification objectives change. Verify official documentation before production use or exam registration.</w:t>
      </w:r>
    </w:p>
    <w:p>
      <w:pPr>
        <w:pStyle w:val="ListBullet"/>
      </w:pPr>
      <w:r>
        <w:t>Run failure, security, red-team and recovery tests only in approved nonproduction environments with explicit stop conditions.</w:t>
      </w:r>
    </w:p>
    <w:p>
      <w:pPr>
        <w:pStyle w:val="ListBullet"/>
      </w:pPr>
      <w:r>
        <w:t>Destroy resources, revoke credentials, remove local state and sanitize every portfolio artifact.</w:t>
      </w:r>
    </w:p>
    <w:p>
      <w:pPr>
        <w:pStyle w:val="Heading2"/>
        <w:keepNext w:val="0"/>
      </w:pPr>
      <w:r>
        <w:t>Learning Outcomes</w:t>
      </w:r>
    </w:p>
    <w:p>
      <w:pPr>
        <w:pStyle w:val="ListBullet"/>
      </w:pPr>
      <w:r>
        <w:t>Explain and design the capabilities covered by AI Infrastructure Operations, Security, Risk and FinOps.</w:t>
      </w:r>
    </w:p>
    <w:p>
      <w:pPr>
        <w:pStyle w:val="ListBullet"/>
      </w:pPr>
      <w:r>
        <w:t>Implement or simulate production workflows through version-controlled automation.</w:t>
      </w:r>
    </w:p>
    <w:p>
      <w:pPr>
        <w:pStyle w:val="ListBullet"/>
      </w:pPr>
      <w:r>
        <w:t>Test identity, policy, security, reliability, cost and lifecycle behavior.</w:t>
      </w:r>
    </w:p>
    <w:p>
      <w:pPr>
        <w:pStyle w:val="ListBullet"/>
      </w:pPr>
      <w:r>
        <w:t>Troubleshoot complex failures using a structured evidence-first method.</w:t>
      </w:r>
    </w:p>
    <w:p>
      <w:pPr>
        <w:pStyle w:val="ListBullet"/>
      </w:pPr>
      <w:r>
        <w:t>Produce sanitized architecture, laboratory, runbook and interview portfolio artifacts.</w:t>
      </w:r>
    </w:p>
    <w:p>
      <w:r>
        <w:br w:type="page"/>
      </w:r>
    </w:p>
    <w:p>
      <w:pPr>
        <w:pStyle w:val="Heading1"/>
        <w:keepNext w:val="0"/>
      </w:pPr>
      <w:r>
        <w:t>Table of Contents</w:t>
      </w:r>
    </w:p>
    <w:p>
      <w:pPr>
        <w:keepNext w:val="0"/>
      </w:pPr>
      <w:r>
        <w:t>Chapter 41  GPU Cluster Architecture</w:t>
      </w:r>
    </w:p>
    <w:p>
      <w:pPr>
        <w:keepNext w:val="0"/>
      </w:pPr>
      <w:r>
        <w:t>Chapter 42  AI Storage and High-Performance Data Paths</w:t>
      </w:r>
    </w:p>
    <w:p>
      <w:pPr>
        <w:keepNext w:val="0"/>
      </w:pPr>
      <w:r>
        <w:t>Chapter 43  AI Networking and Distributed Communication</w:t>
      </w:r>
    </w:p>
    <w:p>
      <w:pPr>
        <w:keepNext w:val="0"/>
      </w:pPr>
      <w:r>
        <w:t>Chapter 44  Batch Scheduling and Queue Governance</w:t>
      </w:r>
    </w:p>
    <w:p>
      <w:pPr>
        <w:keepNext w:val="0"/>
      </w:pPr>
      <w:r>
        <w:t>Chapter 45  AI Platform Capacity Planning</w:t>
      </w:r>
    </w:p>
    <w:p>
      <w:pPr>
        <w:keepNext w:val="0"/>
      </w:pPr>
      <w:r>
        <w:t>Chapter 46  AI Observability and Performance Engineering</w:t>
      </w:r>
    </w:p>
    <w:p>
      <w:pPr>
        <w:keepNext w:val="0"/>
      </w:pPr>
      <w:r>
        <w:t>Chapter 47  AI FinOps and Unit Economics</w:t>
      </w:r>
    </w:p>
    <w:p>
      <w:pPr>
        <w:keepNext w:val="0"/>
      </w:pPr>
      <w:r>
        <w:t>Chapter 48  AI Infrastructure Security</w:t>
      </w:r>
    </w:p>
    <w:p>
      <w:pPr>
        <w:keepNext w:val="0"/>
      </w:pPr>
      <w:r>
        <w:t>Chapter 49  Model and Data Supply-Chain Security</w:t>
      </w:r>
    </w:p>
    <w:p>
      <w:pPr>
        <w:keepNext w:val="0"/>
      </w:pPr>
      <w:r>
        <w:t>Chapter 50  Data Privacy and Confidential AI</w:t>
      </w:r>
    </w:p>
    <w:p>
      <w:pPr>
        <w:keepNext w:val="0"/>
      </w:pPr>
      <w:r>
        <w:t>Chapter 51  Model Risk and Responsible AI Governance</w:t>
      </w:r>
    </w:p>
    <w:p>
      <w:pPr>
        <w:keepNext w:val="0"/>
      </w:pPr>
      <w:r>
        <w:t>Chapter 52  AI Incident Response</w:t>
      </w:r>
    </w:p>
    <w:p>
      <w:pPr>
        <w:keepNext w:val="0"/>
      </w:pPr>
      <w:r>
        <w:t>Chapter 53  AI Disaster Recovery and Continuity</w:t>
      </w:r>
    </w:p>
    <w:p>
      <w:pPr>
        <w:keepNext w:val="0"/>
      </w:pPr>
      <w:r>
        <w:t>Chapter 54  Hybrid and Multi-Cloud AI Platforms</w:t>
      </w:r>
    </w:p>
    <w:p>
      <w:pPr>
        <w:keepNext w:val="0"/>
      </w:pPr>
      <w:r>
        <w:t>Chapter 55  Enterprise AI Platform Operating Model Capstone</w:t>
      </w:r>
    </w:p>
    <w:p>
      <w:pPr>
        <w:keepNext w:val="0"/>
      </w:pPr>
      <w:r>
        <w:t>Enterprise AI Operations and Governance Reference</w:t>
      </w:r>
    </w:p>
    <w:p>
      <w:pPr>
        <w:keepNext w:val="0"/>
      </w:pPr>
      <w:r>
        <w:t>Completion Checklist</w:t>
      </w:r>
    </w:p>
    <w:p>
      <w:pPr>
        <w:keepNext w:val="0"/>
      </w:pPr>
      <w:r>
        <w:t>Additional Portfolio Projects</w:t>
      </w:r>
    </w:p>
    <w:p>
      <w:pPr>
        <w:keepNext w:val="0"/>
      </w:pPr>
      <w:r>
        <w:t>Practice Plan</w:t>
      </w:r>
    </w:p>
    <w:p>
      <w:pPr>
        <w:keepNext w:val="0"/>
      </w:pPr>
      <w:r>
        <w:t>Glossary</w:t>
      </w:r>
    </w:p>
    <w:p>
      <w:pPr>
        <w:keepNext w:val="0"/>
      </w:pPr>
      <w:r>
        <w:t>Official Documentation Index</w:t>
      </w:r>
    </w:p>
    <w:p>
      <w:r>
        <w:br w:type="page"/>
      </w:r>
    </w:p>
    <w:p>
      <w:pPr>
        <w:jc w:val="center"/>
      </w:pPr>
      <w:r>
        <w:rPr>
          <w:b/>
          <w:color w:val="14919B"/>
          <w:sz w:val="17"/>
        </w:rPr>
        <w:t>VOLUME 14E | CHAPTER 41</w:t>
      </w:r>
    </w:p>
    <w:p>
      <w:pPr>
        <w:pStyle w:val="Heading1"/>
        <w:jc w:val="center"/>
      </w:pPr>
      <w:r>
        <w:t>Chapter 41: GPU Cluster Architecture</w:t>
      </w:r>
    </w:p>
    <w:p>
      <w:pPr>
        <w:jc w:val="center"/>
      </w:pPr>
      <w:r>
        <w:rPr>
          <w:i/>
          <w:color w:val="4B5563"/>
          <w:sz w:val="19"/>
        </w:rPr>
        <w:t>Design nodes, drivers, runtimes, topology, networking and failure domains for accelerators.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GPU Cluster Architecture matters because enterprise outcomes depend on more than a successful tool installation. The team must make design nodes, drivers, runtimes, topology, networking and failure domains for accelerators.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gpu cluster architecture.</w:t>
      </w:r>
    </w:p>
    <w:p>
      <w:pPr>
        <w:pStyle w:val="ListBullet"/>
      </w:pPr>
      <w:r>
        <w:t>Design the capability using NVIDIA GPU Operator, Kubernetes, RDMA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and validate a gpu cluster baseline.</w:t>
      </w:r>
    </w:p>
    <w:p>
      <w:pPr>
        <w:pStyle w:val="Heading2"/>
        <w:keepNext/>
      </w:pPr>
      <w:r>
        <w:t>Core Concepts</w:t>
      </w:r>
    </w:p>
    <w:p>
      <w:pPr>
        <w:pStyle w:val="Heading3"/>
        <w:keepNext/>
      </w:pPr>
      <w:r>
        <w:t>Design nodes and problem framing</w:t>
      </w:r>
    </w:p>
    <w:p>
      <w:pPr>
        <w:keepNext w:val="0"/>
      </w:pPr>
      <w:r>
        <w:t>Design nodes and problem framing starts with a clear user or business problem. Define the desired outcome, the actors, the service boundary and the constraints before selecting implementation technology. For gpu cluster architecture, record assumptions and the evidence that would disprove them.</w:t>
      </w:r>
    </w:p>
    <w:p>
      <w:pPr>
        <w:pStyle w:val="Heading3"/>
        <w:keepNext/>
      </w:pPr>
      <w:r>
        <w:t>drivers architecture and operating boundaries</w:t>
      </w:r>
    </w:p>
    <w:p>
      <w:pPr>
        <w:keepNext w:val="0"/>
      </w:pPr>
      <w:r>
        <w:t>The architecture for drivers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runtimes automation, policy and evidence</w:t>
      </w:r>
    </w:p>
    <w:p>
      <w:pPr>
        <w:keepNext w:val="0"/>
      </w:pPr>
      <w:r>
        <w:t>Automation for runtimes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topology failure handling and continuous improvement</w:t>
      </w:r>
    </w:p>
    <w:p>
      <w:pPr>
        <w:keepNext w:val="0"/>
      </w:pPr>
      <w:r>
        <w:t>Continuous improvement for topology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NVIDIA GPU Operator</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RDMA</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NVIDIA GPU Operator</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RDMA</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gpu_cluster_architecture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41: Design and validate a GPU cluster baseline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gpu cluster architecture.</w:t>
      </w:r>
    </w:p>
    <w:p>
      <w:pPr>
        <w:ind w:left="360" w:hanging="360"/>
      </w:pPr>
      <w:r>
        <w:rPr>
          <w:b/>
        </w:rPr>
        <w:t xml:space="preserve">2. </w:t>
      </w:r>
      <w:r>
        <w:t>Create the smallest safe implementation or detailed simulation using NVIDIA GPU Operator, Kubernetes, RDMA.</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GPU Cluster Architecture?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GPU Cluster Architecture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42</w:t>
      </w:r>
    </w:p>
    <w:p>
      <w:pPr>
        <w:pStyle w:val="Heading1"/>
        <w:jc w:val="center"/>
      </w:pPr>
      <w:r>
        <w:t>Chapter 42: AI Storage and High-Performance Data Paths</w:t>
      </w:r>
    </w:p>
    <w:p>
      <w:pPr>
        <w:jc w:val="center"/>
      </w:pPr>
      <w:r>
        <w:rPr>
          <w:i/>
          <w:color w:val="4B5563"/>
          <w:sz w:val="19"/>
        </w:rPr>
        <w:t>Feed training and inference without starving expensive accelerators.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Storage and High-Performance Data Paths matters because enterprise outcomes depend on more than a successful tool installation. The team must make feed training and inference without starving expensive accelerators.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storage and high-performance data paths.</w:t>
      </w:r>
    </w:p>
    <w:p>
      <w:pPr>
        <w:pStyle w:val="ListBullet"/>
      </w:pPr>
      <w:r>
        <w:t>Design the capability using Object storage, parallel filesystems, caching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benchmark an ai data path and remove bottlenecks.</w:t>
      </w:r>
    </w:p>
    <w:p>
      <w:pPr>
        <w:pStyle w:val="Heading2"/>
        <w:keepNext/>
      </w:pPr>
      <w:r>
        <w:t>Core Concepts</w:t>
      </w:r>
    </w:p>
    <w:p>
      <w:pPr>
        <w:pStyle w:val="Heading3"/>
        <w:keepNext/>
      </w:pPr>
      <w:r>
        <w:t>Feed training and inference without starving expensive accelerators. and problem framing</w:t>
      </w:r>
    </w:p>
    <w:p>
      <w:pPr>
        <w:keepNext w:val="0"/>
      </w:pPr>
      <w:r>
        <w:t>Feed training and inference without starving expensive accelerators. and problem framing starts with a clear user or business problem. Define the desired outcome, the actors, the service boundary and the constraints before selecting implementation technology. For ai storage and high-performance data paths, record assumptions and the evidence that would disprove them.</w:t>
      </w:r>
    </w:p>
    <w:p>
      <w:pPr>
        <w:pStyle w:val="Heading3"/>
        <w:keepNext/>
      </w:pPr>
      <w:r>
        <w:t>AI Storage and High-Performance Data Paths architecture and operating boundaries</w:t>
      </w:r>
    </w:p>
    <w:p>
      <w:pPr>
        <w:keepNext w:val="0"/>
      </w:pPr>
      <w:r>
        <w:t>The architecture for ai storage and high-performance data paths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AI Storage and High-Performance Data Paths automation, policy and evidence</w:t>
      </w:r>
    </w:p>
    <w:p>
      <w:pPr>
        <w:keepNext w:val="0"/>
      </w:pPr>
      <w:r>
        <w:t>Automation for ai storage and high-performance data paths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AI Storage and High-Performance Data Paths failure handling and continuous improvement</w:t>
      </w:r>
    </w:p>
    <w:p>
      <w:pPr>
        <w:keepNext w:val="0"/>
      </w:pPr>
      <w:r>
        <w:t>Continuous improvement for ai storage and high-performance data paths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parallel filesystems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caching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parallel filesystems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caching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ai_storage_and_high_performance_</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42: Benchmark an AI data path and remove bottlenecks</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storage and high-performance data paths.</w:t>
      </w:r>
    </w:p>
    <w:p>
      <w:pPr>
        <w:ind w:left="360" w:hanging="360"/>
      </w:pPr>
      <w:r>
        <w:rPr>
          <w:b/>
        </w:rPr>
        <w:t xml:space="preserve">2. </w:t>
      </w:r>
      <w:r>
        <w:t>Create the smallest safe implementation or detailed simulation using Object storage, parallel filesystems, caching.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Storage and High-Performance Data Paths?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Storage and High-Performance Data Paths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43</w:t>
      </w:r>
    </w:p>
    <w:p>
      <w:pPr>
        <w:pStyle w:val="Heading1"/>
        <w:jc w:val="center"/>
      </w:pPr>
      <w:r>
        <w:t>Chapter 43: AI Networking and Distributed Communication</w:t>
      </w:r>
    </w:p>
    <w:p>
      <w:pPr>
        <w:jc w:val="center"/>
      </w:pPr>
      <w:r>
        <w:rPr>
          <w:i/>
          <w:color w:val="4B5563"/>
          <w:sz w:val="19"/>
        </w:rPr>
        <w:t>Engineer bandwidth, latency, collectives and isolation for scale-out training.</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Networking and Distributed Communication matters because enterprise outcomes depend on more than a successful tool installation. The team must make engineer bandwidth, latency, collectives and isolation for scale-out training.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networking and distributed communication.</w:t>
      </w:r>
    </w:p>
    <w:p>
      <w:pPr>
        <w:pStyle w:val="ListBullet"/>
      </w:pPr>
      <w:r>
        <w:t>Design the capability using RDMA, NCCL, CNI, service mesh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diagnose a distributed-training network bottleneck.</w:t>
      </w:r>
    </w:p>
    <w:p>
      <w:pPr>
        <w:pStyle w:val="Heading2"/>
        <w:keepNext/>
      </w:pPr>
      <w:r>
        <w:t>Core Concepts</w:t>
      </w:r>
    </w:p>
    <w:p>
      <w:pPr>
        <w:pStyle w:val="Heading3"/>
        <w:keepNext/>
      </w:pPr>
      <w:r>
        <w:t>Engineer bandwidth and problem framing</w:t>
      </w:r>
    </w:p>
    <w:p>
      <w:pPr>
        <w:keepNext w:val="0"/>
      </w:pPr>
      <w:r>
        <w:t>Engineer bandwidth and problem framing starts with a clear user or business problem. Define the desired outcome, the actors, the service boundary and the constraints before selecting implementation technology. For ai networking and distributed communication, record assumptions and the evidence that would disprove them.</w:t>
      </w:r>
    </w:p>
    <w:p>
      <w:pPr>
        <w:pStyle w:val="Heading3"/>
        <w:keepNext/>
      </w:pPr>
      <w:r>
        <w:t>latency architecture and operating boundaries</w:t>
      </w:r>
    </w:p>
    <w:p>
      <w:pPr>
        <w:keepNext w:val="0"/>
      </w:pPr>
      <w:r>
        <w:t>The architecture for latency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collectives and isolation for scale-out training. automation, policy and evidence</w:t>
      </w:r>
    </w:p>
    <w:p>
      <w:pPr>
        <w:keepNext w:val="0"/>
      </w:pPr>
      <w:r>
        <w:t>Automation for collectives and isolation for scale-out training.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AI Networking and Distributed Communication failure handling and continuous improvement</w:t>
      </w:r>
    </w:p>
    <w:p>
      <w:pPr>
        <w:keepNext w:val="0"/>
      </w:pPr>
      <w:r>
        <w:t>Continuous improvement for ai networking and distributed communication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RDMA</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NCCL</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CNI</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service mesh</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RDMA</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NCCL</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ai_networking_and_distributed_co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43: Diagnose a distributed-training network bottleneck</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networking and distributed communication.</w:t>
      </w:r>
    </w:p>
    <w:p>
      <w:pPr>
        <w:ind w:left="360" w:hanging="360"/>
      </w:pPr>
      <w:r>
        <w:rPr>
          <w:b/>
        </w:rPr>
        <w:t xml:space="preserve">2. </w:t>
      </w:r>
      <w:r>
        <w:t>Create the smallest safe implementation or detailed simulation using RDMA, NCCL, CNI, service mesh.</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Networking and Distributed Communication?</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Networking and Distributed Communication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44</w:t>
      </w:r>
    </w:p>
    <w:p>
      <w:pPr>
        <w:pStyle w:val="Heading1"/>
        <w:jc w:val="center"/>
      </w:pPr>
      <w:r>
        <w:t>Chapter 44: Batch Scheduling and Queue Governance</w:t>
      </w:r>
    </w:p>
    <w:p>
      <w:pPr>
        <w:jc w:val="center"/>
      </w:pPr>
      <w:r>
        <w:rPr>
          <w:i/>
          <w:color w:val="4B5563"/>
          <w:sz w:val="19"/>
        </w:rPr>
        <w:t>Balance priorities, quotas, fairness, gang scheduling and preemption.</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Batch Scheduling and Queue Governance matters because enterprise outcomes depend on more than a successful tool installation. The team must make balance priorities, quotas, fairness, gang scheduling and preemption.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batch scheduling and queue governance.</w:t>
      </w:r>
    </w:p>
    <w:p>
      <w:pPr>
        <w:pStyle w:val="ListBullet"/>
      </w:pPr>
      <w:r>
        <w:t>Design the capability using Kueue, Volcano, Slurm integration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multi-team ai queue policy.</w:t>
      </w:r>
    </w:p>
    <w:p>
      <w:pPr>
        <w:pStyle w:val="Heading2"/>
        <w:keepNext/>
      </w:pPr>
      <w:r>
        <w:t>Core Concepts</w:t>
      </w:r>
    </w:p>
    <w:p>
      <w:pPr>
        <w:pStyle w:val="Heading3"/>
        <w:keepNext/>
      </w:pPr>
      <w:r>
        <w:t>Balance priorities and problem framing</w:t>
      </w:r>
    </w:p>
    <w:p>
      <w:pPr>
        <w:keepNext w:val="0"/>
      </w:pPr>
      <w:r>
        <w:t>Balance priorities and problem framing starts with a clear user or business problem. Define the desired outcome, the actors, the service boundary and the constraints before selecting implementation technology. For batch scheduling and queue governance, record assumptions and the evidence that would disprove them.</w:t>
      </w:r>
    </w:p>
    <w:p>
      <w:pPr>
        <w:pStyle w:val="Heading3"/>
        <w:keepNext/>
      </w:pPr>
      <w:r>
        <w:t>quotas architecture and operating boundaries</w:t>
      </w:r>
    </w:p>
    <w:p>
      <w:pPr>
        <w:keepNext w:val="0"/>
      </w:pPr>
      <w:r>
        <w:t>The architecture for quotas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fairness automation, policy and evidence</w:t>
      </w:r>
    </w:p>
    <w:p>
      <w:pPr>
        <w:keepNext w:val="0"/>
      </w:pPr>
      <w:r>
        <w:t>Automation for fairness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gang scheduling and preemption. failure handling and continuous improvement</w:t>
      </w:r>
    </w:p>
    <w:p>
      <w:pPr>
        <w:keepNext w:val="0"/>
      </w:pPr>
      <w:r>
        <w:t>Continuous improvement for gang scheduling and preemption.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Kueue</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Volcano</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Slurm integration</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Kueue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Volcano</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Slurm integration</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batch_scheduling_and_queue_gover</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44: Create a multi-team AI queue policy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batch scheduling and queue governance.</w:t>
      </w:r>
    </w:p>
    <w:p>
      <w:pPr>
        <w:ind w:left="360" w:hanging="360"/>
      </w:pPr>
      <w:r>
        <w:rPr>
          <w:b/>
        </w:rPr>
        <w:t xml:space="preserve">2. </w:t>
      </w:r>
      <w:r>
        <w:t>Create the smallest safe implementation or detailed simulation using Kueue, Volcano, Slurm integration.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Batch Scheduling and Queue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Batch Scheduling and Queue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45</w:t>
      </w:r>
    </w:p>
    <w:p>
      <w:pPr>
        <w:pStyle w:val="Heading1"/>
        <w:jc w:val="center"/>
      </w:pPr>
      <w:r>
        <w:t>Chapter 45: AI Platform Capacity Planning</w:t>
      </w:r>
    </w:p>
    <w:p>
      <w:pPr>
        <w:jc w:val="center"/>
      </w:pPr>
      <w:r>
        <w:rPr>
          <w:i/>
          <w:color w:val="4B5563"/>
          <w:sz w:val="19"/>
        </w:rPr>
        <w:t>Forecast GPU, CPU, memory, storage and token demand with admission controls.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Platform Capacity Planning matters because enterprise outcomes depend on more than a successful tool installation. The team must make forecast gpu, cpu, memory, storage and token demand with admission controls.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platform capacity planning.</w:t>
      </w:r>
    </w:p>
    <w:p>
      <w:pPr>
        <w:pStyle w:val="ListBullet"/>
      </w:pPr>
      <w:r>
        <w:t>Design the capability using Capacity models, reservations, autoscaling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12-month accelerator capacity plan.</w:t>
      </w:r>
    </w:p>
    <w:p>
      <w:pPr>
        <w:pStyle w:val="Heading2"/>
        <w:keepNext/>
      </w:pPr>
      <w:r>
        <w:t>Core Concepts</w:t>
      </w:r>
    </w:p>
    <w:p>
      <w:pPr>
        <w:pStyle w:val="Heading3"/>
        <w:keepNext/>
      </w:pPr>
      <w:r>
        <w:t>Forecast GPU and problem framing</w:t>
      </w:r>
    </w:p>
    <w:p>
      <w:pPr>
        <w:keepNext w:val="0"/>
      </w:pPr>
      <w:r>
        <w:t>Forecast GPU and problem framing starts with a clear user or business problem. Define the desired outcome, the actors, the service boundary and the constraints before selecting implementation technology. For ai platform capacity planning, record assumptions and the evidence that would disprove them.</w:t>
      </w:r>
    </w:p>
    <w:p>
      <w:pPr>
        <w:pStyle w:val="Heading3"/>
        <w:keepNext/>
      </w:pPr>
      <w:r>
        <w:t>CPU architecture and operating boundaries</w:t>
      </w:r>
    </w:p>
    <w:p>
      <w:pPr>
        <w:keepNext w:val="0"/>
      </w:pPr>
      <w:r>
        <w:t>The architecture for cpu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memory automation, policy and evidence</w:t>
      </w:r>
    </w:p>
    <w:p>
      <w:pPr>
        <w:keepNext w:val="0"/>
      </w:pPr>
      <w:r>
        <w:t>Automation for memory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storage and token demand with admission controls. failure handling and continuous improvement</w:t>
      </w:r>
    </w:p>
    <w:p>
      <w:pPr>
        <w:keepNext w:val="0"/>
      </w:pPr>
      <w:r>
        <w:t>Continuous improvement for storage and token demand with admission controls.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Capacity models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reservations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autoscaling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Capacity models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reservations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autoscaling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ai_platform_capacity_planning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45: Build a 12-month accelerator capacity plan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platform capacity planning.</w:t>
      </w:r>
    </w:p>
    <w:p>
      <w:pPr>
        <w:ind w:left="360" w:hanging="360"/>
      </w:pPr>
      <w:r>
        <w:rPr>
          <w:b/>
        </w:rPr>
        <w:t xml:space="preserve">2. </w:t>
      </w:r>
      <w:r>
        <w:t>Create the smallest safe implementation or detailed simulation using Capacity models, reservations, autoscaling.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Platform Capacity Planning?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Platform Capacity Planning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46</w:t>
      </w:r>
    </w:p>
    <w:p>
      <w:pPr>
        <w:pStyle w:val="Heading1"/>
        <w:jc w:val="center"/>
      </w:pPr>
      <w:r>
        <w:t>Chapter 46: AI Observability and Performance Engineering</w:t>
      </w:r>
    </w:p>
    <w:p>
      <w:pPr>
        <w:jc w:val="center"/>
      </w:pPr>
      <w:r>
        <w:rPr>
          <w:i/>
          <w:color w:val="4B5563"/>
          <w:sz w:val="19"/>
        </w:rPr>
        <w:t>Correlate infrastructure, framework, model and user signals across the lifecycle.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Observability and Performance Engineering matters because enterprise outcomes depend on more than a successful tool installation. The team must make correlate infrastructure, framework, model and user signals across the lifecycle.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observability and performance engineering.</w:t>
      </w:r>
    </w:p>
    <w:p>
      <w:pPr>
        <w:pStyle w:val="ListBullet"/>
      </w:pPr>
      <w:r>
        <w:t>Design the capability using OpenTelemetry, DCGM exporter, profiling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an ai workload observability dashboard.</w:t>
      </w:r>
    </w:p>
    <w:p>
      <w:pPr>
        <w:pStyle w:val="Heading2"/>
        <w:keepNext/>
      </w:pPr>
      <w:r>
        <w:t>Core Concepts</w:t>
      </w:r>
    </w:p>
    <w:p>
      <w:pPr>
        <w:pStyle w:val="Heading3"/>
        <w:keepNext/>
      </w:pPr>
      <w:r>
        <w:t>Correlate infrastructure and problem framing</w:t>
      </w:r>
    </w:p>
    <w:p>
      <w:pPr>
        <w:keepNext w:val="0"/>
      </w:pPr>
      <w:r>
        <w:t>Correlate infrastructure and problem framing starts with a clear user or business problem. Define the desired outcome, the actors, the service boundary and the constraints before selecting implementation technology. For ai observability and performance engineering, record assumptions and the evidence that would disprove them.</w:t>
      </w:r>
    </w:p>
    <w:p>
      <w:pPr>
        <w:pStyle w:val="Heading3"/>
        <w:keepNext/>
      </w:pPr>
      <w:r>
        <w:t>framework architecture and operating boundaries</w:t>
      </w:r>
    </w:p>
    <w:p>
      <w:pPr>
        <w:keepNext w:val="0"/>
      </w:pPr>
      <w:r>
        <w:t>The architecture for framework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model and user signals across the lifecycle. automation, policy and evidence</w:t>
      </w:r>
    </w:p>
    <w:p>
      <w:pPr>
        <w:keepNext w:val="0"/>
      </w:pPr>
      <w:r>
        <w:t>Automation for model and user signals across the lifecycle.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AI Observability and Performance Engineering failure handling and continuous improvement</w:t>
      </w:r>
    </w:p>
    <w:p>
      <w:pPr>
        <w:keepNext w:val="0"/>
      </w:pPr>
      <w:r>
        <w:t>Continuous improvement for ai observability and performance engineering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DCGM exporter</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profiling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OpenTelemetry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DCGM exporter</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profiling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ai_observability_and_performance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46</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46: Build an AI workload observability dashboard</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observability and performance engineering.</w:t>
      </w:r>
    </w:p>
    <w:p>
      <w:pPr>
        <w:ind w:left="360" w:hanging="360"/>
      </w:pPr>
      <w:r>
        <w:rPr>
          <w:b/>
        </w:rPr>
        <w:t xml:space="preserve">2. </w:t>
      </w:r>
      <w:r>
        <w:t>Create the smallest safe implementation or detailed simulation using OpenTelemetry, DCGM exporter, profiling.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Observability and Performance Engineering?</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Observability and Performance Engineering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47</w:t>
      </w:r>
    </w:p>
    <w:p>
      <w:pPr>
        <w:pStyle w:val="Heading1"/>
        <w:jc w:val="center"/>
      </w:pPr>
      <w:r>
        <w:t>Chapter 47: AI FinOps and Unit Economics</w:t>
      </w:r>
    </w:p>
    <w:p>
      <w:pPr>
        <w:jc w:val="center"/>
      </w:pPr>
      <w:r>
        <w:rPr>
          <w:i/>
          <w:color w:val="4B5563"/>
          <w:sz w:val="19"/>
        </w:rPr>
        <w:t>Measure training, inference, storage, token and experiment costs against outcomes.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FinOps and Unit Economics matters because enterprise outcomes depend on more than a successful tool installation. The team must make measure training, inference, storage, token and experiment costs against outcomes.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finops and unit economics.</w:t>
      </w:r>
    </w:p>
    <w:p>
      <w:pPr>
        <w:pStyle w:val="ListBullet"/>
      </w:pPr>
      <w:r>
        <w:t>Design the capability using FinOps, billing exports, unit costs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cost-per-training-run and cost-per-request model.</w:t>
      </w:r>
    </w:p>
    <w:p>
      <w:pPr>
        <w:pStyle w:val="Heading2"/>
        <w:keepNext/>
      </w:pPr>
      <w:r>
        <w:t>Core Concepts</w:t>
      </w:r>
    </w:p>
    <w:p>
      <w:pPr>
        <w:pStyle w:val="Heading3"/>
        <w:keepNext/>
      </w:pPr>
      <w:r>
        <w:t>Measure training and problem framing</w:t>
      </w:r>
    </w:p>
    <w:p>
      <w:pPr>
        <w:keepNext w:val="0"/>
      </w:pPr>
      <w:r>
        <w:t>Measure training and problem framing starts with a clear user or business problem. Define the desired outcome, the actors, the service boundary and the constraints before selecting implementation technology. For ai finops and unit economics, record assumptions and the evidence that would disprove them.</w:t>
      </w:r>
    </w:p>
    <w:p>
      <w:pPr>
        <w:pStyle w:val="Heading3"/>
        <w:keepNext/>
      </w:pPr>
      <w:r>
        <w:t>inference architecture and operating boundaries</w:t>
      </w:r>
    </w:p>
    <w:p>
      <w:pPr>
        <w:keepNext w:val="0"/>
      </w:pPr>
      <w:r>
        <w:t>The architecture for inference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storage automation, policy and evidence</w:t>
      </w:r>
    </w:p>
    <w:p>
      <w:pPr>
        <w:keepNext w:val="0"/>
      </w:pPr>
      <w:r>
        <w:t>Automation for storage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token and experiment costs against outcomes. failure handling and continuous improvement</w:t>
      </w:r>
    </w:p>
    <w:p>
      <w:pPr>
        <w:keepNext w:val="0"/>
      </w:pPr>
      <w:r>
        <w:t>Continuous improvement for token and experiment costs against outcomes.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billing exports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unit costs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billing exports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unit costs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ai_finops_and_unit_economics</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47</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47: Create a cost-per-training-run and cost-per-request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finops and unit economics.</w:t>
      </w:r>
    </w:p>
    <w:p>
      <w:pPr>
        <w:ind w:left="360" w:hanging="360"/>
      </w:pPr>
      <w:r>
        <w:rPr>
          <w:b/>
        </w:rPr>
        <w:t xml:space="preserve">2. </w:t>
      </w:r>
      <w:r>
        <w:t>Create the smallest safe implementation or detailed simulation using FinOps, billing exports, unit costs.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FinOps and Unit Economics?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FinOps and Unit Economics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48</w:t>
      </w:r>
    </w:p>
    <w:p>
      <w:pPr>
        <w:pStyle w:val="Heading1"/>
        <w:jc w:val="center"/>
      </w:pPr>
      <w:r>
        <w:t>Chapter 48: AI Infrastructure Security</w:t>
      </w:r>
    </w:p>
    <w:p>
      <w:pPr>
        <w:jc w:val="center"/>
      </w:pPr>
      <w:r>
        <w:rPr>
          <w:i/>
          <w:color w:val="4B5563"/>
          <w:sz w:val="19"/>
        </w:rPr>
        <w:t>Protect images, drivers, notebooks, model endpoints, GPUs and control planes.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Infrastructure Security matters because enterprise outcomes depend on more than a successful tool installation. The team must make protect images, drivers, notebooks, model endpoints, gpus and control planes.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infrastructure security.</w:t>
      </w:r>
    </w:p>
    <w:p>
      <w:pPr>
        <w:pStyle w:val="ListBullet"/>
      </w:pPr>
      <w:r>
        <w:t>Design the capability using Workload identity, sandboxing, network policy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complete an ai infrastructure threat model.</w:t>
      </w:r>
    </w:p>
    <w:p>
      <w:pPr>
        <w:pStyle w:val="Heading2"/>
        <w:keepNext/>
      </w:pPr>
      <w:r>
        <w:t>Core Concepts</w:t>
      </w:r>
    </w:p>
    <w:p>
      <w:pPr>
        <w:pStyle w:val="Heading3"/>
        <w:keepNext/>
      </w:pPr>
      <w:r>
        <w:t>Protect images and problem framing</w:t>
      </w:r>
    </w:p>
    <w:p>
      <w:pPr>
        <w:keepNext w:val="0"/>
      </w:pPr>
      <w:r>
        <w:t>Protect images and problem framing starts with a clear user or business problem. Define the desired outcome, the actors, the service boundary and the constraints before selecting implementation technology. For ai infrastructure security, record assumptions and the evidence that would disprove them.</w:t>
      </w:r>
    </w:p>
    <w:p>
      <w:pPr>
        <w:pStyle w:val="Heading3"/>
        <w:keepNext/>
      </w:pPr>
      <w:r>
        <w:t>drivers architecture and operating boundaries</w:t>
      </w:r>
    </w:p>
    <w:p>
      <w:pPr>
        <w:keepNext w:val="0"/>
      </w:pPr>
      <w:r>
        <w:t>The architecture for drivers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notebooks automation, policy and evidence</w:t>
      </w:r>
    </w:p>
    <w:p>
      <w:pPr>
        <w:keepNext w:val="0"/>
      </w:pPr>
      <w:r>
        <w:t>Automation for notebooks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model endpoints failure handling and continuous improvement</w:t>
      </w:r>
    </w:p>
    <w:p>
      <w:pPr>
        <w:keepNext w:val="0"/>
      </w:pPr>
      <w:r>
        <w:t>Continuous improvement for model endpoints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Workload identity</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sandboxing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network policy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Workload identity</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sandboxing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network policy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ai_infrastructure_security</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48</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48: Complete an AI infrastructure threat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infrastructure security.</w:t>
      </w:r>
    </w:p>
    <w:p>
      <w:pPr>
        <w:ind w:left="360" w:hanging="360"/>
      </w:pPr>
      <w:r>
        <w:rPr>
          <w:b/>
        </w:rPr>
        <w:t xml:space="preserve">2. </w:t>
      </w:r>
      <w:r>
        <w:t>Create the smallest safe implementation or detailed simulation using Workload identity, sandboxing, network policy.</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Infrastructure Security?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Infrastructure Security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49</w:t>
      </w:r>
    </w:p>
    <w:p>
      <w:pPr>
        <w:pStyle w:val="Heading1"/>
        <w:jc w:val="center"/>
      </w:pPr>
      <w:r>
        <w:t>Chapter 49: Model and Data Supply-Chain Security</w:t>
      </w:r>
    </w:p>
    <w:p>
      <w:pPr>
        <w:jc w:val="center"/>
      </w:pPr>
      <w:r>
        <w:rPr>
          <w:i/>
          <w:color w:val="4B5563"/>
          <w:sz w:val="19"/>
        </w:rPr>
        <w:t>Verify datasets, code, dependencies, models, checkpoints and deployment artifacts.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Model and Data Supply-Chain Security matters because enterprise outcomes depend on more than a successful tool installation. The team must make verify datasets, code, dependencies, models, checkpoints and deployment artifacts.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model and data supply-chain security.</w:t>
      </w:r>
    </w:p>
    <w:p>
      <w:pPr>
        <w:pStyle w:val="ListBullet"/>
      </w:pPr>
      <w:r>
        <w:t>Design the capability using SBOM, signing, provenance, model scanning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build a signed model promotion workflow.</w:t>
      </w:r>
    </w:p>
    <w:p>
      <w:pPr>
        <w:pStyle w:val="Heading2"/>
        <w:keepNext/>
      </w:pPr>
      <w:r>
        <w:t>Core Concepts</w:t>
      </w:r>
    </w:p>
    <w:p>
      <w:pPr>
        <w:pStyle w:val="Heading3"/>
        <w:keepNext/>
      </w:pPr>
      <w:r>
        <w:t>Verify datasets and problem framing</w:t>
      </w:r>
    </w:p>
    <w:p>
      <w:pPr>
        <w:keepNext w:val="0"/>
      </w:pPr>
      <w:r>
        <w:t>Verify datasets and problem framing starts with a clear user or business problem. Define the desired outcome, the actors, the service boundary and the constraints before selecting implementation technology. For model and data supply-chain security, record assumptions and the evidence that would disprove them.</w:t>
      </w:r>
    </w:p>
    <w:p>
      <w:pPr>
        <w:pStyle w:val="Heading3"/>
        <w:keepNext/>
      </w:pPr>
      <w:r>
        <w:t>code architecture and operating boundaries</w:t>
      </w:r>
    </w:p>
    <w:p>
      <w:pPr>
        <w:keepNext w:val="0"/>
      </w:pPr>
      <w:r>
        <w:t>The architecture for code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dependencies automation, policy and evidence</w:t>
      </w:r>
    </w:p>
    <w:p>
      <w:pPr>
        <w:keepNext w:val="0"/>
      </w:pPr>
      <w:r>
        <w:t>Automation for dependencies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models failure handling and continuous improvement</w:t>
      </w:r>
    </w:p>
    <w:p>
      <w:pPr>
        <w:keepNext w:val="0"/>
      </w:pPr>
      <w:r>
        <w:t>Continuous improvement for models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SBOM</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signing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provenance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model scanning</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SBOM</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signing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model_and_data_supply_chain_secu</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49</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49: Build a signed model promotion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model and data supply-chain security.</w:t>
      </w:r>
    </w:p>
    <w:p>
      <w:pPr>
        <w:ind w:left="360" w:hanging="360"/>
      </w:pPr>
      <w:r>
        <w:rPr>
          <w:b/>
        </w:rPr>
        <w:t xml:space="preserve">2. </w:t>
      </w:r>
      <w:r>
        <w:t>Create the smallest safe implementation or detailed simulation using SBOM, signing, provenance, model scanning.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Model and Data Supply-Chain Security?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Model and Data Supply-Chain Security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50</w:t>
      </w:r>
    </w:p>
    <w:p>
      <w:pPr>
        <w:pStyle w:val="Heading1"/>
        <w:jc w:val="center"/>
      </w:pPr>
      <w:r>
        <w:t>Chapter 50: Data Privacy and Confidential AI</w:t>
      </w:r>
    </w:p>
    <w:p>
      <w:pPr>
        <w:jc w:val="center"/>
      </w:pPr>
      <w:r>
        <w:rPr>
          <w:i/>
          <w:color w:val="4B5563"/>
          <w:sz w:val="19"/>
        </w:rPr>
        <w:t>Control sensitive training data, prompts, outputs and access evidence.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Data Privacy and Confidential AI matters because enterprise outcomes depend on more than a successful tool installation. The team must make control sensitive training data, prompts, outputs and access evidence.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data privacy and confidential ai.</w:t>
      </w:r>
    </w:p>
    <w:p>
      <w:pPr>
        <w:pStyle w:val="ListBullet"/>
      </w:pPr>
      <w:r>
        <w:t>Design the capability using Encryption, masking, confidential computing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privacy-preserving ai workflow.</w:t>
      </w:r>
    </w:p>
    <w:p>
      <w:pPr>
        <w:pStyle w:val="Heading2"/>
        <w:keepNext/>
      </w:pPr>
      <w:r>
        <w:t>Core Concepts</w:t>
      </w:r>
    </w:p>
    <w:p>
      <w:pPr>
        <w:pStyle w:val="Heading3"/>
        <w:keepNext/>
      </w:pPr>
      <w:r>
        <w:t>Control sensitive training data and problem framing</w:t>
      </w:r>
    </w:p>
    <w:p>
      <w:pPr>
        <w:keepNext w:val="0"/>
      </w:pPr>
      <w:r>
        <w:t>Control sensitive training data and problem framing starts with a clear user or business problem. Define the desired outcome, the actors, the service boundary and the constraints before selecting implementation technology. For data privacy and confidential ai, record assumptions and the evidence that would disprove them.</w:t>
      </w:r>
    </w:p>
    <w:p>
      <w:pPr>
        <w:pStyle w:val="Heading3"/>
        <w:keepNext/>
      </w:pPr>
      <w:r>
        <w:t>prompts architecture and operating boundaries</w:t>
      </w:r>
    </w:p>
    <w:p>
      <w:pPr>
        <w:keepNext w:val="0"/>
      </w:pPr>
      <w:r>
        <w:t>The architecture for prompts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outputs and access evidence. automation, policy and evidence</w:t>
      </w:r>
    </w:p>
    <w:p>
      <w:pPr>
        <w:keepNext w:val="0"/>
      </w:pPr>
      <w:r>
        <w:t>Automation for outputs and access evidence.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 Privacy and Confidential AI failure handling and continuous improvement</w:t>
      </w:r>
    </w:p>
    <w:p>
      <w:pPr>
        <w:keepNext w:val="0"/>
      </w:pPr>
      <w:r>
        <w:t>Continuous improvement for data privacy and confidential ai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Encryption</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masking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confidential computing</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Encryption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masking</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confidential computing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data_privacy_and_confidential_ai</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50</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50: Design a privacy-preserving AI workflow</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data privacy and confidential ai.</w:t>
      </w:r>
    </w:p>
    <w:p>
      <w:pPr>
        <w:ind w:left="360" w:hanging="360"/>
      </w:pPr>
      <w:r>
        <w:rPr>
          <w:b/>
        </w:rPr>
        <w:t xml:space="preserve">2. </w:t>
      </w:r>
      <w:r>
        <w:t>Create the smallest safe implementation or detailed simulation using Encryption, masking, confidential computing.</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Data Privacy and Confidential AI?</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Data Privacy and Confidential AI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51</w:t>
      </w:r>
    </w:p>
    <w:p>
      <w:pPr>
        <w:pStyle w:val="Heading1"/>
        <w:jc w:val="center"/>
      </w:pPr>
      <w:r>
        <w:t>Chapter 51: Model Risk and Responsible AI Governance</w:t>
      </w:r>
    </w:p>
    <w:p>
      <w:pPr>
        <w:jc w:val="center"/>
      </w:pPr>
      <w:r>
        <w:rPr>
          <w:i/>
          <w:color w:val="4B5563"/>
          <w:sz w:val="19"/>
        </w:rPr>
        <w:t>Define risk tiers, documentation, validation, human oversight and accountability.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Model Risk and Responsible AI Governance matters because enterprise outcomes depend on more than a successful tool installation. The team must make define risk tiers, documentation, validation, human oversight and accountability.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model risk and responsible ai governance.</w:t>
      </w:r>
    </w:p>
    <w:p>
      <w:pPr>
        <w:pStyle w:val="ListBullet"/>
      </w:pPr>
      <w:r>
        <w:t>Design the capability using NIST AI RMF, model cards, risk registers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create a model-risk assessment package.</w:t>
      </w:r>
    </w:p>
    <w:p>
      <w:pPr>
        <w:pStyle w:val="Heading2"/>
        <w:keepNext/>
      </w:pPr>
      <w:r>
        <w:t>Core Concepts</w:t>
      </w:r>
    </w:p>
    <w:p>
      <w:pPr>
        <w:pStyle w:val="Heading3"/>
        <w:keepNext/>
      </w:pPr>
      <w:r>
        <w:t>Define risk tiers and problem framing</w:t>
      </w:r>
    </w:p>
    <w:p>
      <w:pPr>
        <w:keepNext w:val="0"/>
      </w:pPr>
      <w:r>
        <w:t>Define risk tiers and problem framing starts with a clear user or business problem. Define the desired outcome, the actors, the service boundary and the constraints before selecting implementation technology. For model risk and responsible ai governance, record assumptions and the evidence that would disprove them.</w:t>
      </w:r>
    </w:p>
    <w:p>
      <w:pPr>
        <w:pStyle w:val="Heading3"/>
        <w:keepNext/>
      </w:pPr>
      <w:r>
        <w:t>documentation architecture and operating boundaries</w:t>
      </w:r>
    </w:p>
    <w:p>
      <w:pPr>
        <w:keepNext w:val="0"/>
      </w:pPr>
      <w:r>
        <w:t>The architecture for documentation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validation automation, policy and evidence</w:t>
      </w:r>
    </w:p>
    <w:p>
      <w:pPr>
        <w:keepNext w:val="0"/>
      </w:pPr>
      <w:r>
        <w:t>Automation for validation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human oversight and accountability. failure handling and continuous improvement</w:t>
      </w:r>
    </w:p>
    <w:p>
      <w:pPr>
        <w:keepNext w:val="0"/>
      </w:pPr>
      <w:r>
        <w:t>Continuous improvement for human oversight and accountability.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NIST AI RMF</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model cards</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risk registers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NIST AI RMF</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model cards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risk registers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model_risk_and_responsible_ai_go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51</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51: Create a model-risk assessment package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model risk and responsible ai governance.</w:t>
      </w:r>
    </w:p>
    <w:p>
      <w:pPr>
        <w:ind w:left="360" w:hanging="360"/>
      </w:pPr>
      <w:r>
        <w:rPr>
          <w:b/>
        </w:rPr>
        <w:t xml:space="preserve">2. </w:t>
      </w:r>
      <w:r>
        <w:t>Create the smallest safe implementation or detailed simulation using NIST AI RMF, model cards, risk registers.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Model Risk and Responsible AI Governance?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Model Risk and Responsible AI Governance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52</w:t>
      </w:r>
    </w:p>
    <w:p>
      <w:pPr>
        <w:pStyle w:val="Heading1"/>
        <w:jc w:val="center"/>
      </w:pPr>
      <w:r>
        <w:t>Chapter 52: AI Incident Response</w:t>
      </w:r>
    </w:p>
    <w:p>
      <w:pPr>
        <w:jc w:val="center"/>
      </w:pPr>
      <w:r>
        <w:rPr>
          <w:i/>
          <w:color w:val="4B5563"/>
          <w:sz w:val="19"/>
        </w:rPr>
        <w:t>Respond to data leaks, unsafe outputs, model degradation, abuse and provider outages.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Incident Response matters because enterprise outcomes depend on more than a successful tool installation. The team must make respond to data leaks, unsafe outputs, model degradation, abuse and provider outages.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incident response.</w:t>
      </w:r>
    </w:p>
    <w:p>
      <w:pPr>
        <w:pStyle w:val="ListBullet"/>
      </w:pPr>
      <w:r>
        <w:t>Design the capability using Runbooks, tracing, audit, kill switches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ai incident command simulation.</w:t>
      </w:r>
    </w:p>
    <w:p>
      <w:pPr>
        <w:pStyle w:val="Heading2"/>
        <w:keepNext/>
      </w:pPr>
      <w:r>
        <w:t>Core Concepts</w:t>
      </w:r>
    </w:p>
    <w:p>
      <w:pPr>
        <w:pStyle w:val="Heading3"/>
        <w:keepNext/>
      </w:pPr>
      <w:r>
        <w:t>Respond to data leaks and problem framing</w:t>
      </w:r>
    </w:p>
    <w:p>
      <w:pPr>
        <w:keepNext w:val="0"/>
      </w:pPr>
      <w:r>
        <w:t>Respond to data leaks and problem framing starts with a clear user or business problem. Define the desired outcome, the actors, the service boundary and the constraints before selecting implementation technology. For ai incident response, record assumptions and the evidence that would disprove them.</w:t>
      </w:r>
    </w:p>
    <w:p>
      <w:pPr>
        <w:pStyle w:val="Heading3"/>
        <w:keepNext/>
      </w:pPr>
      <w:r>
        <w:t>unsafe outputs architecture and operating boundaries</w:t>
      </w:r>
    </w:p>
    <w:p>
      <w:pPr>
        <w:keepNext w:val="0"/>
      </w:pPr>
      <w:r>
        <w:t>The architecture for unsafe outputs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model degradation automation, policy and evidence</w:t>
      </w:r>
    </w:p>
    <w:p>
      <w:pPr>
        <w:keepNext w:val="0"/>
      </w:pPr>
      <w:r>
        <w:t>Automation for model degradation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abuse and provider outages. failure handling and continuous improvement</w:t>
      </w:r>
    </w:p>
    <w:p>
      <w:pPr>
        <w:keepNext w:val="0"/>
      </w:pPr>
      <w:r>
        <w:t>Continuous improvement for abuse and provider outages.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Runbooks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tracing</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audit</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kill switches</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Runbooks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tracing</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ai_incident_response</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52</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52: Run an AI incident command simulation</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incident response.</w:t>
      </w:r>
    </w:p>
    <w:p>
      <w:pPr>
        <w:ind w:left="360" w:hanging="360"/>
      </w:pPr>
      <w:r>
        <w:rPr>
          <w:b/>
        </w:rPr>
        <w:t xml:space="preserve">2. </w:t>
      </w:r>
      <w:r>
        <w:t>Create the smallest safe implementation or detailed simulation using Runbooks, tracing, audit, kill switches.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Incident Response?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Incident Response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53</w:t>
      </w:r>
    </w:p>
    <w:p>
      <w:pPr>
        <w:pStyle w:val="Heading1"/>
        <w:jc w:val="center"/>
      </w:pPr>
      <w:r>
        <w:t>Chapter 53: AI Disaster Recovery and Continuity</w:t>
      </w:r>
    </w:p>
    <w:p>
      <w:pPr>
        <w:jc w:val="center"/>
      </w:pPr>
      <w:r>
        <w:rPr>
          <w:i/>
          <w:color w:val="4B5563"/>
          <w:sz w:val="19"/>
        </w:rPr>
        <w:t>Recover registries, metadata, pipelines, datasets, indexes and serving capacity.</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AI Disaster Recovery and Continuity matters because enterprise outcomes depend on more than a successful tool installation. The team must make recover registries, metadata, pipelines, datasets, indexes and serving capacity.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ai disaster recovery and continuity.</w:t>
      </w:r>
    </w:p>
    <w:p>
      <w:pPr>
        <w:pStyle w:val="ListBullet"/>
      </w:pPr>
      <w:r>
        <w:t>Design the capability using Backup, replication, restore tests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run an ai platform recovery exercise.</w:t>
      </w:r>
    </w:p>
    <w:p>
      <w:pPr>
        <w:pStyle w:val="Heading2"/>
        <w:keepNext/>
      </w:pPr>
      <w:r>
        <w:t>Core Concepts</w:t>
      </w:r>
    </w:p>
    <w:p>
      <w:pPr>
        <w:pStyle w:val="Heading3"/>
        <w:keepNext/>
      </w:pPr>
      <w:r>
        <w:t>Recover registries and problem framing</w:t>
      </w:r>
    </w:p>
    <w:p>
      <w:pPr>
        <w:keepNext w:val="0"/>
      </w:pPr>
      <w:r>
        <w:t>Recover registries and problem framing starts with a clear user or business problem. Define the desired outcome, the actors, the service boundary and the constraints before selecting implementation technology. For ai disaster recovery and continuity, record assumptions and the evidence that would disprove them.</w:t>
      </w:r>
    </w:p>
    <w:p>
      <w:pPr>
        <w:pStyle w:val="Heading3"/>
        <w:keepNext/>
      </w:pPr>
      <w:r>
        <w:t>metadata architecture and operating boundaries</w:t>
      </w:r>
    </w:p>
    <w:p>
      <w:pPr>
        <w:keepNext w:val="0"/>
      </w:pPr>
      <w:r>
        <w:t>The architecture for metadata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pipelines automation, policy and evidence</w:t>
      </w:r>
    </w:p>
    <w:p>
      <w:pPr>
        <w:keepNext w:val="0"/>
      </w:pPr>
      <w:r>
        <w:t>Automation for pipelines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datasets failure handling and continuous improvement</w:t>
      </w:r>
    </w:p>
    <w:p>
      <w:pPr>
        <w:keepNext w:val="0"/>
      </w:pPr>
      <w:r>
        <w:t>Continuous improvement for datasets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Backup</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replication</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restore tests</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Backup</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replication</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restore tests</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ai_disaster_recovery_and_continu</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53</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53: Run an AI platform recovery exercise</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ai disaster recovery and continuity.</w:t>
      </w:r>
    </w:p>
    <w:p>
      <w:pPr>
        <w:ind w:left="360" w:hanging="360"/>
      </w:pPr>
      <w:r>
        <w:rPr>
          <w:b/>
        </w:rPr>
        <w:t xml:space="preserve">2. </w:t>
      </w:r>
      <w:r>
        <w:t>Create the smallest safe implementation or detailed simulation using Backup, replication, restore tests.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AI Disaster Recovery and Continuity?</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AI Disaster Recovery and Continuity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54</w:t>
      </w:r>
    </w:p>
    <w:p>
      <w:pPr>
        <w:pStyle w:val="Heading1"/>
        <w:jc w:val="center"/>
      </w:pPr>
      <w:r>
        <w:t>Chapter 54: Hybrid and Multi-Cloud AI Platforms</w:t>
      </w:r>
    </w:p>
    <w:p>
      <w:pPr>
        <w:jc w:val="center"/>
      </w:pPr>
      <w:r>
        <w:rPr>
          <w:i/>
          <w:color w:val="4B5563"/>
          <w:sz w:val="19"/>
        </w:rPr>
        <w:t>Place data, training and serving across providers while controlling portability and egress.</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Hybrid and Multi-Cloud AI Platforms matters because enterprise outcomes depend on more than a successful tool installation. The team must make place data, training and serving across providers while controlling portability and egress.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hybrid and multi-cloud ai platforms.</w:t>
      </w:r>
    </w:p>
    <w:p>
      <w:pPr>
        <w:pStyle w:val="ListBullet"/>
      </w:pPr>
      <w:r>
        <w:t>Design the capability using Kubernetes, Ray, object storage, federation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design a hybrid ai workload-placement strategy.</w:t>
      </w:r>
    </w:p>
    <w:p>
      <w:pPr>
        <w:pStyle w:val="Heading2"/>
        <w:keepNext/>
      </w:pPr>
      <w:r>
        <w:t>Core Concepts</w:t>
      </w:r>
    </w:p>
    <w:p>
      <w:pPr>
        <w:pStyle w:val="Heading3"/>
        <w:keepNext/>
      </w:pPr>
      <w:r>
        <w:t>Place data and problem framing</w:t>
      </w:r>
    </w:p>
    <w:p>
      <w:pPr>
        <w:keepNext w:val="0"/>
      </w:pPr>
      <w:r>
        <w:t>Place data and problem framing starts with a clear user or business problem. Define the desired outcome, the actors, the service boundary and the constraints before selecting implementation technology. For hybrid and multi-cloud ai platforms, record assumptions and the evidence that would disprove them.</w:t>
      </w:r>
    </w:p>
    <w:p>
      <w:pPr>
        <w:pStyle w:val="Heading3"/>
        <w:keepNext/>
      </w:pPr>
      <w:r>
        <w:t>training and serving across providers while controlling portability and egress. architecture and operating boundaries</w:t>
      </w:r>
    </w:p>
    <w:p>
      <w:pPr>
        <w:keepNext w:val="0"/>
      </w:pPr>
      <w:r>
        <w:t>The architecture for training and serving across providers while controlling portability and egress.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Hybrid and Multi-Cloud AI Platforms automation, policy and evidence</w:t>
      </w:r>
    </w:p>
    <w:p>
      <w:pPr>
        <w:keepNext w:val="0"/>
      </w:pPr>
      <w:r>
        <w:t>Automation for hybrid and multi-cloud ai platforms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Hybrid and Multi-Cloud AI Platforms failure handling and continuous improvement</w:t>
      </w:r>
    </w:p>
    <w:p>
      <w:pPr>
        <w:keepNext w:val="0"/>
      </w:pPr>
      <w:r>
        <w:t>Continuous improvement for hybrid and multi-cloud ai platforms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Ray</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object storage</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federation</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Kubernetes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Ray</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hybrid_and_multi_cloud_ai_platfo</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54</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54: Design a hybrid AI workload-placement strategy</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hybrid and multi-cloud ai platforms.</w:t>
      </w:r>
    </w:p>
    <w:p>
      <w:pPr>
        <w:ind w:left="360" w:hanging="360"/>
      </w:pPr>
      <w:r>
        <w:rPr>
          <w:b/>
        </w:rPr>
        <w:t xml:space="preserve">2. </w:t>
      </w:r>
      <w:r>
        <w:t>Create the smallest safe implementation or detailed simulation using Kubernetes, Ray, object storage, federation.</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Hybrid and Multi-Cloud AI Platforms?</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Hybrid and Multi-Cloud AI Platforms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jc w:val="center"/>
      </w:pPr>
      <w:r>
        <w:rPr>
          <w:b/>
          <w:color w:val="14919B"/>
          <w:sz w:val="17"/>
        </w:rPr>
        <w:t>VOLUME 14E | CHAPTER 55</w:t>
      </w:r>
    </w:p>
    <w:p>
      <w:pPr>
        <w:pStyle w:val="Heading1"/>
        <w:jc w:val="center"/>
      </w:pPr>
      <w:r>
        <w:t>Chapter 55: Enterprise AI Platform Operating Model Capstone</w:t>
      </w:r>
    </w:p>
    <w:p>
      <w:pPr>
        <w:jc w:val="center"/>
      </w:pPr>
      <w:r>
        <w:rPr>
          <w:i/>
          <w:color w:val="4B5563"/>
          <w:sz w:val="19"/>
        </w:rPr>
        <w:t>Integrate product, platform, data, security, risk, operations and financial governance.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Why this chapter matters: Enterprise AI Platform Operating Model Capstone matters because enterprise outcomes depend on more than a successful tool installation. The team must make integrate product, platform, data, security, risk, operations and financial governance. explicit, assign ownership, automate repeatable controls, and retain evidence that the design behaves correctly during normal use, denied use and failure.</w:t>
            </w:r>
          </w:p>
        </w:tc>
      </w:tr>
    </w:tbl>
    <w:p>
      <w:pPr>
        <w:spacing w:after="0"/>
      </w:pPr>
    </w:p>
    <w:p>
      <w:pPr>
        <w:pStyle w:val="Heading2"/>
        <w:keepNext/>
      </w:pPr>
      <w:r>
        <w:t>Learning Objectives</w:t>
      </w:r>
    </w:p>
    <w:p>
      <w:pPr>
        <w:pStyle w:val="ListBullet"/>
      </w:pPr>
      <w:r>
        <w:t>Explain the purpose, consumers and enterprise trade-offs of enterprise ai platform operating model capstone.</w:t>
      </w:r>
    </w:p>
    <w:p>
      <w:pPr>
        <w:pStyle w:val="ListBullet"/>
      </w:pPr>
      <w:r>
        <w:t>Design the capability using Kubeflow, MLflow, Ray, KServe, FinOps with explicit ownership and failure boundaries.</w:t>
      </w:r>
    </w:p>
    <w:p>
      <w:pPr>
        <w:pStyle w:val="ListBullet"/>
      </w:pPr>
      <w:r>
        <w:t>Implement a version-controlled workflow with identity, policy, telemetry and lifecycle controls.</w:t>
      </w:r>
    </w:p>
    <w:p>
      <w:pPr>
        <w:pStyle w:val="ListBullet"/>
      </w:pPr>
      <w:r>
        <w:t>Troubleshoot common failures and produce evidence suitable for operations, security and architecture review.</w:t>
      </w:r>
    </w:p>
    <w:p>
      <w:pPr>
        <w:pStyle w:val="ListBullet"/>
      </w:pPr>
      <w:r>
        <w:t>Complete the lab: defend an enterprise ai platform operating model.</w:t>
      </w:r>
    </w:p>
    <w:p>
      <w:pPr>
        <w:pStyle w:val="Heading2"/>
        <w:keepNext/>
      </w:pPr>
      <w:r>
        <w:t>Core Concepts</w:t>
      </w:r>
    </w:p>
    <w:p>
      <w:pPr>
        <w:pStyle w:val="Heading3"/>
        <w:keepNext/>
      </w:pPr>
      <w:r>
        <w:t>Integrate product and problem framing</w:t>
      </w:r>
    </w:p>
    <w:p>
      <w:pPr>
        <w:keepNext w:val="0"/>
      </w:pPr>
      <w:r>
        <w:t>Integrate product and problem framing starts with a clear user or business problem. Define the desired outcome, the actors, the service boundary and the constraints before selecting implementation technology. For enterprise ai platform operating model capstone, record assumptions and the evidence that would disprove them.</w:t>
      </w:r>
    </w:p>
    <w:p>
      <w:pPr>
        <w:pStyle w:val="Heading3"/>
        <w:keepNext/>
      </w:pPr>
      <w:r>
        <w:t>platform architecture and operating boundaries</w:t>
      </w:r>
    </w:p>
    <w:p>
      <w:pPr>
        <w:keepNext w:val="0"/>
      </w:pPr>
      <w:r>
        <w:t>The architecture for platform architecture and operating boundaries must separate control, execution, data and evidence paths. Document trust boundaries, dependencies, quotas, failure domains and who owns each operational decision. Abstraction should reduce repeated work without concealing critical behavior.</w:t>
      </w:r>
    </w:p>
    <w:p>
      <w:pPr>
        <w:pStyle w:val="Heading3"/>
        <w:keepNext/>
      </w:pPr>
      <w:r>
        <w:t>data automation, policy and evidence</w:t>
      </w:r>
    </w:p>
    <w:p>
      <w:pPr>
        <w:keepNext w:val="0"/>
      </w:pPr>
      <w:r>
        <w:t>Automation for data automation, policy and evidence must be versioned, reviewed and testable. Include schema validation, policy, dry runs or plans, staged promotion, post-change verification and rollback. Manual emergency actions require an owner, timestamp, reason and expiry.</w:t>
      </w:r>
    </w:p>
    <w:p>
      <w:pPr>
        <w:pStyle w:val="Heading3"/>
        <w:keepNext/>
      </w:pPr>
      <w:r>
        <w:t>security failure handling and continuous improvement</w:t>
      </w:r>
    </w:p>
    <w:p>
      <w:pPr>
        <w:keepNext w:val="0"/>
      </w:pPr>
      <w:r>
        <w:t>Continuous improvement for security failure handling and continuous improvement requires observable user outcomes and bounded failure exercises. Test one expected path, one denied path and one dependency failure; then update documentation, alerts and product backlog from the evidence.</w:t>
      </w:r>
    </w:p>
    <w:p>
      <w:pPr>
        <w:pStyle w:val="Heading2"/>
        <w:keepNext/>
      </w:pPr>
      <w:r>
        <w:t>Capability and Tool Map</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2088"/>
            <w:shd w:fill="176B87"/>
            <w:tcMar>
              <w:top w:w="55" w:type="dxa"/>
              <w:start w:w="75" w:type="dxa"/>
              <w:bottom w:w="55" w:type="dxa"/>
              <w:end w:w="75" w:type="dxa"/>
            </w:tcMar>
            <w:vAlign w:val="center"/>
          </w:tcPr>
          <w:p>
            <w:r>
              <w:rPr>
                <w:b/>
                <w:color w:val="FFFFFF"/>
                <w:sz w:val="14"/>
              </w:rPr>
              <w:t>Capability</w:t>
            </w:r>
          </w:p>
        </w:tc>
        <w:tc>
          <w:tcPr>
            <w:tcW w:type="dxa" w:w="2880"/>
            <w:shd w:fill="176B87"/>
            <w:tcMar>
              <w:top w:w="55" w:type="dxa"/>
              <w:start w:w="75" w:type="dxa"/>
              <w:bottom w:w="55" w:type="dxa"/>
              <w:end w:w="75" w:type="dxa"/>
            </w:tcMar>
            <w:vAlign w:val="center"/>
          </w:tcPr>
          <w:p>
            <w:r>
              <w:rPr>
                <w:b/>
                <w:color w:val="FFFFFF"/>
                <w:sz w:val="14"/>
              </w:rPr>
              <w:t>Tool or pattern</w:t>
            </w:r>
          </w:p>
        </w:tc>
        <w:tc>
          <w:tcPr>
            <w:tcW w:type="dxa" w:w="5040"/>
            <w:shd w:fill="176B87"/>
            <w:tcMar>
              <w:top w:w="55" w:type="dxa"/>
              <w:start w:w="75" w:type="dxa"/>
              <w:bottom w:w="55" w:type="dxa"/>
              <w:end w:w="75" w:type="dxa"/>
            </w:tcMar>
            <w:vAlign w:val="center"/>
          </w:tcPr>
          <w:p>
            <w:r>
              <w:rPr>
                <w:b/>
                <w:color w:val="FFFFFF"/>
                <w:sz w:val="14"/>
              </w:rPr>
              <w:t>Enterprise use</w:t>
            </w:r>
          </w:p>
        </w:tc>
      </w:tr>
      <w:tr>
        <w:trPr>
          <w:cantSplit/>
        </w:trPr>
        <w:tc>
          <w:tcPr>
            <w:tcW w:type="dxa" w:w="2088"/>
            <w:tcMar>
              <w:top w:w="55" w:type="dxa"/>
              <w:start w:w="75" w:type="dxa"/>
              <w:bottom w:w="55" w:type="dxa"/>
              <w:end w:w="75" w:type="dxa"/>
            </w:tcMar>
            <w:vAlign w:val="top"/>
          </w:tcPr>
          <w:p>
            <w:r>
              <w:rPr>
                <w:sz w:val="14"/>
              </w:rPr>
              <w:t>Primary platform or framework</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Implement the core capability and define its service contract.</w:t>
            </w:r>
          </w:p>
        </w:tc>
      </w:tr>
      <w:tr>
        <w:trPr>
          <w:cantSplit/>
        </w:trPr>
        <w:tc>
          <w:tcPr>
            <w:tcW w:type="dxa" w:w="2088"/>
            <w:tcMar>
              <w:top w:w="55" w:type="dxa"/>
              <w:start w:w="75" w:type="dxa"/>
              <w:bottom w:w="55" w:type="dxa"/>
              <w:end w:w="75" w:type="dxa"/>
            </w:tcMar>
            <w:vAlign w:val="top"/>
          </w:tcPr>
          <w:p>
            <w:r>
              <w:rPr>
                <w:sz w:val="14"/>
              </w:rPr>
              <w:t>Automation and integration</w:t>
            </w:r>
          </w:p>
        </w:tc>
        <w:tc>
          <w:tcPr>
            <w:tcW w:type="dxa" w:w="2880"/>
            <w:tcMar>
              <w:top w:w="55" w:type="dxa"/>
              <w:start w:w="75" w:type="dxa"/>
              <w:bottom w:w="55" w:type="dxa"/>
              <w:end w:w="75" w:type="dxa"/>
            </w:tcMar>
            <w:vAlign w:val="top"/>
          </w:tcPr>
          <w:p>
            <w:r>
              <w:rPr>
                <w:sz w:val="14"/>
              </w:rPr>
              <w:t>MLflow</w:t>
            </w:r>
          </w:p>
        </w:tc>
        <w:tc>
          <w:tcPr>
            <w:tcW w:type="dxa" w:w="5040"/>
            <w:tcMar>
              <w:top w:w="55" w:type="dxa"/>
              <w:start w:w="75" w:type="dxa"/>
              <w:bottom w:w="55" w:type="dxa"/>
              <w:end w:w="75" w:type="dxa"/>
            </w:tcMar>
            <w:vAlign w:val="top"/>
          </w:tcPr>
          <w:p>
            <w:r>
              <w:rPr>
                <w:sz w:val="14"/>
              </w:rPr>
              <w:t>Connect the capability to version-controlled workflows and APIs.</w:t>
            </w:r>
          </w:p>
        </w:tc>
      </w:tr>
      <w:tr>
        <w:trPr>
          <w:cantSplit/>
        </w:trPr>
        <w:tc>
          <w:tcPr>
            <w:tcW w:type="dxa" w:w="2088"/>
            <w:tcMar>
              <w:top w:w="55" w:type="dxa"/>
              <w:start w:w="75" w:type="dxa"/>
              <w:bottom w:w="55" w:type="dxa"/>
              <w:end w:w="75" w:type="dxa"/>
            </w:tcMar>
            <w:vAlign w:val="top"/>
          </w:tcPr>
          <w:p>
            <w:r>
              <w:rPr>
                <w:sz w:val="14"/>
              </w:rPr>
              <w:t>Policy, security or governance</w:t>
            </w:r>
          </w:p>
        </w:tc>
        <w:tc>
          <w:tcPr>
            <w:tcW w:type="dxa" w:w="2880"/>
            <w:tcMar>
              <w:top w:w="55" w:type="dxa"/>
              <w:start w:w="75" w:type="dxa"/>
              <w:bottom w:w="55" w:type="dxa"/>
              <w:end w:w="75" w:type="dxa"/>
            </w:tcMar>
            <w:vAlign w:val="top"/>
          </w:tcPr>
          <w:p>
            <w:r>
              <w:rPr>
                <w:sz w:val="14"/>
              </w:rPr>
              <w:t>Ray</w:t>
            </w:r>
          </w:p>
        </w:tc>
        <w:tc>
          <w:tcPr>
            <w:tcW w:type="dxa" w:w="5040"/>
            <w:tcMar>
              <w:top w:w="55" w:type="dxa"/>
              <w:start w:w="75" w:type="dxa"/>
              <w:bottom w:w="55" w:type="dxa"/>
              <w:end w:w="75" w:type="dxa"/>
            </w:tcMar>
            <w:vAlign w:val="top"/>
          </w:tcPr>
          <w:p>
            <w:r>
              <w:rPr>
                <w:sz w:val="14"/>
              </w:rPr>
              <w:t>Constrain behavior with least privilege, validation and exceptions.</w:t>
            </w:r>
          </w:p>
        </w:tc>
      </w:tr>
      <w:tr>
        <w:trPr>
          <w:cantSplit/>
        </w:trPr>
        <w:tc>
          <w:tcPr>
            <w:tcW w:type="dxa" w:w="2088"/>
            <w:tcMar>
              <w:top w:w="55" w:type="dxa"/>
              <w:start w:w="75" w:type="dxa"/>
              <w:bottom w:w="55" w:type="dxa"/>
              <w:end w:w="75" w:type="dxa"/>
            </w:tcMar>
            <w:vAlign w:val="top"/>
          </w:tcPr>
          <w:p>
            <w:r>
              <w:rPr>
                <w:sz w:val="14"/>
              </w:rPr>
              <w:t>Telemetry and operational evidence</w:t>
            </w:r>
          </w:p>
        </w:tc>
        <w:tc>
          <w:tcPr>
            <w:tcW w:type="dxa" w:w="2880"/>
            <w:tcMar>
              <w:top w:w="55" w:type="dxa"/>
              <w:start w:w="75" w:type="dxa"/>
              <w:bottom w:w="55" w:type="dxa"/>
              <w:end w:w="75" w:type="dxa"/>
            </w:tcMar>
            <w:vAlign w:val="top"/>
          </w:tcPr>
          <w:p>
            <w:r>
              <w:rPr>
                <w:sz w:val="14"/>
              </w:rPr>
              <w:t>KServe</w:t>
            </w:r>
          </w:p>
        </w:tc>
        <w:tc>
          <w:tcPr>
            <w:tcW w:type="dxa" w:w="5040"/>
            <w:tcMar>
              <w:top w:w="55" w:type="dxa"/>
              <w:start w:w="75" w:type="dxa"/>
              <w:bottom w:w="55" w:type="dxa"/>
              <w:end w:w="75" w:type="dxa"/>
            </w:tcMar>
            <w:vAlign w:val="top"/>
          </w:tcPr>
          <w:p>
            <w:r>
              <w:rPr>
                <w:sz w:val="14"/>
              </w:rPr>
              <w:t>Expose health, usage, audit and user-outcome signals.</w:t>
            </w:r>
          </w:p>
        </w:tc>
      </w:tr>
      <w:tr>
        <w:trPr>
          <w:cantSplit/>
        </w:trPr>
        <w:tc>
          <w:tcPr>
            <w:tcW w:type="dxa" w:w="2088"/>
            <w:tcMar>
              <w:top w:w="55" w:type="dxa"/>
              <w:start w:w="75" w:type="dxa"/>
              <w:bottom w:w="55" w:type="dxa"/>
              <w:end w:w="75" w:type="dxa"/>
            </w:tcMar>
            <w:vAlign w:val="top"/>
          </w:tcPr>
          <w:p>
            <w:r>
              <w:rPr>
                <w:sz w:val="14"/>
              </w:rPr>
              <w:t>Lifecycle and recovery</w:t>
            </w:r>
          </w:p>
        </w:tc>
        <w:tc>
          <w:tcPr>
            <w:tcW w:type="dxa" w:w="2880"/>
            <w:tcMar>
              <w:top w:w="55" w:type="dxa"/>
              <w:start w:w="75" w:type="dxa"/>
              <w:bottom w:w="55" w:type="dxa"/>
              <w:end w:w="75" w:type="dxa"/>
            </w:tcMar>
            <w:vAlign w:val="top"/>
          </w:tcPr>
          <w:p>
            <w:r>
              <w:rPr>
                <w:sz w:val="14"/>
              </w:rPr>
              <w:t>FinOps</w:t>
            </w:r>
          </w:p>
        </w:tc>
        <w:tc>
          <w:tcPr>
            <w:tcW w:type="dxa" w:w="5040"/>
            <w:tcMar>
              <w:top w:w="55" w:type="dxa"/>
              <w:start w:w="75" w:type="dxa"/>
              <w:bottom w:w="55" w:type="dxa"/>
              <w:end w:w="75" w:type="dxa"/>
            </w:tcMar>
            <w:vAlign w:val="top"/>
          </w:tcPr>
          <w:p>
            <w:r>
              <w:rPr>
                <w:sz w:val="14"/>
              </w:rPr>
              <w:t>Define upgrade, rollback, backup, restore and deprecation behavior.</w:t>
            </w:r>
          </w:p>
        </w:tc>
      </w:tr>
      <w:tr>
        <w:trPr>
          <w:cantSplit/>
        </w:trPr>
        <w:tc>
          <w:tcPr>
            <w:tcW w:type="dxa" w:w="2088"/>
            <w:tcMar>
              <w:top w:w="55" w:type="dxa"/>
              <w:start w:w="75" w:type="dxa"/>
              <w:bottom w:w="55" w:type="dxa"/>
              <w:end w:w="75" w:type="dxa"/>
            </w:tcMar>
            <w:vAlign w:val="top"/>
          </w:tcPr>
          <w:p>
            <w:r>
              <w:rPr>
                <w:sz w:val="14"/>
              </w:rPr>
              <w:t>Portfolio proof</w:t>
            </w:r>
          </w:p>
        </w:tc>
        <w:tc>
          <w:tcPr>
            <w:tcW w:type="dxa" w:w="2880"/>
            <w:tcMar>
              <w:top w:w="55" w:type="dxa"/>
              <w:start w:w="75" w:type="dxa"/>
              <w:bottom w:w="55" w:type="dxa"/>
              <w:end w:w="75" w:type="dxa"/>
            </w:tcMar>
            <w:vAlign w:val="top"/>
          </w:tcPr>
          <w:p>
            <w:r>
              <w:rPr>
                <w:sz w:val="14"/>
              </w:rPr>
              <w:t>Kubeflow</w:t>
            </w:r>
          </w:p>
        </w:tc>
        <w:tc>
          <w:tcPr>
            <w:tcW w:type="dxa" w:w="5040"/>
            <w:tcMar>
              <w:top w:w="55" w:type="dxa"/>
              <w:start w:w="75" w:type="dxa"/>
              <w:bottom w:w="55" w:type="dxa"/>
              <w:end w:w="75" w:type="dxa"/>
            </w:tcMar>
            <w:vAlign w:val="top"/>
          </w:tcPr>
          <w:p>
            <w:r>
              <w:rPr>
                <w:sz w:val="14"/>
              </w:rPr>
              <w:t>Produce sanitized architecture, test and decision evidence.</w:t>
            </w:r>
          </w:p>
        </w:tc>
      </w:tr>
    </w:tbl>
    <w:p>
      <w:pPr>
        <w:pStyle w:val="Heading2"/>
        <w:keepNext/>
      </w:pPr>
      <w:r>
        <w:t>Architecture and Operating Decisions</w:t>
      </w:r>
    </w:p>
    <w:p>
      <w:pPr>
        <w:pStyle w:val="ListBullet"/>
      </w:pPr>
      <w:r>
        <w:t>Start with an explicit consumer outcome and service contract; do not expose a tool merely because it is available.</w:t>
      </w:r>
    </w:p>
    <w:p>
      <w:pPr>
        <w:pStyle w:val="ListBullet"/>
      </w:pPr>
      <w:r>
        <w:t>Separate control-plane authority from workload execution and minimize the maximum blast radius of credentials, state and change.</w:t>
      </w:r>
    </w:p>
    <w:p>
      <w:pPr>
        <w:pStyle w:val="ListBullet"/>
      </w:pPr>
      <w:r>
        <w:t>Prefer short-lived identity, immutable artifacts, versioned configuration and automated policy over persistent credentials and console-only workflows.</w:t>
      </w:r>
    </w:p>
    <w:p>
      <w:pPr>
        <w:pStyle w:val="ListBullet"/>
      </w:pPr>
      <w:r>
        <w:t>Define SLOs, ownership, support, cost allocation, recovery, upgrade and deprecation before broad adoption.</w:t>
      </w:r>
    </w:p>
    <w:p>
      <w:pPr>
        <w:pStyle w:val="ListBullet"/>
      </w:pPr>
      <w:r>
        <w:t>Preserve an escape hatch with accountable review when the golden path cannot meet a valid requirement.</w:t>
      </w:r>
    </w:p>
    <w:p>
      <w:pPr>
        <w:pStyle w:val="Heading2"/>
        <w:keepNext/>
      </w:pPr>
      <w:r>
        <w:t>Reference Service Contract</w:t>
      </w:r>
    </w:p>
    <w:tbl>
      <w:tblPr>
        <w:tblW w:type="auto" w:w="0"/>
        <w:jc w:val="center"/>
        <w:tblLook w:firstColumn="1" w:firstRow="1" w:lastColumn="0" w:lastRow="0" w:noHBand="0" w:noVBand="1" w:val="04A0"/>
      </w:tblPr>
      <w:tblGrid>
        <w:gridCol w:w="10166"/>
      </w:tblGrid>
      <w:tr>
        <w:trPr>
          <w:cantSplit/>
        </w:trPr>
        <w:tc>
          <w:tcPr>
            <w:tcW w:type="dxa" w:w="10166"/>
            <w:shd w:fill="F3F5F7"/>
            <w:tcMar>
              <w:top w:w="70" w:type="dxa"/>
              <w:start w:w="100" w:type="dxa"/>
              <w:bottom w:w="70" w:type="dxa"/>
              <w:end w:w="100" w:type="dxa"/>
            </w:tcMar>
          </w:tcPr>
          <w:p>
            <w:pPr>
              <w:spacing w:after="0" w:line="240" w:lineRule="auto"/>
            </w:pPr>
            <w:r>
              <w:rPr>
                <w:rFonts w:ascii="DejaVu Sans Mono" w:hAnsi="DejaVu Sans Mono" w:eastAsia="DejaVu Sans Mono"/>
                <w:color w:val="1F2933"/>
                <w:sz w:val="14"/>
              </w:rPr>
              <w:t>capability: enterprise_ai_platform_operating</w:t>
              <w:br/>
              <w:t>owner: platform-or-product-team</w:t>
              <w:br/>
              <w:t>consumers: [developer, operator, security, finance]</w:t>
              <w:br/>
              <w:t>contract:</w:t>
              <w:br/>
              <w:t xml:space="preserve">  inputs: [request, metadata, policy_context]</w:t>
              <w:br/>
              <w:t xml:space="preserve">  outputs: [resource_or_service, status, evidence]</w:t>
              <w:br/>
              <w:t>controls:</w:t>
              <w:br/>
              <w:t xml:space="preserve">  identity: short_lived_and_least_privilege</w:t>
              <w:br/>
              <w:t xml:space="preserve">  policy: versioned_and_tested</w:t>
              <w:br/>
              <w:t xml:space="preserve">  telemetry: metrics_logs_traces_audit</w:t>
              <w:br/>
              <w:t xml:space="preserve">  lifecycle: provision_upgrade_recover_deprecate</w:t>
              <w:br/>
              <w:t>validation:</w:t>
              <w:br/>
              <w:t xml:space="preserve">  - approved_path</w:t>
              <w:br/>
              <w:t xml:space="preserve">  - denied_path</w:t>
              <w:br/>
              <w:t xml:space="preserve">  - dependency_failure</w:t>
              <w:br/>
              <w:t xml:space="preserve">  - rollback_or_restore</w:t>
              <w:br/>
              <w:t xml:space="preserve">  - cost_and_ownership_check</w:t>
              <w:br/>
              <w:t>volume: 14E</w:t>
              <w:br/>
              <w:t>chapter: 55</w:t>
            </w:r>
          </w:p>
        </w:tc>
      </w:tr>
    </w:tbl>
    <w:p>
      <w:pPr>
        <w:pStyle w:val="Heading2"/>
        <w:keepNext/>
      </w:pPr>
      <w:r>
        <w:t>Production Readiness Checklist</w:t>
      </w:r>
    </w:p>
    <w:p>
      <w:pPr>
        <w:ind w:left="259" w:hanging="259"/>
      </w:pPr>
      <w:r>
        <w:t>[ ] Consumers, owner, support tier, lifecycle state and service-level objectives are recorded.</w:t>
      </w:r>
    </w:p>
    <w:p>
      <w:pPr>
        <w:ind w:left="259" w:hanging="259"/>
      </w:pPr>
      <w:r>
        <w:t>[ ] Identity, tenant boundaries, data classification, network paths and secrets are tested.</w:t>
      </w:r>
    </w:p>
    <w:p>
      <w:pPr>
        <w:ind w:left="259" w:hanging="259"/>
      </w:pPr>
      <w:r>
        <w:t>[ ] Configuration and policy are versioned, reviewed, promoted and observable.</w:t>
      </w:r>
    </w:p>
    <w:p>
      <w:pPr>
        <w:ind w:left="259" w:hanging="259"/>
      </w:pPr>
      <w:r>
        <w:t>[ ] Failure, rollback or restore, capacity, quota and dependency behavior have been exercised.</w:t>
      </w:r>
    </w:p>
    <w:p>
      <w:pPr>
        <w:ind w:left="259" w:hanging="259"/>
      </w:pPr>
      <w:r>
        <w:t>[ ] Usage, adoption, user outcomes, cost allocation and exception expiry are measurable.</w:t>
      </w:r>
    </w:p>
    <w:p>
      <w:pPr>
        <w:pStyle w:val="Heading2"/>
        <w:keepNext/>
      </w:pPr>
      <w:r>
        <w:t>Troubleshooting Matrix</w:t>
      </w:r>
    </w:p>
    <w:tbl>
      <w:tblPr>
        <w:tblStyle w:val="LightShading-Accent1"/>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1944"/>
            <w:shd w:fill="176B87"/>
            <w:tcMar>
              <w:top w:w="55" w:type="dxa"/>
              <w:start w:w="75" w:type="dxa"/>
              <w:bottom w:w="55" w:type="dxa"/>
              <w:end w:w="75" w:type="dxa"/>
            </w:tcMar>
            <w:vAlign w:val="center"/>
          </w:tcPr>
          <w:p>
            <w:r>
              <w:rPr>
                <w:b/>
                <w:color w:val="FFFFFF"/>
                <w:sz w:val="13"/>
              </w:rPr>
              <w:t>Symptom</w:t>
            </w:r>
          </w:p>
        </w:tc>
        <w:tc>
          <w:tcPr>
            <w:tcW w:type="dxa" w:w="2232"/>
            <w:shd w:fill="176B87"/>
            <w:tcMar>
              <w:top w:w="55" w:type="dxa"/>
              <w:start w:w="75" w:type="dxa"/>
              <w:bottom w:w="55" w:type="dxa"/>
              <w:end w:w="75" w:type="dxa"/>
            </w:tcMar>
            <w:vAlign w:val="center"/>
          </w:tcPr>
          <w:p>
            <w:r>
              <w:rPr>
                <w:b/>
                <w:color w:val="FFFFFF"/>
                <w:sz w:val="13"/>
              </w:rPr>
              <w:t>Likely cause</w:t>
            </w:r>
          </w:p>
        </w:tc>
        <w:tc>
          <w:tcPr>
            <w:tcW w:type="dxa" w:w="3312"/>
            <w:shd w:fill="176B87"/>
            <w:tcMar>
              <w:top w:w="55" w:type="dxa"/>
              <w:start w:w="75" w:type="dxa"/>
              <w:bottom w:w="55" w:type="dxa"/>
              <w:end w:w="75" w:type="dxa"/>
            </w:tcMar>
            <w:vAlign w:val="center"/>
          </w:tcPr>
          <w:p>
            <w:r>
              <w:rPr>
                <w:b/>
                <w:color w:val="FFFFFF"/>
                <w:sz w:val="13"/>
              </w:rPr>
              <w:t>Corrective action</w:t>
            </w:r>
          </w:p>
        </w:tc>
        <w:tc>
          <w:tcPr>
            <w:tcW w:type="dxa" w:w="2232"/>
            <w:shd w:fill="176B87"/>
            <w:tcMar>
              <w:top w:w="55" w:type="dxa"/>
              <w:start w:w="75" w:type="dxa"/>
              <w:bottom w:w="55" w:type="dxa"/>
              <w:end w:w="75" w:type="dxa"/>
            </w:tcMar>
            <w:vAlign w:val="center"/>
          </w:tcPr>
          <w:p>
            <w:r>
              <w:rPr>
                <w:b/>
                <w:color w:val="FFFFFF"/>
                <w:sz w:val="13"/>
              </w:rPr>
              <w:t>Validation evidence</w:t>
            </w:r>
          </w:p>
        </w:tc>
      </w:tr>
      <w:tr>
        <w:trPr>
          <w:cantSplit/>
        </w:trPr>
        <w:tc>
          <w:tcPr>
            <w:tcW w:type="dxa" w:w="1944"/>
            <w:tcMar>
              <w:top w:w="55" w:type="dxa"/>
              <w:start w:w="75" w:type="dxa"/>
              <w:bottom w:w="55" w:type="dxa"/>
              <w:end w:w="75" w:type="dxa"/>
            </w:tcMar>
            <w:vAlign w:val="top"/>
          </w:tcPr>
          <w:p>
            <w:r>
              <w:rPr>
                <w:sz w:val="13"/>
              </w:rPr>
              <w:t>Request remains pending</w:t>
            </w:r>
          </w:p>
        </w:tc>
        <w:tc>
          <w:tcPr>
            <w:tcW w:type="dxa" w:w="2232"/>
            <w:tcMar>
              <w:top w:w="55" w:type="dxa"/>
              <w:start w:w="75" w:type="dxa"/>
              <w:bottom w:w="55" w:type="dxa"/>
              <w:end w:w="75" w:type="dxa"/>
            </w:tcMar>
            <w:vAlign w:val="top"/>
          </w:tcPr>
          <w:p>
            <w:r>
              <w:rPr>
                <w:sz w:val="13"/>
              </w:rPr>
              <w:t>Controller, runner or dependency cannot reconcile the desired state</w:t>
            </w:r>
          </w:p>
        </w:tc>
        <w:tc>
          <w:tcPr>
            <w:tcW w:type="dxa" w:w="3312"/>
            <w:tcMar>
              <w:top w:w="55" w:type="dxa"/>
              <w:start w:w="75" w:type="dxa"/>
              <w:bottom w:w="55" w:type="dxa"/>
              <w:end w:w="75" w:type="dxa"/>
            </w:tcMar>
            <w:vAlign w:val="top"/>
          </w:tcPr>
          <w:p>
            <w:r>
              <w:rPr>
                <w:sz w:val="13"/>
              </w:rPr>
              <w:t>Inspect status conditions, events, queue depth and dependency health; identify the first failing boundary</w:t>
            </w:r>
          </w:p>
        </w:tc>
        <w:tc>
          <w:tcPr>
            <w:tcW w:type="dxa" w:w="2232"/>
            <w:tcMar>
              <w:top w:w="55" w:type="dxa"/>
              <w:start w:w="75" w:type="dxa"/>
              <w:bottom w:w="55" w:type="dxa"/>
              <w:end w:w="75" w:type="dxa"/>
            </w:tcMar>
            <w:vAlign w:val="top"/>
          </w:tcPr>
          <w:p>
            <w:r>
              <w:rPr>
                <w:sz w:val="13"/>
              </w:rPr>
              <w:t>Successful reconciliation plus latency and audit evidence</w:t>
            </w:r>
          </w:p>
        </w:tc>
      </w:tr>
      <w:tr>
        <w:trPr>
          <w:cantSplit/>
        </w:trPr>
        <w:tc>
          <w:tcPr>
            <w:tcW w:type="dxa" w:w="1944"/>
            <w:tcMar>
              <w:top w:w="55" w:type="dxa"/>
              <w:start w:w="75" w:type="dxa"/>
              <w:bottom w:w="55" w:type="dxa"/>
              <w:end w:w="75" w:type="dxa"/>
            </w:tcMar>
            <w:vAlign w:val="top"/>
          </w:tcPr>
          <w:p>
            <w:r>
              <w:rPr>
                <w:sz w:val="13"/>
              </w:rPr>
              <w:t>User is denied unexpectedly</w:t>
            </w:r>
          </w:p>
        </w:tc>
        <w:tc>
          <w:tcPr>
            <w:tcW w:type="dxa" w:w="2232"/>
            <w:tcMar>
              <w:top w:w="55" w:type="dxa"/>
              <w:start w:w="75" w:type="dxa"/>
              <w:bottom w:w="55" w:type="dxa"/>
              <w:end w:w="75" w:type="dxa"/>
            </w:tcMar>
            <w:vAlign w:val="top"/>
          </w:tcPr>
          <w:p>
            <w:r>
              <w:rPr>
                <w:sz w:val="13"/>
              </w:rPr>
              <w:t>Identity mapping, policy context or ownership metadata is incomplete</w:t>
            </w:r>
          </w:p>
        </w:tc>
        <w:tc>
          <w:tcPr>
            <w:tcW w:type="dxa" w:w="3312"/>
            <w:tcMar>
              <w:top w:w="55" w:type="dxa"/>
              <w:start w:w="75" w:type="dxa"/>
              <w:bottom w:w="55" w:type="dxa"/>
              <w:end w:w="75" w:type="dxa"/>
            </w:tcMar>
            <w:vAlign w:val="top"/>
          </w:tcPr>
          <w:p>
            <w:r>
              <w:rPr>
                <w:sz w:val="13"/>
              </w:rPr>
              <w:t>Evaluate effective identity and policy inputs; correct the narrowest cause and rerun denied/allowed tests</w:t>
            </w:r>
          </w:p>
        </w:tc>
        <w:tc>
          <w:tcPr>
            <w:tcW w:type="dxa" w:w="2232"/>
            <w:tcMar>
              <w:top w:w="55" w:type="dxa"/>
              <w:start w:w="75" w:type="dxa"/>
              <w:bottom w:w="55" w:type="dxa"/>
              <w:end w:w="75" w:type="dxa"/>
            </w:tcMar>
            <w:vAlign w:val="top"/>
          </w:tcPr>
          <w:p>
            <w:r>
              <w:rPr>
                <w:sz w:val="13"/>
              </w:rPr>
              <w:t>Expected allow and deny results with access logs</w:t>
            </w:r>
          </w:p>
        </w:tc>
      </w:tr>
      <w:tr>
        <w:trPr>
          <w:cantSplit/>
        </w:trPr>
        <w:tc>
          <w:tcPr>
            <w:tcW w:type="dxa" w:w="1944"/>
            <w:tcMar>
              <w:top w:w="55" w:type="dxa"/>
              <w:start w:w="75" w:type="dxa"/>
              <w:bottom w:w="55" w:type="dxa"/>
              <w:end w:w="75" w:type="dxa"/>
            </w:tcMar>
            <w:vAlign w:val="top"/>
          </w:tcPr>
          <w:p>
            <w:r>
              <w:rPr>
                <w:sz w:val="13"/>
              </w:rPr>
              <w:t>Change succeeds but user outcome degrades</w:t>
            </w:r>
          </w:p>
        </w:tc>
        <w:tc>
          <w:tcPr>
            <w:tcW w:type="dxa" w:w="2232"/>
            <w:tcMar>
              <w:top w:w="55" w:type="dxa"/>
              <w:start w:w="75" w:type="dxa"/>
              <w:bottom w:w="55" w:type="dxa"/>
              <w:end w:w="75" w:type="dxa"/>
            </w:tcMar>
            <w:vAlign w:val="top"/>
          </w:tcPr>
          <w:p>
            <w:r>
              <w:rPr>
                <w:sz w:val="13"/>
              </w:rPr>
              <w:t>Technical success criteria do not represent service behavior</w:t>
            </w:r>
          </w:p>
        </w:tc>
        <w:tc>
          <w:tcPr>
            <w:tcW w:type="dxa" w:w="3312"/>
            <w:tcMar>
              <w:top w:w="55" w:type="dxa"/>
              <w:start w:w="75" w:type="dxa"/>
              <w:bottom w:w="55" w:type="dxa"/>
              <w:end w:w="75" w:type="dxa"/>
            </w:tcMar>
            <w:vAlign w:val="top"/>
          </w:tcPr>
          <w:p>
            <w:r>
              <w:rPr>
                <w:sz w:val="13"/>
              </w:rPr>
              <w:t>Compare SLO, dependency and user-journey signals before and after the change; roll back if needed</w:t>
            </w:r>
          </w:p>
        </w:tc>
        <w:tc>
          <w:tcPr>
            <w:tcW w:type="dxa" w:w="2232"/>
            <w:tcMar>
              <w:top w:w="55" w:type="dxa"/>
              <w:start w:w="75" w:type="dxa"/>
              <w:bottom w:w="55" w:type="dxa"/>
              <w:end w:w="75" w:type="dxa"/>
            </w:tcMar>
            <w:vAlign w:val="top"/>
          </w:tcPr>
          <w:p>
            <w:r>
              <w:rPr>
                <w:sz w:val="13"/>
              </w:rPr>
              <w:t>Restored SLO and documented causal evidence</w:t>
            </w:r>
          </w:p>
        </w:tc>
      </w:tr>
      <w:tr>
        <w:trPr>
          <w:cantSplit/>
        </w:trPr>
        <w:tc>
          <w:tcPr>
            <w:tcW w:type="dxa" w:w="1944"/>
            <w:tcMar>
              <w:top w:w="55" w:type="dxa"/>
              <w:start w:w="75" w:type="dxa"/>
              <w:bottom w:w="55" w:type="dxa"/>
              <w:end w:w="75" w:type="dxa"/>
            </w:tcMar>
            <w:vAlign w:val="top"/>
          </w:tcPr>
          <w:p>
            <w:r>
              <w:rPr>
                <w:sz w:val="13"/>
              </w:rPr>
              <w:t>Cost or capacity grows unexpectedly</w:t>
            </w:r>
          </w:p>
        </w:tc>
        <w:tc>
          <w:tcPr>
            <w:tcW w:type="dxa" w:w="2232"/>
            <w:tcMar>
              <w:top w:w="55" w:type="dxa"/>
              <w:start w:w="75" w:type="dxa"/>
              <w:bottom w:w="55" w:type="dxa"/>
              <w:end w:w="75" w:type="dxa"/>
            </w:tcMar>
            <w:vAlign w:val="top"/>
          </w:tcPr>
          <w:p>
            <w:r>
              <w:rPr>
                <w:sz w:val="13"/>
              </w:rPr>
              <w:t>Unbounded defaults, leaks, retries, idle resources or poor allocation</w:t>
            </w:r>
          </w:p>
        </w:tc>
        <w:tc>
          <w:tcPr>
            <w:tcW w:type="dxa" w:w="3312"/>
            <w:tcMar>
              <w:top w:w="55" w:type="dxa"/>
              <w:start w:w="75" w:type="dxa"/>
              <w:bottom w:w="55" w:type="dxa"/>
              <w:end w:w="75" w:type="dxa"/>
            </w:tcMar>
            <w:vAlign w:val="top"/>
          </w:tcPr>
          <w:p>
            <w:r>
              <w:rPr>
                <w:sz w:val="13"/>
              </w:rPr>
              <w:t>Break down consumption by tenant and unit; apply quota, TTL, scaling or design changes</w:t>
            </w:r>
          </w:p>
        </w:tc>
        <w:tc>
          <w:tcPr>
            <w:tcW w:type="dxa" w:w="2232"/>
            <w:tcMar>
              <w:top w:w="55" w:type="dxa"/>
              <w:start w:w="75" w:type="dxa"/>
              <w:bottom w:w="55" w:type="dxa"/>
              <w:end w:w="75" w:type="dxa"/>
            </w:tcMar>
            <w:vAlign w:val="top"/>
          </w:tcPr>
          <w:p>
            <w:r>
              <w:rPr>
                <w:sz w:val="13"/>
              </w:rPr>
              <w:t>Reduced unit cost with reliability and quality unchanged</w:t>
            </w:r>
          </w:p>
        </w:tc>
      </w:tr>
    </w:tbl>
    <w:p>
      <w:pPr>
        <w:pStyle w:val="Heading2"/>
        <w:keepNext/>
      </w:pPr>
      <w:r>
        <w:t>Hands-on Lab 55: Defend an enterprise AI platform operating model</w:t>
      </w:r>
    </w:p>
    <w:p>
      <w:pPr>
        <w:pStyle w:val="Heading3"/>
        <w:keepNext/>
      </w:pPr>
      <w:r>
        <w:t>Prerequisites</w:t>
      </w:r>
    </w:p>
    <w:p>
      <w:pPr>
        <w:pStyle w:val="ListBullet"/>
      </w:pPr>
      <w:r>
        <w:t>Disposable local or cloud sandbox with budgets and expiry controls.</w:t>
      </w:r>
    </w:p>
    <w:p>
      <w:pPr>
        <w:pStyle w:val="ListBullet"/>
      </w:pPr>
      <w:r>
        <w:t>Git, containers, Kubernetes or a documented simulation as appropriate.</w:t>
      </w:r>
    </w:p>
    <w:p>
      <w:pPr>
        <w:pStyle w:val="ListBullet"/>
      </w:pPr>
      <w:r>
        <w:t>Synthetic identities and data only; do not use employer or customer secrets.</w:t>
      </w:r>
    </w:p>
    <w:p>
      <w:pPr>
        <w:pStyle w:val="Heading3"/>
        <w:keepNext/>
      </w:pPr>
      <w:r>
        <w:t>Implementation</w:t>
      </w:r>
    </w:p>
    <w:p>
      <w:pPr>
        <w:ind w:left="360" w:hanging="360"/>
      </w:pPr>
      <w:r>
        <w:rPr>
          <w:b/>
        </w:rPr>
        <w:t xml:space="preserve">1. </w:t>
      </w:r>
      <w:r>
        <w:t>Define fictional requirements, users, ownership and acceptance criteria for enterprise ai platform operating model capstone.</w:t>
      </w:r>
    </w:p>
    <w:p>
      <w:pPr>
        <w:ind w:left="360" w:hanging="360"/>
      </w:pPr>
      <w:r>
        <w:rPr>
          <w:b/>
        </w:rPr>
        <w:t xml:space="preserve">2. </w:t>
      </w:r>
      <w:r>
        <w:t>Create the smallest safe implementation or detailed simulation using Kubeflow, MLflow, Ray, KServe, FinOps.</w:t>
      </w:r>
    </w:p>
    <w:p>
      <w:pPr>
        <w:ind w:left="360" w:hanging="360"/>
      </w:pPr>
      <w:r>
        <w:rPr>
          <w:b/>
        </w:rPr>
        <w:t xml:space="preserve">3. </w:t>
      </w:r>
      <w:r>
        <w:t>Add identity, policy, metadata, telemetry, quota, cost and lifecycle controls.</w:t>
      </w:r>
    </w:p>
    <w:p>
      <w:pPr>
        <w:ind w:left="360" w:hanging="360"/>
      </w:pPr>
      <w:r>
        <w:rPr>
          <w:b/>
        </w:rPr>
        <w:t xml:space="preserve">4. </w:t>
      </w:r>
      <w:r>
        <w:t>Run one successful user journey and one intentionally denied action.</w:t>
      </w:r>
    </w:p>
    <w:p>
      <w:pPr>
        <w:ind w:left="360" w:hanging="360"/>
      </w:pPr>
      <w:r>
        <w:rPr>
          <w:b/>
        </w:rPr>
        <w:t xml:space="preserve">5. </w:t>
      </w:r>
      <w:r>
        <w:t>Inject a bounded dependency or configuration failure, diagnose it, recover and record the timeline.</w:t>
      </w:r>
    </w:p>
    <w:p>
      <w:pPr>
        <w:ind w:left="360" w:hanging="360"/>
      </w:pPr>
      <w:r>
        <w:rPr>
          <w:b/>
        </w:rPr>
        <w:t xml:space="preserve">6. </w:t>
      </w:r>
      <w:r>
        <w:t>Publish a sanitized architecture, runbook, evidence pack and improvement backlog; then clean up all resources.</w:t>
      </w:r>
    </w:p>
    <w:p>
      <w:pPr>
        <w:pStyle w:val="Heading3"/>
        <w:keepNext/>
      </w:pPr>
      <w:r>
        <w:t>Validation Evidence</w:t>
      </w:r>
    </w:p>
    <w:p>
      <w:pPr>
        <w:pStyle w:val="ListBullet"/>
      </w:pPr>
      <w:r>
        <w:t>Architecture and service contract committed to version control.</w:t>
      </w:r>
    </w:p>
    <w:p>
      <w:pPr>
        <w:pStyle w:val="ListBullet"/>
      </w:pPr>
      <w:r>
        <w:t>Commands, test results, screenshots or exported telemetry for allow, deny and failure scenarios.</w:t>
      </w:r>
    </w:p>
    <w:p>
      <w:pPr>
        <w:pStyle w:val="ListBullet"/>
      </w:pPr>
      <w:r>
        <w:t>Recovery, cost, ownership, security and cleanup evidence with timestamps.</w:t>
      </w:r>
    </w:p>
    <w:p>
      <w:pPr>
        <w:pStyle w:val="Heading2"/>
        <w:keepNext/>
      </w:pPr>
      <w:r>
        <w:t>Interview Questions and Model Answers</w:t>
      </w:r>
    </w:p>
    <w:p>
      <w:r>
        <w:rPr>
          <w:b/>
        </w:rPr>
        <w:t>1. How would you design Enterprise AI Platform Operating Model Capstone?</w:t>
      </w:r>
    </w:p>
    <w:p>
      <w:pPr>
        <w:ind w:left="259"/>
      </w:pPr>
      <w:r>
        <w:t>Begin with consumers, outcomes, constraints and ownership. Define the service contract and failure boundaries, choose the minimum viable architecture, automate policy and lifecycle, then prove normal, denied and recovery behavior.</w:t>
      </w:r>
    </w:p>
    <w:p>
      <w:r>
        <w:rPr>
          <w:b/>
        </w:rPr>
        <w:t>2. Which trade-offs would you document?</w:t>
      </w:r>
    </w:p>
    <w:p>
      <w:pPr>
        <w:ind w:left="259"/>
      </w:pPr>
      <w:r>
        <w:t>Document speed versus control, abstraction versus transparency, standardization versus flexibility, managed service versus portability, centralization versus team autonomy, and cost versus resilience.</w:t>
      </w:r>
    </w:p>
    <w:p>
      <w:r>
        <w:rPr>
          <w:b/>
        </w:rPr>
        <w:t>3. What production evidence is required?</w:t>
      </w:r>
    </w:p>
    <w:p>
      <w:pPr>
        <w:ind w:left="259"/>
      </w:pPr>
      <w:r>
        <w:t>Require version-controlled architecture and configuration, effective-access results, policy tests, user-journey telemetry, SLOs, rollback or restore evidence, ownership, cost allocation and a clean teardown or deprecation path.</w:t>
      </w:r>
    </w:p>
    <w:p>
      <w:r>
        <w:rPr>
          <w:b/>
        </w:rPr>
        <w:t>4. How would you improve adoption?</w:t>
      </w:r>
    </w:p>
    <w:p>
      <w:pPr>
        <w:ind w:left="259"/>
      </w:pPr>
      <w:r>
        <w:t>Use developer research, remove the largest friction, ship a narrow golden path, publish support and escape hatches, measure time-to-value and satisfaction, and iterate with representative product teams.</w:t>
      </w:r>
    </w:p>
    <w:p>
      <w:pPr>
        <w:pStyle w:val="Heading2"/>
        <w:keepNext/>
      </w:pPr>
      <w:r>
        <w:t>Chapter Summary</w:t>
      </w:r>
    </w:p>
    <w:p>
      <w:pPr>
        <w:pStyle w:val="ListBullet"/>
      </w:pPr>
      <w:r>
        <w:t>Enterprise AI Platform Operating Model Capstone is an owned product or operating capability, not a one-time installation.</w:t>
      </w:r>
    </w:p>
    <w:p>
      <w:pPr>
        <w:pStyle w:val="ListBullet"/>
      </w:pPr>
      <w:r>
        <w:t>Enterprise readiness requires explicit contracts, boundaries, policy, telemetry and lifecycle controls.</w:t>
      </w:r>
    </w:p>
    <w:p>
      <w:pPr>
        <w:pStyle w:val="ListBullet"/>
      </w:pPr>
      <w:r>
        <w:t>Adoption and reliability improve when normal, denied and failure behavior are tested with users.</w:t>
      </w:r>
    </w:p>
    <w:p>
      <w:pPr>
        <w:pStyle w:val="ListBullet"/>
      </w:pPr>
      <w:r>
        <w:t>The lab artifact should show reasoning and evidence, not confidential environment details.</w:t>
      </w:r>
    </w:p>
    <w:p>
      <w:r>
        <w:br w:type="page"/>
      </w:r>
    </w:p>
    <w:p>
      <w:pPr>
        <w:pStyle w:val="Heading1"/>
        <w:keepNext w:val="0"/>
      </w:pPr>
      <w:r>
        <w:t>Enterprise AI Operations and Governance Reference</w:t>
      </w:r>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6B87"/>
              </w:rPr>
              <w:t>Use this reference to review product outcomes, architecture boundaries, operating controls and evidence required for production approval.</w:t>
            </w:r>
          </w:p>
        </w:tc>
      </w:tr>
    </w:tbl>
    <w:p>
      <w:pPr>
        <w:spacing w:after="0"/>
      </w:pP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800"/>
            <w:shd w:fill="176B87"/>
            <w:tcMar>
              <w:top w:w="55" w:type="dxa"/>
              <w:start w:w="75" w:type="dxa"/>
              <w:bottom w:w="55" w:type="dxa"/>
              <w:end w:w="75" w:type="dxa"/>
            </w:tcMar>
            <w:vAlign w:val="center"/>
          </w:tcPr>
          <w:p>
            <w:r>
              <w:rPr>
                <w:b/>
                <w:color w:val="FFFFFF"/>
                <w:sz w:val="14"/>
              </w:rPr>
              <w:t>Domain</w:t>
            </w:r>
          </w:p>
        </w:tc>
        <w:tc>
          <w:tcPr>
            <w:tcW w:type="dxa" w:w="4320"/>
            <w:shd w:fill="176B87"/>
            <w:tcMar>
              <w:top w:w="55" w:type="dxa"/>
              <w:start w:w="75" w:type="dxa"/>
              <w:bottom w:w="55" w:type="dxa"/>
              <w:end w:w="75" w:type="dxa"/>
            </w:tcMar>
            <w:vAlign w:val="center"/>
          </w:tcPr>
          <w:p>
            <w:r>
              <w:rPr>
                <w:b/>
                <w:color w:val="FFFFFF"/>
                <w:sz w:val="14"/>
              </w:rPr>
              <w:t>Required outcome</w:t>
            </w:r>
          </w:p>
        </w:tc>
        <w:tc>
          <w:tcPr>
            <w:tcW w:type="dxa" w:w="4320"/>
            <w:shd w:fill="176B87"/>
            <w:tcMar>
              <w:top w:w="55" w:type="dxa"/>
              <w:start w:w="75" w:type="dxa"/>
              <w:bottom w:w="55" w:type="dxa"/>
              <w:end w:w="75" w:type="dxa"/>
            </w:tcMar>
            <w:vAlign w:val="center"/>
          </w:tcPr>
          <w:p>
            <w:r>
              <w:rPr>
                <w:b/>
                <w:color w:val="FFFFFF"/>
                <w:sz w:val="14"/>
              </w:rPr>
              <w:t>Validation evidence</w:t>
            </w:r>
          </w:p>
        </w:tc>
      </w:tr>
      <w:tr>
        <w:trPr>
          <w:cantSplit/>
        </w:trPr>
        <w:tc>
          <w:tcPr>
            <w:tcW w:type="dxa" w:w="1800"/>
            <w:tcMar>
              <w:top w:w="55" w:type="dxa"/>
              <w:start w:w="75" w:type="dxa"/>
              <w:bottom w:w="55" w:type="dxa"/>
              <w:end w:w="75" w:type="dxa"/>
            </w:tcMar>
            <w:vAlign w:val="top"/>
          </w:tcPr>
          <w:p>
            <w:r>
              <w:rPr>
                <w:sz w:val="14"/>
              </w:rPr>
              <w:t>Product and users</w:t>
            </w:r>
          </w:p>
        </w:tc>
        <w:tc>
          <w:tcPr>
            <w:tcW w:type="dxa" w:w="4320"/>
            <w:tcMar>
              <w:top w:w="55" w:type="dxa"/>
              <w:start w:w="75" w:type="dxa"/>
              <w:bottom w:w="55" w:type="dxa"/>
              <w:end w:w="75" w:type="dxa"/>
            </w:tcMar>
            <w:vAlign w:val="top"/>
          </w:tcPr>
          <w:p>
            <w:r>
              <w:rPr>
                <w:sz w:val="14"/>
              </w:rPr>
              <w:t>Named consumers, outcome hypothesis, roadmap and lifecycle owner</w:t>
            </w:r>
          </w:p>
        </w:tc>
        <w:tc>
          <w:tcPr>
            <w:tcW w:type="dxa" w:w="4320"/>
            <w:tcMar>
              <w:top w:w="55" w:type="dxa"/>
              <w:start w:w="75" w:type="dxa"/>
              <w:bottom w:w="55" w:type="dxa"/>
              <w:end w:w="75" w:type="dxa"/>
            </w:tcMar>
            <w:vAlign w:val="top"/>
          </w:tcPr>
          <w:p>
            <w:r>
              <w:rPr>
                <w:sz w:val="14"/>
              </w:rPr>
              <w:t>Research summary, service contract and adoption data</w:t>
            </w:r>
          </w:p>
        </w:tc>
      </w:tr>
      <w:tr>
        <w:trPr>
          <w:cantSplit/>
        </w:trPr>
        <w:tc>
          <w:tcPr>
            <w:tcW w:type="dxa" w:w="1800"/>
            <w:tcMar>
              <w:top w:w="55" w:type="dxa"/>
              <w:start w:w="75" w:type="dxa"/>
              <w:bottom w:w="55" w:type="dxa"/>
              <w:end w:w="75" w:type="dxa"/>
            </w:tcMar>
            <w:vAlign w:val="top"/>
          </w:tcPr>
          <w:p>
            <w:r>
              <w:rPr>
                <w:sz w:val="14"/>
              </w:rPr>
              <w:t>Architecture</w:t>
            </w:r>
          </w:p>
        </w:tc>
        <w:tc>
          <w:tcPr>
            <w:tcW w:type="dxa" w:w="4320"/>
            <w:tcMar>
              <w:top w:w="55" w:type="dxa"/>
              <w:start w:w="75" w:type="dxa"/>
              <w:bottom w:w="55" w:type="dxa"/>
              <w:end w:w="75" w:type="dxa"/>
            </w:tcMar>
            <w:vAlign w:val="top"/>
          </w:tcPr>
          <w:p>
            <w:r>
              <w:rPr>
                <w:sz w:val="14"/>
              </w:rPr>
              <w:t>Control, execution, data and evidence boundaries with bounded blast radius</w:t>
            </w:r>
          </w:p>
        </w:tc>
        <w:tc>
          <w:tcPr>
            <w:tcW w:type="dxa" w:w="4320"/>
            <w:tcMar>
              <w:top w:w="55" w:type="dxa"/>
              <w:start w:w="75" w:type="dxa"/>
              <w:bottom w:w="55" w:type="dxa"/>
              <w:end w:w="75" w:type="dxa"/>
            </w:tcMar>
            <w:vAlign w:val="top"/>
          </w:tcPr>
          <w:p>
            <w:r>
              <w:rPr>
                <w:sz w:val="14"/>
              </w:rPr>
              <w:t>Diagrams, ADRs, dependency and failure tests</w:t>
            </w:r>
          </w:p>
        </w:tc>
      </w:tr>
      <w:tr>
        <w:trPr>
          <w:cantSplit/>
        </w:trPr>
        <w:tc>
          <w:tcPr>
            <w:tcW w:type="dxa" w:w="1800"/>
            <w:tcMar>
              <w:top w:w="55" w:type="dxa"/>
              <w:start w:w="75" w:type="dxa"/>
              <w:bottom w:w="55" w:type="dxa"/>
              <w:end w:w="75" w:type="dxa"/>
            </w:tcMar>
            <w:vAlign w:val="top"/>
          </w:tcPr>
          <w:p>
            <w:r>
              <w:rPr>
                <w:sz w:val="14"/>
              </w:rPr>
              <w:t>Identity and security</w:t>
            </w:r>
          </w:p>
        </w:tc>
        <w:tc>
          <w:tcPr>
            <w:tcW w:type="dxa" w:w="4320"/>
            <w:tcMar>
              <w:top w:w="55" w:type="dxa"/>
              <w:start w:w="75" w:type="dxa"/>
              <w:bottom w:w="55" w:type="dxa"/>
              <w:end w:w="75" w:type="dxa"/>
            </w:tcMar>
            <w:vAlign w:val="top"/>
          </w:tcPr>
          <w:p>
            <w:r>
              <w:rPr>
                <w:sz w:val="14"/>
              </w:rPr>
              <w:t>Least privilege, keyless workloads, protected administration and auditable exceptions</w:t>
            </w:r>
          </w:p>
        </w:tc>
        <w:tc>
          <w:tcPr>
            <w:tcW w:type="dxa" w:w="4320"/>
            <w:tcMar>
              <w:top w:w="55" w:type="dxa"/>
              <w:start w:w="75" w:type="dxa"/>
              <w:bottom w:w="55" w:type="dxa"/>
              <w:end w:w="75" w:type="dxa"/>
            </w:tcMar>
            <w:vAlign w:val="top"/>
          </w:tcPr>
          <w:p>
            <w:r>
              <w:rPr>
                <w:sz w:val="14"/>
              </w:rPr>
              <w:t>Effective-access, denied-action and audit evidence</w:t>
            </w:r>
          </w:p>
        </w:tc>
      </w:tr>
      <w:tr>
        <w:trPr>
          <w:cantSplit/>
        </w:trPr>
        <w:tc>
          <w:tcPr>
            <w:tcW w:type="dxa" w:w="1800"/>
            <w:tcMar>
              <w:top w:w="55" w:type="dxa"/>
              <w:start w:w="75" w:type="dxa"/>
              <w:bottom w:w="55" w:type="dxa"/>
              <w:end w:w="75" w:type="dxa"/>
            </w:tcMar>
            <w:vAlign w:val="top"/>
          </w:tcPr>
          <w:p>
            <w:r>
              <w:rPr>
                <w:sz w:val="14"/>
              </w:rPr>
              <w:t>Delivery and policy</w:t>
            </w:r>
          </w:p>
        </w:tc>
        <w:tc>
          <w:tcPr>
            <w:tcW w:type="dxa" w:w="4320"/>
            <w:tcMar>
              <w:top w:w="55" w:type="dxa"/>
              <w:start w:w="75" w:type="dxa"/>
              <w:bottom w:w="55" w:type="dxa"/>
              <w:end w:w="75" w:type="dxa"/>
            </w:tcMar>
            <w:vAlign w:val="top"/>
          </w:tcPr>
          <w:p>
            <w:r>
              <w:rPr>
                <w:sz w:val="14"/>
              </w:rPr>
              <w:t>Versioned automation, policy, promotion, rollback and provenance</w:t>
            </w:r>
          </w:p>
        </w:tc>
        <w:tc>
          <w:tcPr>
            <w:tcW w:type="dxa" w:w="4320"/>
            <w:tcMar>
              <w:top w:w="55" w:type="dxa"/>
              <w:start w:w="75" w:type="dxa"/>
              <w:bottom w:w="55" w:type="dxa"/>
              <w:end w:w="75" w:type="dxa"/>
            </w:tcMar>
            <w:vAlign w:val="top"/>
          </w:tcPr>
          <w:p>
            <w:r>
              <w:rPr>
                <w:sz w:val="14"/>
              </w:rPr>
              <w:t>Pipeline, policy and artifact verification results</w:t>
            </w:r>
          </w:p>
        </w:tc>
      </w:tr>
      <w:tr>
        <w:trPr>
          <w:cantSplit/>
        </w:trPr>
        <w:tc>
          <w:tcPr>
            <w:tcW w:type="dxa" w:w="1800"/>
            <w:tcMar>
              <w:top w:w="55" w:type="dxa"/>
              <w:start w:w="75" w:type="dxa"/>
              <w:bottom w:w="55" w:type="dxa"/>
              <w:end w:w="75" w:type="dxa"/>
            </w:tcMar>
            <w:vAlign w:val="top"/>
          </w:tcPr>
          <w:p>
            <w:r>
              <w:rPr>
                <w:sz w:val="14"/>
              </w:rPr>
              <w:t>Reliability and operations</w:t>
            </w:r>
          </w:p>
        </w:tc>
        <w:tc>
          <w:tcPr>
            <w:tcW w:type="dxa" w:w="4320"/>
            <w:tcMar>
              <w:top w:w="55" w:type="dxa"/>
              <w:start w:w="75" w:type="dxa"/>
              <w:bottom w:w="55" w:type="dxa"/>
              <w:end w:w="75" w:type="dxa"/>
            </w:tcMar>
            <w:vAlign w:val="top"/>
          </w:tcPr>
          <w:p>
            <w:r>
              <w:rPr>
                <w:sz w:val="14"/>
              </w:rPr>
              <w:t>SLOs, telemetry, capacity, incident response, recovery and deprecation</w:t>
            </w:r>
          </w:p>
        </w:tc>
        <w:tc>
          <w:tcPr>
            <w:tcW w:type="dxa" w:w="4320"/>
            <w:tcMar>
              <w:top w:w="55" w:type="dxa"/>
              <w:start w:w="75" w:type="dxa"/>
              <w:bottom w:w="55" w:type="dxa"/>
              <w:end w:w="75" w:type="dxa"/>
            </w:tcMar>
            <w:vAlign w:val="top"/>
          </w:tcPr>
          <w:p>
            <w:r>
              <w:rPr>
                <w:sz w:val="14"/>
              </w:rPr>
              <w:t>Dashboards, game-day timeline and restore evidence</w:t>
            </w:r>
          </w:p>
        </w:tc>
      </w:tr>
      <w:tr>
        <w:trPr>
          <w:cantSplit/>
        </w:trPr>
        <w:tc>
          <w:tcPr>
            <w:tcW w:type="dxa" w:w="1800"/>
            <w:tcMar>
              <w:top w:w="55" w:type="dxa"/>
              <w:start w:w="75" w:type="dxa"/>
              <w:bottom w:w="55" w:type="dxa"/>
              <w:end w:w="75" w:type="dxa"/>
            </w:tcMar>
            <w:vAlign w:val="top"/>
          </w:tcPr>
          <w:p>
            <w:r>
              <w:rPr>
                <w:sz w:val="14"/>
              </w:rPr>
              <w:t>Data and AI governance</w:t>
            </w:r>
          </w:p>
        </w:tc>
        <w:tc>
          <w:tcPr>
            <w:tcW w:type="dxa" w:w="4320"/>
            <w:tcMar>
              <w:top w:w="55" w:type="dxa"/>
              <w:start w:w="75" w:type="dxa"/>
              <w:bottom w:w="55" w:type="dxa"/>
              <w:end w:w="75" w:type="dxa"/>
            </w:tcMar>
            <w:vAlign w:val="top"/>
          </w:tcPr>
          <w:p>
            <w:r>
              <w:rPr>
                <w:sz w:val="14"/>
              </w:rPr>
              <w:t>Ownership, classification, quality, privacy, lineage and responsible use</w:t>
            </w:r>
          </w:p>
        </w:tc>
        <w:tc>
          <w:tcPr>
            <w:tcW w:type="dxa" w:w="4320"/>
            <w:tcMar>
              <w:top w:w="55" w:type="dxa"/>
              <w:start w:w="75" w:type="dxa"/>
              <w:bottom w:w="55" w:type="dxa"/>
              <w:end w:w="75" w:type="dxa"/>
            </w:tcMar>
            <w:vAlign w:val="top"/>
          </w:tcPr>
          <w:p>
            <w:r>
              <w:rPr>
                <w:sz w:val="14"/>
              </w:rPr>
              <w:t>Catalog, tests, risk and approval records</w:t>
            </w:r>
          </w:p>
        </w:tc>
      </w:tr>
      <w:tr>
        <w:trPr>
          <w:cantSplit/>
        </w:trPr>
        <w:tc>
          <w:tcPr>
            <w:tcW w:type="dxa" w:w="1800"/>
            <w:tcMar>
              <w:top w:w="55" w:type="dxa"/>
              <w:start w:w="75" w:type="dxa"/>
              <w:bottom w:w="55" w:type="dxa"/>
              <w:end w:w="75" w:type="dxa"/>
            </w:tcMar>
            <w:vAlign w:val="top"/>
          </w:tcPr>
          <w:p>
            <w:r>
              <w:rPr>
                <w:sz w:val="14"/>
              </w:rPr>
              <w:t>Economics and value</w:t>
            </w:r>
          </w:p>
        </w:tc>
        <w:tc>
          <w:tcPr>
            <w:tcW w:type="dxa" w:w="4320"/>
            <w:tcMar>
              <w:top w:w="55" w:type="dxa"/>
              <w:start w:w="75" w:type="dxa"/>
              <w:bottom w:w="55" w:type="dxa"/>
              <w:end w:w="75" w:type="dxa"/>
            </w:tcMar>
            <w:vAlign w:val="top"/>
          </w:tcPr>
          <w:p>
            <w:r>
              <w:rPr>
                <w:sz w:val="14"/>
              </w:rPr>
              <w:t>Allocated cost, unit economics, investment rationale and optimization safety</w:t>
            </w:r>
          </w:p>
        </w:tc>
        <w:tc>
          <w:tcPr>
            <w:tcW w:type="dxa" w:w="4320"/>
            <w:tcMar>
              <w:top w:w="55" w:type="dxa"/>
              <w:start w:w="75" w:type="dxa"/>
              <w:bottom w:w="55" w:type="dxa"/>
              <w:end w:w="75" w:type="dxa"/>
            </w:tcMar>
            <w:vAlign w:val="top"/>
          </w:tcPr>
          <w:p>
            <w:r>
              <w:rPr>
                <w:sz w:val="14"/>
              </w:rPr>
              <w:t>Cost model, outcome metrics and decision log</w:t>
            </w:r>
          </w:p>
        </w:tc>
      </w:tr>
      <w:tr>
        <w:trPr>
          <w:cantSplit/>
        </w:trPr>
        <w:tc>
          <w:tcPr>
            <w:tcW w:type="dxa" w:w="1800"/>
            <w:tcMar>
              <w:top w:w="55" w:type="dxa"/>
              <w:start w:w="75" w:type="dxa"/>
              <w:bottom w:w="55" w:type="dxa"/>
              <w:end w:w="75" w:type="dxa"/>
            </w:tcMar>
            <w:vAlign w:val="top"/>
          </w:tcPr>
          <w:p>
            <w:r>
              <w:rPr>
                <w:sz w:val="14"/>
              </w:rPr>
              <w:t>People and governance</w:t>
            </w:r>
          </w:p>
        </w:tc>
        <w:tc>
          <w:tcPr>
            <w:tcW w:type="dxa" w:w="4320"/>
            <w:tcMar>
              <w:top w:w="55" w:type="dxa"/>
              <w:start w:w="75" w:type="dxa"/>
              <w:bottom w:w="55" w:type="dxa"/>
              <w:end w:w="75" w:type="dxa"/>
            </w:tcMar>
            <w:vAlign w:val="top"/>
          </w:tcPr>
          <w:p>
            <w:r>
              <w:rPr>
                <w:sz w:val="14"/>
              </w:rPr>
              <w:t>Clear decisions, support, skills, change plan and feedback loops</w:t>
            </w:r>
          </w:p>
        </w:tc>
        <w:tc>
          <w:tcPr>
            <w:tcW w:type="dxa" w:w="4320"/>
            <w:tcMar>
              <w:top w:w="55" w:type="dxa"/>
              <w:start w:w="75" w:type="dxa"/>
              <w:bottom w:w="55" w:type="dxa"/>
              <w:end w:w="75" w:type="dxa"/>
            </w:tcMar>
            <w:vAlign w:val="top"/>
          </w:tcPr>
          <w:p>
            <w:r>
              <w:rPr>
                <w:sz w:val="14"/>
              </w:rPr>
              <w:t>RACI, operating cadence, survey and action backlog</w:t>
            </w:r>
          </w:p>
        </w:tc>
      </w:tr>
    </w:tbl>
    <w:p>
      <w:pPr>
        <w:pStyle w:val="Heading1"/>
        <w:keepNext w:val="0"/>
      </w:pPr>
      <w:r>
        <w:t>Completion Checklist</w:t>
      </w:r>
    </w:p>
    <w:p>
      <w:pPr>
        <w:ind w:left="259" w:hanging="259"/>
      </w:pPr>
      <w:r>
        <w:t>[ ] I can explain every chapter in Volume 14E using architecture, operations and business language.</w:t>
      </w:r>
    </w:p>
    <w:p>
      <w:pPr>
        <w:ind w:left="259" w:hanging="259"/>
      </w:pPr>
      <w:r>
        <w:t>[ ] I can implement or simulate at least one complete service with identity, policy, telemetry and lifecycle controls.</w:t>
      </w:r>
    </w:p>
    <w:p>
      <w:pPr>
        <w:ind w:left="259" w:hanging="259"/>
      </w:pPr>
      <w:r>
        <w:t>[ ] I can demonstrate expected, denied and failure behavior with time-stamped evidence.</w:t>
      </w:r>
    </w:p>
    <w:p>
      <w:pPr>
        <w:ind w:left="259" w:hanging="259"/>
      </w:pPr>
      <w:r>
        <w:t>[ ] I can discuss security, reliability, cost, adoption and organizational trade-offs.</w:t>
      </w:r>
    </w:p>
    <w:p>
      <w:pPr>
        <w:ind w:left="259" w:hanging="259"/>
      </w:pPr>
      <w:r>
        <w:t>[ ] I can produce a sanitized portfolio artifact and defend the design in an interview or review board.</w:t>
      </w:r>
    </w:p>
    <w:p>
      <w:pPr>
        <w:pStyle w:val="Heading1"/>
        <w:keepNext w:val="0"/>
      </w:pPr>
      <w:r>
        <w:t>Additional Portfolio Projects</w:t>
      </w:r>
    </w:p>
    <w:p>
      <w:r>
        <w:rPr>
          <w:b/>
        </w:rPr>
        <w:t xml:space="preserve">1. </w:t>
      </w:r>
      <w:r>
        <w:t>Service catalog and ownership quality automation.</w:t>
      </w:r>
    </w:p>
    <w:p>
      <w:r>
        <w:rPr>
          <w:b/>
        </w:rPr>
        <w:t xml:space="preserve">2. </w:t>
      </w:r>
      <w:r>
        <w:t>Keyless CI/CD and workload-identity reference implementation.</w:t>
      </w:r>
    </w:p>
    <w:p>
      <w:r>
        <w:rPr>
          <w:b/>
        </w:rPr>
        <w:t xml:space="preserve">3. </w:t>
      </w:r>
      <w:r>
        <w:t>Policy promotion pipeline with expiring exceptions.</w:t>
      </w:r>
    </w:p>
    <w:p>
      <w:r>
        <w:rPr>
          <w:b/>
        </w:rPr>
        <w:t xml:space="preserve">4. </w:t>
      </w:r>
      <w:r>
        <w:t>Golden path or pipeline template with user-journey telemetry.</w:t>
      </w:r>
    </w:p>
    <w:p>
      <w:r>
        <w:rPr>
          <w:b/>
        </w:rPr>
        <w:t xml:space="preserve">5. </w:t>
      </w:r>
      <w:r>
        <w:t>SLO dashboard and bounded failure game day.</w:t>
      </w:r>
    </w:p>
    <w:p>
      <w:r>
        <w:rPr>
          <w:b/>
        </w:rPr>
        <w:t xml:space="preserve">6. </w:t>
      </w:r>
      <w:r>
        <w:t>Cost allocation and unit-economics review.</w:t>
      </w:r>
    </w:p>
    <w:p>
      <w:r>
        <w:rPr>
          <w:b/>
        </w:rPr>
        <w:t xml:space="preserve">7. </w:t>
      </w:r>
      <w:r>
        <w:t>Security threat model and evidence-based remediation plan.</w:t>
      </w:r>
    </w:p>
    <w:p>
      <w:r>
        <w:rPr>
          <w:b/>
        </w:rPr>
        <w:t xml:space="preserve">8. </w:t>
      </w:r>
      <w:r>
        <w:t>Backup, restore, failover and failback exercise.</w:t>
      </w:r>
    </w:p>
    <w:p>
      <w:r>
        <w:rPr>
          <w:b/>
        </w:rPr>
        <w:t xml:space="preserve">9. </w:t>
      </w:r>
      <w:r>
        <w:t>Migration or adoption factory for three fictional teams.</w:t>
      </w:r>
    </w:p>
    <w:p>
      <w:r>
        <w:rPr>
          <w:b/>
        </w:rPr>
        <w:t xml:space="preserve">10. </w:t>
      </w:r>
      <w:r>
        <w:t>Executive architecture or investment memo with measured outcomes.</w:t>
      </w:r>
    </w:p>
    <w:p>
      <w:pPr>
        <w:pStyle w:val="Heading1"/>
        <w:keepNext w:val="0"/>
      </w:pPr>
      <w:r>
        <w:t>Practice Plan</w:t>
      </w:r>
    </w:p>
    <w:tbl>
      <w:tblPr>
        <w:tblStyle w:val="LightShading-Accent1"/>
        <w:tblW w:type="auto" w:w="0"/>
        <w:jc w:val="center"/>
        <w:tblLook w:firstColumn="1" w:firstRow="1" w:lastColumn="0" w:lastRow="0" w:noHBand="0" w:noVBand="1" w:val="04A0"/>
      </w:tblPr>
      <w:tblGrid>
        <w:gridCol w:w="3389"/>
        <w:gridCol w:w="3389"/>
        <w:gridCol w:w="3389"/>
      </w:tblGrid>
      <w:tr>
        <w:trPr>
          <w:tblHeader w:val="true"/>
          <w:cantSplit/>
        </w:trPr>
        <w:tc>
          <w:tcPr>
            <w:tcW w:type="dxa" w:w="1080"/>
            <w:shd w:fill="176B87"/>
            <w:tcMar>
              <w:top w:w="55" w:type="dxa"/>
              <w:start w:w="75" w:type="dxa"/>
              <w:bottom w:w="55" w:type="dxa"/>
              <w:end w:w="75" w:type="dxa"/>
            </w:tcMar>
            <w:vAlign w:val="center"/>
          </w:tcPr>
          <w:p>
            <w:r>
              <w:rPr>
                <w:b/>
                <w:color w:val="FFFFFF"/>
                <w:sz w:val="14"/>
              </w:rPr>
              <w:t>Days</w:t>
            </w:r>
          </w:p>
        </w:tc>
        <w:tc>
          <w:tcPr>
            <w:tcW w:type="dxa" w:w="3312"/>
            <w:shd w:fill="176B87"/>
            <w:tcMar>
              <w:top w:w="55" w:type="dxa"/>
              <w:start w:w="75" w:type="dxa"/>
              <w:bottom w:w="55" w:type="dxa"/>
              <w:end w:w="75" w:type="dxa"/>
            </w:tcMar>
            <w:vAlign w:val="center"/>
          </w:tcPr>
          <w:p>
            <w:r>
              <w:rPr>
                <w:b/>
                <w:color w:val="FFFFFF"/>
                <w:sz w:val="14"/>
              </w:rPr>
              <w:t>Focus</w:t>
            </w:r>
          </w:p>
        </w:tc>
        <w:tc>
          <w:tcPr>
            <w:tcW w:type="dxa" w:w="5688"/>
            <w:shd w:fill="176B87"/>
            <w:tcMar>
              <w:top w:w="55" w:type="dxa"/>
              <w:start w:w="75" w:type="dxa"/>
              <w:bottom w:w="55" w:type="dxa"/>
              <w:end w:w="75" w:type="dxa"/>
            </w:tcMar>
            <w:vAlign w:val="center"/>
          </w:tcPr>
          <w:p>
            <w:r>
              <w:rPr>
                <w:b/>
                <w:color w:val="FFFFFF"/>
                <w:sz w:val="14"/>
              </w:rPr>
              <w:t>Required output</w:t>
            </w:r>
          </w:p>
        </w:tc>
      </w:tr>
      <w:tr>
        <w:trPr>
          <w:cantSplit/>
        </w:trPr>
        <w:tc>
          <w:tcPr>
            <w:tcW w:type="dxa" w:w="1080"/>
            <w:tcMar>
              <w:top w:w="55" w:type="dxa"/>
              <w:start w:w="75" w:type="dxa"/>
              <w:bottom w:w="55" w:type="dxa"/>
              <w:end w:w="75" w:type="dxa"/>
            </w:tcMar>
            <w:vAlign w:val="top"/>
          </w:tcPr>
          <w:p>
            <w:r>
              <w:rPr>
                <w:sz w:val="14"/>
              </w:rPr>
              <w:t>1-5</w:t>
            </w:r>
          </w:p>
        </w:tc>
        <w:tc>
          <w:tcPr>
            <w:tcW w:type="dxa" w:w="3312"/>
            <w:tcMar>
              <w:top w:w="55" w:type="dxa"/>
              <w:start w:w="75" w:type="dxa"/>
              <w:bottom w:w="55" w:type="dxa"/>
              <w:end w:w="75" w:type="dxa"/>
            </w:tcMar>
            <w:vAlign w:val="top"/>
          </w:tcPr>
          <w:p>
            <w:r>
              <w:rPr>
                <w:sz w:val="14"/>
              </w:rPr>
              <w:t>Concepts, users and current-state discovery</w:t>
            </w:r>
          </w:p>
        </w:tc>
        <w:tc>
          <w:tcPr>
            <w:tcW w:type="dxa" w:w="5688"/>
            <w:tcMar>
              <w:top w:w="55" w:type="dxa"/>
              <w:start w:w="75" w:type="dxa"/>
              <w:bottom w:w="55" w:type="dxa"/>
              <w:end w:w="75" w:type="dxa"/>
            </w:tcMar>
            <w:vAlign w:val="top"/>
          </w:tcPr>
          <w:p>
            <w:r>
              <w:rPr>
                <w:sz w:val="14"/>
              </w:rPr>
              <w:t>Research notes, value stream and capability map</w:t>
            </w:r>
          </w:p>
        </w:tc>
      </w:tr>
      <w:tr>
        <w:trPr>
          <w:cantSplit/>
        </w:trPr>
        <w:tc>
          <w:tcPr>
            <w:tcW w:type="dxa" w:w="1080"/>
            <w:tcMar>
              <w:top w:w="55" w:type="dxa"/>
              <w:start w:w="75" w:type="dxa"/>
              <w:bottom w:w="55" w:type="dxa"/>
              <w:end w:w="75" w:type="dxa"/>
            </w:tcMar>
            <w:vAlign w:val="top"/>
          </w:tcPr>
          <w:p>
            <w:r>
              <w:rPr>
                <w:sz w:val="14"/>
              </w:rPr>
              <w:t>6-10</w:t>
            </w:r>
          </w:p>
        </w:tc>
        <w:tc>
          <w:tcPr>
            <w:tcW w:type="dxa" w:w="3312"/>
            <w:tcMar>
              <w:top w:w="55" w:type="dxa"/>
              <w:start w:w="75" w:type="dxa"/>
              <w:bottom w:w="55" w:type="dxa"/>
              <w:end w:w="75" w:type="dxa"/>
            </w:tcMar>
            <w:vAlign w:val="top"/>
          </w:tcPr>
          <w:p>
            <w:r>
              <w:rPr>
                <w:sz w:val="14"/>
              </w:rPr>
              <w:t>Architecture and service contracts</w:t>
            </w:r>
          </w:p>
        </w:tc>
        <w:tc>
          <w:tcPr>
            <w:tcW w:type="dxa" w:w="5688"/>
            <w:tcMar>
              <w:top w:w="55" w:type="dxa"/>
              <w:start w:w="75" w:type="dxa"/>
              <w:bottom w:w="55" w:type="dxa"/>
              <w:end w:w="75" w:type="dxa"/>
            </w:tcMar>
            <w:vAlign w:val="top"/>
          </w:tcPr>
          <w:p>
            <w:r>
              <w:rPr>
                <w:sz w:val="14"/>
              </w:rPr>
              <w:t>Diagrams, API/schema and ADRs</w:t>
            </w:r>
          </w:p>
        </w:tc>
      </w:tr>
      <w:tr>
        <w:trPr>
          <w:cantSplit/>
        </w:trPr>
        <w:tc>
          <w:tcPr>
            <w:tcW w:type="dxa" w:w="1080"/>
            <w:tcMar>
              <w:top w:w="55" w:type="dxa"/>
              <w:start w:w="75" w:type="dxa"/>
              <w:bottom w:w="55" w:type="dxa"/>
              <w:end w:w="75" w:type="dxa"/>
            </w:tcMar>
            <w:vAlign w:val="top"/>
          </w:tcPr>
          <w:p>
            <w:r>
              <w:rPr>
                <w:sz w:val="14"/>
              </w:rPr>
              <w:t>11-16</w:t>
            </w:r>
          </w:p>
        </w:tc>
        <w:tc>
          <w:tcPr>
            <w:tcW w:type="dxa" w:w="3312"/>
            <w:tcMar>
              <w:top w:w="55" w:type="dxa"/>
              <w:start w:w="75" w:type="dxa"/>
              <w:bottom w:w="55" w:type="dxa"/>
              <w:end w:w="75" w:type="dxa"/>
            </w:tcMar>
            <w:vAlign w:val="top"/>
          </w:tcPr>
          <w:p>
            <w:r>
              <w:rPr>
                <w:sz w:val="14"/>
              </w:rPr>
              <w:t>Implementation and automation</w:t>
            </w:r>
          </w:p>
        </w:tc>
        <w:tc>
          <w:tcPr>
            <w:tcW w:type="dxa" w:w="5688"/>
            <w:tcMar>
              <w:top w:w="55" w:type="dxa"/>
              <w:start w:w="75" w:type="dxa"/>
              <w:bottom w:w="55" w:type="dxa"/>
              <w:end w:w="75" w:type="dxa"/>
            </w:tcMar>
            <w:vAlign w:val="top"/>
          </w:tcPr>
          <w:p>
            <w:r>
              <w:rPr>
                <w:sz w:val="14"/>
              </w:rPr>
              <w:t>Working sandbox or detailed simulation</w:t>
            </w:r>
          </w:p>
        </w:tc>
      </w:tr>
      <w:tr>
        <w:trPr>
          <w:cantSplit/>
        </w:trPr>
        <w:tc>
          <w:tcPr>
            <w:tcW w:type="dxa" w:w="1080"/>
            <w:tcMar>
              <w:top w:w="55" w:type="dxa"/>
              <w:start w:w="75" w:type="dxa"/>
              <w:bottom w:w="55" w:type="dxa"/>
              <w:end w:w="75" w:type="dxa"/>
            </w:tcMar>
            <w:vAlign w:val="top"/>
          </w:tcPr>
          <w:p>
            <w:r>
              <w:rPr>
                <w:sz w:val="14"/>
              </w:rPr>
              <w:t>17-21</w:t>
            </w:r>
          </w:p>
        </w:tc>
        <w:tc>
          <w:tcPr>
            <w:tcW w:type="dxa" w:w="3312"/>
            <w:tcMar>
              <w:top w:w="55" w:type="dxa"/>
              <w:start w:w="75" w:type="dxa"/>
              <w:bottom w:w="55" w:type="dxa"/>
              <w:end w:w="75" w:type="dxa"/>
            </w:tcMar>
            <w:vAlign w:val="top"/>
          </w:tcPr>
          <w:p>
            <w:r>
              <w:rPr>
                <w:sz w:val="14"/>
              </w:rPr>
              <w:t>Security, policy and governance</w:t>
            </w:r>
          </w:p>
        </w:tc>
        <w:tc>
          <w:tcPr>
            <w:tcW w:type="dxa" w:w="5688"/>
            <w:tcMar>
              <w:top w:w="55" w:type="dxa"/>
              <w:start w:w="75" w:type="dxa"/>
              <w:bottom w:w="55" w:type="dxa"/>
              <w:end w:w="75" w:type="dxa"/>
            </w:tcMar>
            <w:vAlign w:val="top"/>
          </w:tcPr>
          <w:p>
            <w:r>
              <w:rPr>
                <w:sz w:val="14"/>
              </w:rPr>
              <w:t>Threat model, policy tests and exceptions</w:t>
            </w:r>
          </w:p>
        </w:tc>
      </w:tr>
      <w:tr>
        <w:trPr>
          <w:cantSplit/>
        </w:trPr>
        <w:tc>
          <w:tcPr>
            <w:tcW w:type="dxa" w:w="1080"/>
            <w:tcMar>
              <w:top w:w="55" w:type="dxa"/>
              <w:start w:w="75" w:type="dxa"/>
              <w:bottom w:w="55" w:type="dxa"/>
              <w:end w:w="75" w:type="dxa"/>
            </w:tcMar>
            <w:vAlign w:val="top"/>
          </w:tcPr>
          <w:p>
            <w:r>
              <w:rPr>
                <w:sz w:val="14"/>
              </w:rPr>
              <w:t>22-26</w:t>
            </w:r>
          </w:p>
        </w:tc>
        <w:tc>
          <w:tcPr>
            <w:tcW w:type="dxa" w:w="3312"/>
            <w:tcMar>
              <w:top w:w="55" w:type="dxa"/>
              <w:start w:w="75" w:type="dxa"/>
              <w:bottom w:w="55" w:type="dxa"/>
              <w:end w:w="75" w:type="dxa"/>
            </w:tcMar>
            <w:vAlign w:val="top"/>
          </w:tcPr>
          <w:p>
            <w:r>
              <w:rPr>
                <w:sz w:val="14"/>
              </w:rPr>
              <w:t>Reliability, telemetry and recovery</w:t>
            </w:r>
          </w:p>
        </w:tc>
        <w:tc>
          <w:tcPr>
            <w:tcW w:type="dxa" w:w="5688"/>
            <w:tcMar>
              <w:top w:w="55" w:type="dxa"/>
              <w:start w:w="75" w:type="dxa"/>
              <w:bottom w:w="55" w:type="dxa"/>
              <w:end w:w="75" w:type="dxa"/>
            </w:tcMar>
            <w:vAlign w:val="top"/>
          </w:tcPr>
          <w:p>
            <w:r>
              <w:rPr>
                <w:sz w:val="14"/>
              </w:rPr>
              <w:t>SLOs, dashboards and failure drill</w:t>
            </w:r>
          </w:p>
        </w:tc>
      </w:tr>
      <w:tr>
        <w:trPr>
          <w:cantSplit/>
        </w:trPr>
        <w:tc>
          <w:tcPr>
            <w:tcW w:type="dxa" w:w="1080"/>
            <w:tcMar>
              <w:top w:w="55" w:type="dxa"/>
              <w:start w:w="75" w:type="dxa"/>
              <w:bottom w:w="55" w:type="dxa"/>
              <w:end w:w="75" w:type="dxa"/>
            </w:tcMar>
            <w:vAlign w:val="top"/>
          </w:tcPr>
          <w:p>
            <w:r>
              <w:rPr>
                <w:sz w:val="14"/>
              </w:rPr>
              <w:t>27-31</w:t>
            </w:r>
          </w:p>
        </w:tc>
        <w:tc>
          <w:tcPr>
            <w:tcW w:type="dxa" w:w="3312"/>
            <w:tcMar>
              <w:top w:w="55" w:type="dxa"/>
              <w:start w:w="75" w:type="dxa"/>
              <w:bottom w:w="55" w:type="dxa"/>
              <w:end w:w="75" w:type="dxa"/>
            </w:tcMar>
            <w:vAlign w:val="top"/>
          </w:tcPr>
          <w:p>
            <w:r>
              <w:rPr>
                <w:sz w:val="14"/>
              </w:rPr>
              <w:t>Cost, capacity and lifecycle</w:t>
            </w:r>
          </w:p>
        </w:tc>
        <w:tc>
          <w:tcPr>
            <w:tcW w:type="dxa" w:w="5688"/>
            <w:tcMar>
              <w:top w:w="55" w:type="dxa"/>
              <w:start w:w="75" w:type="dxa"/>
              <w:bottom w:w="55" w:type="dxa"/>
              <w:end w:w="75" w:type="dxa"/>
            </w:tcMar>
            <w:vAlign w:val="top"/>
          </w:tcPr>
          <w:p>
            <w:r>
              <w:rPr>
                <w:sz w:val="14"/>
              </w:rPr>
              <w:t>Unit cost, quota and deprecation plan</w:t>
            </w:r>
          </w:p>
        </w:tc>
      </w:tr>
      <w:tr>
        <w:trPr>
          <w:cantSplit/>
        </w:trPr>
        <w:tc>
          <w:tcPr>
            <w:tcW w:type="dxa" w:w="1080"/>
            <w:tcMar>
              <w:top w:w="55" w:type="dxa"/>
              <w:start w:w="75" w:type="dxa"/>
              <w:bottom w:w="55" w:type="dxa"/>
              <w:end w:w="75" w:type="dxa"/>
            </w:tcMar>
            <w:vAlign w:val="top"/>
          </w:tcPr>
          <w:p>
            <w:r>
              <w:rPr>
                <w:sz w:val="14"/>
              </w:rPr>
              <w:t>32-36</w:t>
            </w:r>
          </w:p>
        </w:tc>
        <w:tc>
          <w:tcPr>
            <w:tcW w:type="dxa" w:w="3312"/>
            <w:tcMar>
              <w:top w:w="55" w:type="dxa"/>
              <w:start w:w="75" w:type="dxa"/>
              <w:bottom w:w="55" w:type="dxa"/>
              <w:end w:w="75" w:type="dxa"/>
            </w:tcMar>
            <w:vAlign w:val="top"/>
          </w:tcPr>
          <w:p>
            <w:r>
              <w:rPr>
                <w:sz w:val="14"/>
              </w:rPr>
              <w:t>Adoption, people and operating model</w:t>
            </w:r>
          </w:p>
        </w:tc>
        <w:tc>
          <w:tcPr>
            <w:tcW w:type="dxa" w:w="5688"/>
            <w:tcMar>
              <w:top w:w="55" w:type="dxa"/>
              <w:start w:w="75" w:type="dxa"/>
              <w:bottom w:w="55" w:type="dxa"/>
              <w:end w:w="75" w:type="dxa"/>
            </w:tcMar>
            <w:vAlign w:val="top"/>
          </w:tcPr>
          <w:p>
            <w:r>
              <w:rPr>
                <w:sz w:val="14"/>
              </w:rPr>
              <w:t>RACI, support and change plan</w:t>
            </w:r>
          </w:p>
        </w:tc>
      </w:tr>
      <w:tr>
        <w:trPr>
          <w:cantSplit/>
        </w:trPr>
        <w:tc>
          <w:tcPr>
            <w:tcW w:type="dxa" w:w="1080"/>
            <w:tcMar>
              <w:top w:w="55" w:type="dxa"/>
              <w:start w:w="75" w:type="dxa"/>
              <w:bottom w:w="55" w:type="dxa"/>
              <w:end w:w="75" w:type="dxa"/>
            </w:tcMar>
            <w:vAlign w:val="top"/>
          </w:tcPr>
          <w:p>
            <w:r>
              <w:rPr>
                <w:sz w:val="14"/>
              </w:rPr>
              <w:t>37-41</w:t>
            </w:r>
          </w:p>
        </w:tc>
        <w:tc>
          <w:tcPr>
            <w:tcW w:type="dxa" w:w="3312"/>
            <w:tcMar>
              <w:top w:w="55" w:type="dxa"/>
              <w:start w:w="75" w:type="dxa"/>
              <w:bottom w:w="55" w:type="dxa"/>
              <w:end w:w="75" w:type="dxa"/>
            </w:tcMar>
            <w:vAlign w:val="top"/>
          </w:tcPr>
          <w:p>
            <w:r>
              <w:rPr>
                <w:sz w:val="14"/>
              </w:rPr>
              <w:t>Troubleshooting and interview practice</w:t>
            </w:r>
          </w:p>
        </w:tc>
        <w:tc>
          <w:tcPr>
            <w:tcW w:type="dxa" w:w="5688"/>
            <w:tcMar>
              <w:top w:w="55" w:type="dxa"/>
              <w:start w:w="75" w:type="dxa"/>
              <w:bottom w:w="55" w:type="dxa"/>
              <w:end w:w="75" w:type="dxa"/>
            </w:tcMar>
            <w:vAlign w:val="top"/>
          </w:tcPr>
          <w:p>
            <w:r>
              <w:rPr>
                <w:sz w:val="14"/>
              </w:rPr>
              <w:t>Timed investigation and interview notes</w:t>
            </w:r>
          </w:p>
        </w:tc>
      </w:tr>
      <w:tr>
        <w:trPr>
          <w:cantSplit/>
        </w:trPr>
        <w:tc>
          <w:tcPr>
            <w:tcW w:type="dxa" w:w="1080"/>
            <w:tcMar>
              <w:top w:w="55" w:type="dxa"/>
              <w:start w:w="75" w:type="dxa"/>
              <w:bottom w:w="55" w:type="dxa"/>
              <w:end w:w="75" w:type="dxa"/>
            </w:tcMar>
            <w:vAlign w:val="top"/>
          </w:tcPr>
          <w:p>
            <w:r>
              <w:rPr>
                <w:sz w:val="14"/>
              </w:rPr>
              <w:t>42-45</w:t>
            </w:r>
          </w:p>
        </w:tc>
        <w:tc>
          <w:tcPr>
            <w:tcW w:type="dxa" w:w="3312"/>
            <w:tcMar>
              <w:top w:w="55" w:type="dxa"/>
              <w:start w:w="75" w:type="dxa"/>
              <w:bottom w:w="55" w:type="dxa"/>
              <w:end w:w="75" w:type="dxa"/>
            </w:tcMar>
            <w:vAlign w:val="top"/>
          </w:tcPr>
          <w:p>
            <w:r>
              <w:rPr>
                <w:sz w:val="14"/>
              </w:rPr>
              <w:t>Capstone and portfolio</w:t>
            </w:r>
          </w:p>
        </w:tc>
        <w:tc>
          <w:tcPr>
            <w:tcW w:type="dxa" w:w="5688"/>
            <w:tcMar>
              <w:top w:w="55" w:type="dxa"/>
              <w:start w:w="75" w:type="dxa"/>
              <w:bottom w:w="55" w:type="dxa"/>
              <w:end w:w="75" w:type="dxa"/>
            </w:tcMar>
            <w:vAlign w:val="top"/>
          </w:tcPr>
          <w:p>
            <w:r>
              <w:rPr>
                <w:sz w:val="14"/>
              </w:rPr>
              <w:t>Final defense, cleanup and sanitized evidence pack</w:t>
            </w:r>
          </w:p>
        </w:tc>
      </w:tr>
    </w:tbl>
    <w:p>
      <w:pPr>
        <w:pStyle w:val="Heading1"/>
        <w:keepNext w:val="0"/>
      </w:pPr>
      <w:r>
        <w:t>Glossary</w:t>
      </w:r>
    </w:p>
    <w:tbl>
      <w:tblPr>
        <w:tblStyle w:val="LightShading-Accent1"/>
        <w:tblW w:type="auto" w:w="0"/>
        <w:jc w:val="center"/>
        <w:tblLook w:firstColumn="1" w:firstRow="1" w:lastColumn="0" w:lastRow="0" w:noHBand="0" w:noVBand="1" w:val="04A0"/>
      </w:tblPr>
      <w:tblGrid>
        <w:gridCol w:w="5083"/>
        <w:gridCol w:w="5083"/>
      </w:tblGrid>
      <w:tr>
        <w:trPr>
          <w:tblHeader w:val="true"/>
          <w:cantSplit/>
        </w:trPr>
        <w:tc>
          <w:tcPr>
            <w:tcW w:type="dxa" w:w="2088"/>
            <w:shd w:fill="176B87"/>
            <w:tcMar>
              <w:top w:w="55" w:type="dxa"/>
              <w:start w:w="75" w:type="dxa"/>
              <w:bottom w:w="55" w:type="dxa"/>
              <w:end w:w="75" w:type="dxa"/>
            </w:tcMar>
            <w:vAlign w:val="center"/>
          </w:tcPr>
          <w:p>
            <w:r>
              <w:rPr>
                <w:b/>
                <w:color w:val="FFFFFF"/>
                <w:sz w:val="14"/>
              </w:rPr>
              <w:t>Term</w:t>
            </w:r>
          </w:p>
        </w:tc>
        <w:tc>
          <w:tcPr>
            <w:tcW w:type="dxa" w:w="7848"/>
            <w:shd w:fill="176B87"/>
            <w:tcMar>
              <w:top w:w="55" w:type="dxa"/>
              <w:start w:w="75" w:type="dxa"/>
              <w:bottom w:w="55" w:type="dxa"/>
              <w:end w:w="75" w:type="dxa"/>
            </w:tcMar>
            <w:vAlign w:val="center"/>
          </w:tcPr>
          <w:p>
            <w:r>
              <w:rPr>
                <w:b/>
                <w:color w:val="FFFFFF"/>
                <w:sz w:val="14"/>
              </w:rPr>
              <w:t>Definition</w:t>
            </w:r>
          </w:p>
        </w:tc>
      </w:tr>
      <w:tr>
        <w:trPr>
          <w:cantSplit/>
        </w:trPr>
        <w:tc>
          <w:tcPr>
            <w:tcW w:type="dxa" w:w="2088"/>
            <w:tcMar>
              <w:top w:w="55" w:type="dxa"/>
              <w:start w:w="75" w:type="dxa"/>
              <w:bottom w:w="55" w:type="dxa"/>
              <w:end w:w="75" w:type="dxa"/>
            </w:tcMar>
            <w:vAlign w:val="top"/>
          </w:tcPr>
          <w:p>
            <w:r>
              <w:rPr>
                <w:sz w:val="14"/>
              </w:rPr>
              <w:t>Control plane</w:t>
            </w:r>
          </w:p>
        </w:tc>
        <w:tc>
          <w:tcPr>
            <w:tcW w:type="dxa" w:w="7848"/>
            <w:tcMar>
              <w:top w:w="55" w:type="dxa"/>
              <w:start w:w="75" w:type="dxa"/>
              <w:bottom w:w="55" w:type="dxa"/>
              <w:end w:w="75" w:type="dxa"/>
            </w:tcMar>
            <w:vAlign w:val="top"/>
          </w:tcPr>
          <w:p>
            <w:r>
              <w:rPr>
                <w:sz w:val="14"/>
              </w:rPr>
              <w:t>The APIs and controllers that accept desired state and coordinate execution.</w:t>
            </w:r>
          </w:p>
        </w:tc>
      </w:tr>
      <w:tr>
        <w:trPr>
          <w:cantSplit/>
        </w:trPr>
        <w:tc>
          <w:tcPr>
            <w:tcW w:type="dxa" w:w="2088"/>
            <w:tcMar>
              <w:top w:w="55" w:type="dxa"/>
              <w:start w:w="75" w:type="dxa"/>
              <w:bottom w:w="55" w:type="dxa"/>
              <w:end w:w="75" w:type="dxa"/>
            </w:tcMar>
            <w:vAlign w:val="top"/>
          </w:tcPr>
          <w:p>
            <w:r>
              <w:rPr>
                <w:sz w:val="14"/>
              </w:rPr>
              <w:t>Developer portal</w:t>
            </w:r>
          </w:p>
        </w:tc>
        <w:tc>
          <w:tcPr>
            <w:tcW w:type="dxa" w:w="7848"/>
            <w:tcMar>
              <w:top w:w="55" w:type="dxa"/>
              <w:start w:w="75" w:type="dxa"/>
              <w:bottom w:w="55" w:type="dxa"/>
              <w:end w:w="75" w:type="dxa"/>
            </w:tcMar>
            <w:vAlign w:val="top"/>
          </w:tcPr>
          <w:p>
            <w:r>
              <w:rPr>
                <w:sz w:val="14"/>
              </w:rPr>
              <w:t>A user interface that aggregates catalog, documentation, workflows and operational context.</w:t>
            </w:r>
          </w:p>
        </w:tc>
      </w:tr>
      <w:tr>
        <w:trPr>
          <w:cantSplit/>
        </w:trPr>
        <w:tc>
          <w:tcPr>
            <w:tcW w:type="dxa" w:w="2088"/>
            <w:tcMar>
              <w:top w:w="55" w:type="dxa"/>
              <w:start w:w="75" w:type="dxa"/>
              <w:bottom w:w="55" w:type="dxa"/>
              <w:end w:w="75" w:type="dxa"/>
            </w:tcMar>
            <w:vAlign w:val="top"/>
          </w:tcPr>
          <w:p>
            <w:r>
              <w:rPr>
                <w:sz w:val="14"/>
              </w:rPr>
              <w:t>Internal developer platform</w:t>
            </w:r>
          </w:p>
        </w:tc>
        <w:tc>
          <w:tcPr>
            <w:tcW w:type="dxa" w:w="7848"/>
            <w:tcMar>
              <w:top w:w="55" w:type="dxa"/>
              <w:start w:w="75" w:type="dxa"/>
              <w:bottom w:w="55" w:type="dxa"/>
              <w:end w:w="75" w:type="dxa"/>
            </w:tcMar>
            <w:vAlign w:val="top"/>
          </w:tcPr>
          <w:p>
            <w:r>
              <w:rPr>
                <w:sz w:val="14"/>
              </w:rPr>
              <w:t>The integrated products, APIs, automation and processes that support software delivery.</w:t>
            </w:r>
          </w:p>
        </w:tc>
      </w:tr>
      <w:tr>
        <w:trPr>
          <w:cantSplit/>
        </w:trPr>
        <w:tc>
          <w:tcPr>
            <w:tcW w:type="dxa" w:w="2088"/>
            <w:tcMar>
              <w:top w:w="55" w:type="dxa"/>
              <w:start w:w="75" w:type="dxa"/>
              <w:bottom w:w="55" w:type="dxa"/>
              <w:end w:w="75" w:type="dxa"/>
            </w:tcMar>
            <w:vAlign w:val="top"/>
          </w:tcPr>
          <w:p>
            <w:r>
              <w:rPr>
                <w:sz w:val="14"/>
              </w:rPr>
              <w:t>Golden path</w:t>
            </w:r>
          </w:p>
        </w:tc>
        <w:tc>
          <w:tcPr>
            <w:tcW w:type="dxa" w:w="7848"/>
            <w:tcMar>
              <w:top w:w="55" w:type="dxa"/>
              <w:start w:w="75" w:type="dxa"/>
              <w:bottom w:w="55" w:type="dxa"/>
              <w:end w:w="75" w:type="dxa"/>
            </w:tcMar>
            <w:vAlign w:val="top"/>
          </w:tcPr>
          <w:p>
            <w:r>
              <w:rPr>
                <w:sz w:val="14"/>
              </w:rPr>
              <w:t>An opinionated, supported default journey for a common engineering task.</w:t>
            </w:r>
          </w:p>
        </w:tc>
      </w:tr>
      <w:tr>
        <w:trPr>
          <w:cantSplit/>
        </w:trPr>
        <w:tc>
          <w:tcPr>
            <w:tcW w:type="dxa" w:w="2088"/>
            <w:tcMar>
              <w:top w:w="55" w:type="dxa"/>
              <w:start w:w="75" w:type="dxa"/>
              <w:bottom w:w="55" w:type="dxa"/>
              <w:end w:w="75" w:type="dxa"/>
            </w:tcMar>
            <w:vAlign w:val="top"/>
          </w:tcPr>
          <w:p>
            <w:r>
              <w:rPr>
                <w:sz w:val="14"/>
              </w:rPr>
              <w:t>Data product</w:t>
            </w:r>
          </w:p>
        </w:tc>
        <w:tc>
          <w:tcPr>
            <w:tcW w:type="dxa" w:w="7848"/>
            <w:tcMar>
              <w:top w:w="55" w:type="dxa"/>
              <w:start w:w="75" w:type="dxa"/>
              <w:bottom w:w="55" w:type="dxa"/>
              <w:end w:w="75" w:type="dxa"/>
            </w:tcMar>
            <w:vAlign w:val="top"/>
          </w:tcPr>
          <w:p>
            <w:r>
              <w:rPr>
                <w:sz w:val="14"/>
              </w:rPr>
              <w:t>An owned data asset or interface with consumers, quality, documentation and lifecycle.</w:t>
            </w:r>
          </w:p>
        </w:tc>
      </w:tr>
      <w:tr>
        <w:trPr>
          <w:cantSplit/>
        </w:trPr>
        <w:tc>
          <w:tcPr>
            <w:tcW w:type="dxa" w:w="2088"/>
            <w:tcMar>
              <w:top w:w="55" w:type="dxa"/>
              <w:start w:w="75" w:type="dxa"/>
              <w:bottom w:w="55" w:type="dxa"/>
              <w:end w:w="75" w:type="dxa"/>
            </w:tcMar>
            <w:vAlign w:val="top"/>
          </w:tcPr>
          <w:p>
            <w:r>
              <w:rPr>
                <w:sz w:val="14"/>
              </w:rPr>
              <w:t>MLOps</w:t>
            </w:r>
          </w:p>
        </w:tc>
        <w:tc>
          <w:tcPr>
            <w:tcW w:type="dxa" w:w="7848"/>
            <w:tcMar>
              <w:top w:w="55" w:type="dxa"/>
              <w:start w:w="75" w:type="dxa"/>
              <w:bottom w:w="55" w:type="dxa"/>
              <w:end w:w="75" w:type="dxa"/>
            </w:tcMar>
            <w:vAlign w:val="top"/>
          </w:tcPr>
          <w:p>
            <w:r>
              <w:rPr>
                <w:sz w:val="14"/>
              </w:rPr>
              <w:t>Practices and systems for reproducible, governed delivery and operation of machine-learning models.</w:t>
            </w:r>
          </w:p>
        </w:tc>
      </w:tr>
      <w:tr>
        <w:trPr>
          <w:cantSplit/>
        </w:trPr>
        <w:tc>
          <w:tcPr>
            <w:tcW w:type="dxa" w:w="2088"/>
            <w:tcMar>
              <w:top w:w="55" w:type="dxa"/>
              <w:start w:w="75" w:type="dxa"/>
              <w:bottom w:w="55" w:type="dxa"/>
              <w:end w:w="75" w:type="dxa"/>
            </w:tcMar>
            <w:vAlign w:val="top"/>
          </w:tcPr>
          <w:p>
            <w:r>
              <w:rPr>
                <w:sz w:val="14"/>
              </w:rPr>
              <w:t>LLMOps</w:t>
            </w:r>
          </w:p>
        </w:tc>
        <w:tc>
          <w:tcPr>
            <w:tcW w:type="dxa" w:w="7848"/>
            <w:tcMar>
              <w:top w:w="55" w:type="dxa"/>
              <w:start w:w="75" w:type="dxa"/>
              <w:bottom w:w="55" w:type="dxa"/>
              <w:end w:w="75" w:type="dxa"/>
            </w:tcMar>
            <w:vAlign w:val="top"/>
          </w:tcPr>
          <w:p>
            <w:r>
              <w:rPr>
                <w:sz w:val="14"/>
              </w:rPr>
              <w:t>Lifecycle, evaluation, deployment, observability, safety and cost practices for LLM applications.</w:t>
            </w:r>
          </w:p>
        </w:tc>
      </w:tr>
      <w:tr>
        <w:trPr>
          <w:cantSplit/>
        </w:trPr>
        <w:tc>
          <w:tcPr>
            <w:tcW w:type="dxa" w:w="2088"/>
            <w:tcMar>
              <w:top w:w="55" w:type="dxa"/>
              <w:start w:w="75" w:type="dxa"/>
              <w:bottom w:w="55" w:type="dxa"/>
              <w:end w:w="75" w:type="dxa"/>
            </w:tcMar>
            <w:vAlign w:val="top"/>
          </w:tcPr>
          <w:p>
            <w:r>
              <w:rPr>
                <w:sz w:val="14"/>
              </w:rPr>
              <w:t>Sociotechnical system</w:t>
            </w:r>
          </w:p>
        </w:tc>
        <w:tc>
          <w:tcPr>
            <w:tcW w:type="dxa" w:w="7848"/>
            <w:tcMar>
              <w:top w:w="55" w:type="dxa"/>
              <w:start w:w="75" w:type="dxa"/>
              <w:bottom w:w="55" w:type="dxa"/>
              <w:end w:w="75" w:type="dxa"/>
            </w:tcMar>
            <w:vAlign w:val="top"/>
          </w:tcPr>
          <w:p>
            <w:r>
              <w:rPr>
                <w:sz w:val="14"/>
              </w:rPr>
              <w:t>A system whose outcomes emerge from interactions among people, process, incentives and technology.</w:t>
            </w:r>
          </w:p>
        </w:tc>
      </w:tr>
      <w:tr>
        <w:trPr>
          <w:cantSplit/>
        </w:trPr>
        <w:tc>
          <w:tcPr>
            <w:tcW w:type="dxa" w:w="2088"/>
            <w:tcMar>
              <w:top w:w="55" w:type="dxa"/>
              <w:start w:w="75" w:type="dxa"/>
              <w:bottom w:w="55" w:type="dxa"/>
              <w:end w:w="75" w:type="dxa"/>
            </w:tcMar>
            <w:vAlign w:val="top"/>
          </w:tcPr>
          <w:p>
            <w:r>
              <w:rPr>
                <w:sz w:val="14"/>
              </w:rPr>
              <w:t>Unit economics</w:t>
            </w:r>
          </w:p>
        </w:tc>
        <w:tc>
          <w:tcPr>
            <w:tcW w:type="dxa" w:w="7848"/>
            <w:tcMar>
              <w:top w:w="55" w:type="dxa"/>
              <w:start w:w="75" w:type="dxa"/>
              <w:bottom w:w="55" w:type="dxa"/>
              <w:end w:w="75" w:type="dxa"/>
            </w:tcMar>
            <w:vAlign w:val="top"/>
          </w:tcPr>
          <w:p>
            <w:r>
              <w:rPr>
                <w:sz w:val="14"/>
              </w:rPr>
              <w:t>Cost and value measured per meaningful business or technical output.</w:t>
            </w:r>
          </w:p>
        </w:tc>
      </w:tr>
      <w:tr>
        <w:trPr>
          <w:cantSplit/>
        </w:trPr>
        <w:tc>
          <w:tcPr>
            <w:tcW w:type="dxa" w:w="2088"/>
            <w:tcMar>
              <w:top w:w="55" w:type="dxa"/>
              <w:start w:w="75" w:type="dxa"/>
              <w:bottom w:w="55" w:type="dxa"/>
              <w:end w:w="75" w:type="dxa"/>
            </w:tcMar>
            <w:vAlign w:val="top"/>
          </w:tcPr>
          <w:p>
            <w:r>
              <w:rPr>
                <w:sz w:val="14"/>
              </w:rPr>
              <w:t>Error budget</w:t>
            </w:r>
          </w:p>
        </w:tc>
        <w:tc>
          <w:tcPr>
            <w:tcW w:type="dxa" w:w="7848"/>
            <w:tcMar>
              <w:top w:w="55" w:type="dxa"/>
              <w:start w:w="75" w:type="dxa"/>
              <w:bottom w:w="55" w:type="dxa"/>
              <w:end w:w="75" w:type="dxa"/>
            </w:tcMar>
            <w:vAlign w:val="top"/>
          </w:tcPr>
          <w:p>
            <w:r>
              <w:rPr>
                <w:sz w:val="14"/>
              </w:rPr>
              <w:t>The allowed unreliability implied by a service-level objective.</w:t>
            </w:r>
          </w:p>
        </w:tc>
      </w:tr>
      <w:tr>
        <w:trPr>
          <w:cantSplit/>
        </w:trPr>
        <w:tc>
          <w:tcPr>
            <w:tcW w:type="dxa" w:w="2088"/>
            <w:tcMar>
              <w:top w:w="55" w:type="dxa"/>
              <w:start w:w="75" w:type="dxa"/>
              <w:bottom w:w="55" w:type="dxa"/>
              <w:end w:w="75" w:type="dxa"/>
            </w:tcMar>
            <w:vAlign w:val="top"/>
          </w:tcPr>
          <w:p>
            <w:r>
              <w:rPr>
                <w:sz w:val="14"/>
              </w:rPr>
              <w:t>Policy as code</w:t>
            </w:r>
          </w:p>
        </w:tc>
        <w:tc>
          <w:tcPr>
            <w:tcW w:type="dxa" w:w="7848"/>
            <w:tcMar>
              <w:top w:w="55" w:type="dxa"/>
              <w:start w:w="75" w:type="dxa"/>
              <w:bottom w:w="55" w:type="dxa"/>
              <w:end w:w="75" w:type="dxa"/>
            </w:tcMar>
            <w:vAlign w:val="top"/>
          </w:tcPr>
          <w:p>
            <w:r>
              <w:rPr>
                <w:sz w:val="14"/>
              </w:rPr>
              <w:t>Machine-testable policy stored, reviewed and promoted through version control.</w:t>
            </w:r>
          </w:p>
        </w:tc>
      </w:tr>
      <w:tr>
        <w:trPr>
          <w:cantSplit/>
        </w:trPr>
        <w:tc>
          <w:tcPr>
            <w:tcW w:type="dxa" w:w="2088"/>
            <w:tcMar>
              <w:top w:w="55" w:type="dxa"/>
              <w:start w:w="75" w:type="dxa"/>
              <w:bottom w:w="55" w:type="dxa"/>
              <w:end w:w="75" w:type="dxa"/>
            </w:tcMar>
            <w:vAlign w:val="top"/>
          </w:tcPr>
          <w:p>
            <w:r>
              <w:rPr>
                <w:sz w:val="14"/>
              </w:rPr>
              <w:t>Evidence pack</w:t>
            </w:r>
          </w:p>
        </w:tc>
        <w:tc>
          <w:tcPr>
            <w:tcW w:type="dxa" w:w="7848"/>
            <w:tcMar>
              <w:top w:w="55" w:type="dxa"/>
              <w:start w:w="75" w:type="dxa"/>
              <w:bottom w:w="55" w:type="dxa"/>
              <w:end w:w="75" w:type="dxa"/>
            </w:tcMar>
            <w:vAlign w:val="top"/>
          </w:tcPr>
          <w:p>
            <w:r>
              <w:rPr>
                <w:sz w:val="14"/>
              </w:rPr>
              <w:t>Sanitized architecture, configuration, test, telemetry and decision records used to prove readiness.</w:t>
            </w:r>
          </w:p>
        </w:tc>
      </w:tr>
    </w:tbl>
    <w:p>
      <w:pPr>
        <w:pStyle w:val="Heading1"/>
        <w:keepNext w:val="0"/>
      </w:pPr>
      <w:r>
        <w:t>Official Documentation Index</w:t>
      </w:r>
    </w:p>
    <w:p>
      <w:pPr>
        <w:keepNext w:val="0"/>
      </w:pPr>
      <w:r>
        <w:t>The following primary or official sources were consulted for this 2026 edition. Verify current versions, service behavior, prices, limits and certification objectives before use.</w:t>
      </w:r>
    </w:p>
    <w:p>
      <w:pPr>
        <w:pStyle w:val="ListBullet"/>
      </w:pPr>
      <w:hyperlink r:id="rId72">
        <w:r>
          <w:rPr>
            <w:color w:val="176B87"/>
            <w:u w:val="single"/>
          </w:rPr>
          <w:t>MLflow Documentation</w:t>
        </w:r>
      </w:hyperlink>
    </w:p>
    <w:p>
      <w:pPr>
        <w:pStyle w:val="ListBullet"/>
      </w:pPr>
      <w:hyperlink r:id="rId73">
        <w:r>
          <w:rPr>
            <w:color w:val="176B87"/>
            <w:u w:val="single"/>
          </w:rPr>
          <w:t>MLflow Tracking</w:t>
        </w:r>
      </w:hyperlink>
    </w:p>
    <w:p>
      <w:pPr>
        <w:pStyle w:val="ListBullet"/>
      </w:pPr>
      <w:hyperlink r:id="rId74">
        <w:r>
          <w:rPr>
            <w:color w:val="176B87"/>
            <w:u w:val="single"/>
          </w:rPr>
          <w:t>MLflow Model Registry</w:t>
        </w:r>
      </w:hyperlink>
    </w:p>
    <w:p>
      <w:pPr>
        <w:pStyle w:val="ListBullet"/>
      </w:pPr>
      <w:hyperlink r:id="rId75">
        <w:r>
          <w:rPr>
            <w:color w:val="176B87"/>
            <w:u w:val="single"/>
          </w:rPr>
          <w:t>Kubeflow Introduction</w:t>
        </w:r>
      </w:hyperlink>
    </w:p>
    <w:p>
      <w:pPr>
        <w:pStyle w:val="ListBullet"/>
      </w:pPr>
      <w:hyperlink r:id="rId76">
        <w:r>
          <w:rPr>
            <w:color w:val="176B87"/>
            <w:u w:val="single"/>
          </w:rPr>
          <w:t>Kubeflow Pipelines</w:t>
        </w:r>
      </w:hyperlink>
    </w:p>
    <w:p>
      <w:pPr>
        <w:pStyle w:val="ListBullet"/>
      </w:pPr>
      <w:hyperlink r:id="rId77">
        <w:r>
          <w:rPr>
            <w:color w:val="176B87"/>
            <w:u w:val="single"/>
          </w:rPr>
          <w:t>Kubeflow Trainer</w:t>
        </w:r>
      </w:hyperlink>
    </w:p>
    <w:p>
      <w:pPr>
        <w:pStyle w:val="ListBullet"/>
      </w:pPr>
      <w:hyperlink r:id="rId78">
        <w:r>
          <w:rPr>
            <w:color w:val="176B87"/>
            <w:u w:val="single"/>
          </w:rPr>
          <w:t>KServe Documentation</w:t>
        </w:r>
      </w:hyperlink>
    </w:p>
    <w:p>
      <w:pPr>
        <w:pStyle w:val="ListBullet"/>
      </w:pPr>
      <w:hyperlink r:id="rId79">
        <w:r>
          <w:rPr>
            <w:color w:val="176B87"/>
            <w:u w:val="single"/>
          </w:rPr>
          <w:t>Ray Documentation</w:t>
        </w:r>
      </w:hyperlink>
    </w:p>
    <w:p>
      <w:pPr>
        <w:pStyle w:val="ListBullet"/>
      </w:pPr>
      <w:hyperlink r:id="rId80">
        <w:r>
          <w:rPr>
            <w:color w:val="176B87"/>
            <w:u w:val="single"/>
          </w:rPr>
          <w:t>Ray Serve</w:t>
        </w:r>
      </w:hyperlink>
    </w:p>
    <w:p>
      <w:pPr>
        <w:pStyle w:val="ListBullet"/>
      </w:pPr>
      <w:hyperlink r:id="rId81">
        <w:r>
          <w:rPr>
            <w:color w:val="176B87"/>
            <w:u w:val="single"/>
          </w:rPr>
          <w:t>NIST AI Risk Management Framework</w:t>
        </w:r>
      </w:hyperlink>
    </w:p>
    <w:tbl>
      <w:tblPr>
        <w:tblW w:type="auto" w:w="0"/>
        <w:jc w:val="center"/>
        <w:tblLook w:firstColumn="1" w:firstRow="1" w:lastColumn="0" w:lastRow="0" w:noHBand="0" w:noVBand="1" w:val="04A0"/>
      </w:tblPr>
      <w:tblGrid>
        <w:gridCol w:w="10166"/>
      </w:tblGrid>
      <w:tr>
        <w:trPr>
          <w:cantSplit/>
        </w:trPr>
        <w:tc>
          <w:tcPr>
            <w:tcW w:type="dxa" w:w="10166"/>
            <w:shd w:fill="E8F2F5"/>
            <w:tcMar>
              <w:top w:w="95" w:type="dxa"/>
              <w:start w:w="125" w:type="dxa"/>
              <w:bottom w:w="95" w:type="dxa"/>
              <w:end w:w="125" w:type="dxa"/>
            </w:tcMar>
          </w:tcPr>
          <w:p>
            <w:pPr>
              <w:spacing w:after="0"/>
            </w:pPr>
            <w:r>
              <w:rPr>
                <w:b/>
                <w:color w:val="17324D"/>
              </w:rPr>
              <w:t>Volume 14E completion: preserve your architecture, code or simulation, test evidence, recovery timeline, cost/value review and sanitized final report as one portfolio package.</w:t>
            </w:r>
          </w:p>
        </w:tc>
      </w:tr>
    </w:tbl>
    <w:p>
      <w:pPr>
        <w:spacing w:after="0"/>
      </w:pPr>
    </w:p>
    <w:sectPr w:rsidR="00FC693F" w:rsidRPr="0006063C" w:rsidSect="00034616">
      <w:headerReference w:type="default" r:id="rId9"/>
      <w:footerReference w:type="default" r:id="rId10"/>
      <w:footerReference w:type="first" r:id="rId46"/>
      <w:pgSz w:w="12240" w:h="15840"/>
      <w:pgMar w:top="936" w:right="1037" w:bottom="893" w:left="1037"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6B7280"/>
        <w:sz w:val="16"/>
      </w:rPr>
      <w:t xml:space="preserve">VOLUME 14E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ans" w:hAnsi="DejaVu Sans"/>
        <w:b/>
        <w:color w:val="176B87"/>
        <w:sz w:val="16"/>
      </w:rPr>
      <w:t>DEVOPS MASTER COURSE  |  2026 EDITION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b/>
        <w:color w:val="4B5563"/>
        <w:sz w:val="16"/>
      </w:rPr>
      <w:t>DEVOPS MASTER COURSE | VOLUME 14E - AI INFRASTRUCTURE OPERATIONS, SECURITY, RISK AND FINOPS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4" w:lineRule="auto"/>
    </w:pPr>
    <w:rPr>
      <w:rFonts w:ascii="DejaVu Sans" w:hAnsi="DejaVu Sans" w:eastAsia="DejaVu Sans"/>
      <w:color w:val="1F29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DejaVu Sans" w:hAnsi="DejaVu Sans" w:eastAsia="DejaVu Sans"/>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DejaVu Sans" w:hAnsi="DejaVu Sans" w:eastAsia="DejaVu Sans"/>
      <w:b/>
      <w:bCs/>
      <w:color w:val="176B87"/>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DejaVu Sans" w:hAnsi="DejaVu Sans" w:eastAsia="DejaVu Sans"/>
      <w:b/>
      <w:bCs/>
      <w:color w:val="14919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DejaVu Sans" w:hAnsi="DejaVu Sans" w:eastAsia="DejaVu Sans"/>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DejaVu Sans" w:hAnsi="DejaVu Sans" w:eastAsia="DejaVu Sans"/>
      <w:b w:val="0"/>
      <w:i/>
      <w:iCs/>
      <w:color w:val="176B8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4" w:line="254" w:lineRule="auto"/>
    </w:pPr>
    <w:rPr>
      <w:rFonts w:ascii="DejaVu Sans" w:hAnsi="DejaVu Sans" w:eastAsia="DejaVu Sans"/>
      <w:color w:val="1F2933"/>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DejaVu Sans" w:hAnsi="DejaVu Sans"/>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DejaVu Sans" w:hAnsi="DejaVu Sans"/>
      <w:sz w:val="17"/>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02" w:right="144"/>
    </w:pPr>
    <w:rPr>
      <w:rFonts w:ascii="DejaVu Sans Mono" w:hAnsi="DejaVu Sans Mono"/>
      <w:color w:val="1F2933"/>
      <w:sz w:val="14"/>
    </w:rPr>
  </w:style>
  <w:style w:type="paragraph" w:customStyle="1" w:styleId="CodeSmall">
    <w:name w:val="Code Small"/>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telemetry.io/docs/concepts/" TargetMode="External"/><Relationship Id="rId12" Type="http://schemas.openxmlformats.org/officeDocument/2006/relationships/hyperlink" Target="https://opentelemetry.io/docs/specs/semconv/" TargetMode="External"/><Relationship Id="rId13" Type="http://schemas.openxmlformats.org/officeDocument/2006/relationships/hyperlink" Target="https://opentelemetry.io/docs/zero-code/" TargetMode="External"/><Relationship Id="rId14" Type="http://schemas.openxmlformats.org/officeDocument/2006/relationships/hyperlink" Target="https://opentelemetry.io/docs/collector/configuration/" TargetMode="External"/><Relationship Id="rId15" Type="http://schemas.openxmlformats.org/officeDocument/2006/relationships/hyperlink" Target="https://opentelemetry.io/docs/collector/deploy/" TargetMode="External"/><Relationship Id="rId16" Type="http://schemas.openxmlformats.org/officeDocument/2006/relationships/hyperlink" Target="https://opentelemetry.io/docs/collector/scaling/" TargetMode="External"/><Relationship Id="rId17" Type="http://schemas.openxmlformats.org/officeDocument/2006/relationships/hyperlink" Target="https://opentelemetry.io/docs/collector/internal-telemetry/" TargetMode="External"/><Relationship Id="rId18" Type="http://schemas.openxmlformats.org/officeDocument/2006/relationships/hyperlink" Target="https://opentelemetry.io/docs/concepts/sampling/" TargetMode="External"/><Relationship Id="rId19" Type="http://schemas.openxmlformats.org/officeDocument/2006/relationships/hyperlink" Target="https://opentelemetry.io/docs/security/" TargetMode="External"/><Relationship Id="rId20" Type="http://schemas.openxmlformats.org/officeDocument/2006/relationships/hyperlink" Target="https://grafana.com/docs/tempo/latest/" TargetMode="External"/><Relationship Id="rId21" Type="http://schemas.openxmlformats.org/officeDocument/2006/relationships/hyperlink" Target="https://grafana.com/docs/tempo/latest/introduction/architecture/" TargetMode="External"/><Relationship Id="rId22" Type="http://schemas.openxmlformats.org/officeDocument/2006/relationships/hyperlink" Target="https://grafana.com/docs/tempo/latest/set-up-for-tracing/setup-tempo/deploy/" TargetMode="External"/><Relationship Id="rId23" Type="http://schemas.openxmlformats.org/officeDocument/2006/relationships/hyperlink" Target="https://grafana.com/docs/tempo/latest/traceql/" TargetMode="External"/><Relationship Id="rId24" Type="http://schemas.openxmlformats.org/officeDocument/2006/relationships/hyperlink" Target="https://grafana.com/docs/tempo/latest/metrics-from-traces/" TargetMode="External"/><Relationship Id="rId25" Type="http://schemas.openxmlformats.org/officeDocument/2006/relationships/hyperlink" Target="https://grafana.com/docs/pyroscope/latest/" TargetMode="External"/><Relationship Id="rId26" Type="http://schemas.openxmlformats.org/officeDocument/2006/relationships/hyperlink" Target="https://grafana.com/docs/pyroscope/latest/introduction/continuous-profiling/" TargetMode="External"/><Relationship Id="rId27" Type="http://schemas.openxmlformats.org/officeDocument/2006/relationships/hyperlink" Target="https://grafana.com/docs/pyroscope/latest/configure-client/grafana-alloy/ebpf/" TargetMode="External"/><Relationship Id="rId28" Type="http://schemas.openxmlformats.org/officeDocument/2006/relationships/hyperlink" Target="https://docs.cilium.io/en/stable/observability/hubble/" TargetMode="External"/><Relationship Id="rId29" Type="http://schemas.openxmlformats.org/officeDocument/2006/relationships/hyperlink" Target="https://docs.cilium.io/en/stable/observability/hubble/setup/" TargetMode="External"/><Relationship Id="rId30" Type="http://schemas.openxmlformats.org/officeDocument/2006/relationships/hyperlink" Target="https://ebpf.io/" TargetMode="External"/><Relationship Id="rId31" Type="http://schemas.openxmlformats.org/officeDocument/2006/relationships/hyperlink" Target="https://sre.google/sre-book/introduction/" TargetMode="External"/><Relationship Id="rId32" Type="http://schemas.openxmlformats.org/officeDocument/2006/relationships/hyperlink" Target="https://sre.google/sre-book/embracing-risk/" TargetMode="External"/><Relationship Id="rId33" Type="http://schemas.openxmlformats.org/officeDocument/2006/relationships/hyperlink" Target="https://sre.google/workbook/on-call/" TargetMode="External"/><Relationship Id="rId34" Type="http://schemas.openxmlformats.org/officeDocument/2006/relationships/hyperlink" Target="https://sre.google/workbook/incident-response/" TargetMode="External"/><Relationship Id="rId35" Type="http://schemas.openxmlformats.org/officeDocument/2006/relationships/hyperlink" Target="https://sre.google/workbook/postmortem-culture/" TargetMode="External"/><Relationship Id="rId36" Type="http://schemas.openxmlformats.org/officeDocument/2006/relationships/hyperlink" Target="https://sre.google/sre-book/eliminating-toil/" TargetMode="External"/><Relationship Id="rId37" Type="http://schemas.openxmlformats.org/officeDocument/2006/relationships/hyperlink" Target="https://sre.google/workbook/canarying-releases/" TargetMode="External"/><Relationship Id="rId38" Type="http://schemas.openxmlformats.org/officeDocument/2006/relationships/hyperlink" Target="https://sre.google/sre-book/addressing-cascading-failures/" TargetMode="External"/><Relationship Id="rId39" Type="http://schemas.openxmlformats.org/officeDocument/2006/relationships/hyperlink" Target="https://kubernetes.io/docs/concepts/workloads/pods/probes/" TargetMode="External"/><Relationship Id="rId40" Type="http://schemas.openxmlformats.org/officeDocument/2006/relationships/hyperlink" Target="https://kubernetes.io/docs/concepts/workloads/autoscaling/horizontal-pod-autoscale/" TargetMode="External"/><Relationship Id="rId41" Type="http://schemas.openxmlformats.org/officeDocument/2006/relationships/hyperlink" Target="https://kubernetes.io/docs/concepts/workloads/autoscaling/vertical-pod-autoscale/" TargetMode="External"/><Relationship Id="rId42" Type="http://schemas.openxmlformats.org/officeDocument/2006/relationships/hyperlink" Target="https://kubernetes.io/docs/concepts/workloads/pods/disruptions/" TargetMode="External"/><Relationship Id="rId43" Type="http://schemas.openxmlformats.org/officeDocument/2006/relationships/hyperlink" Target="https://kubernetes.io/docs/tasks/run-application/configure-pdb/" TargetMode="External"/><Relationship Id="rId44" Type="http://schemas.openxmlformats.org/officeDocument/2006/relationships/hyperlink" Target="https://csrc.nist.gov/pubs/sp/800/160/v2/r1/final" TargetMode="External"/><Relationship Id="rId45" Type="http://schemas.openxmlformats.org/officeDocument/2006/relationships/hyperlink" Target="https://opentelemetry.io/docs/concepts/observability-primer/" TargetMode="External"/><Relationship Id="rId46" Type="http://schemas.openxmlformats.org/officeDocument/2006/relationships/footer" Target="footer2.xml"/><Relationship Id="rId47" Type="http://schemas.openxmlformats.org/officeDocument/2006/relationships/hyperlink" Target="https://sre.google/books/" TargetMode="External"/><Relationship Id="rId48" Type="http://schemas.openxmlformats.org/officeDocument/2006/relationships/hyperlink" Target="https://sre.google/sre-book/effective-troubleshooting/" TargetMode="External"/><Relationship Id="rId49" Type="http://schemas.openxmlformats.org/officeDocument/2006/relationships/hyperlink" Target="https://sre.google/resources/practices-and-processes/incident-management-guide/" TargetMode="External"/><Relationship Id="rId50" Type="http://schemas.openxmlformats.org/officeDocument/2006/relationships/hyperlink" Target="https://prometheus.io/docs/" TargetMode="External"/><Relationship Id="rId51" Type="http://schemas.openxmlformats.org/officeDocument/2006/relationships/hyperlink" Target="https://prometheus.io/docs/specs/prw/remote_write_spec/" TargetMode="External"/><Relationship Id="rId52" Type="http://schemas.openxmlformats.org/officeDocument/2006/relationships/hyperlink" Target="https://grafana.com/docs/" TargetMode="External"/><Relationship Id="rId53" Type="http://schemas.openxmlformats.org/officeDocument/2006/relationships/hyperlink" Target="https://grafana.com/docs/mimir/latest/" TargetMode="External"/><Relationship Id="rId54" Type="http://schemas.openxmlformats.org/officeDocument/2006/relationships/hyperlink" Target="https://opentelemetry.io/docs/collector/" TargetMode="External"/><Relationship Id="rId55" Type="http://schemas.openxmlformats.org/officeDocument/2006/relationships/hyperlink" Target="https://www.cncf.io/training/certification/pca/" TargetMode="External"/><Relationship Id="rId56" Type="http://schemas.openxmlformats.org/officeDocument/2006/relationships/hyperlink" Target="https://training.linuxfoundation.org/certification/opentelemetry-certified-associate-otca/" TargetMode="External"/><Relationship Id="rId57" Type="http://schemas.openxmlformats.org/officeDocument/2006/relationships/hyperlink" Target="https://www.cncf.io/training/certification/" TargetMode="External"/><Relationship Id="rId58" Type="http://schemas.openxmlformats.org/officeDocument/2006/relationships/hyperlink" Target="https://learn.grafana.com/page/badges-certifications" TargetMode="External"/><Relationship Id="rId59" Type="http://schemas.openxmlformats.org/officeDocument/2006/relationships/hyperlink" Target="https://docs.aws.amazon.com/wellarchitected/latest/framework/welcome.html" TargetMode="External"/><Relationship Id="rId60" Type="http://schemas.openxmlformats.org/officeDocument/2006/relationships/hyperlink" Target="https://docs.aws.amazon.com/whitepapers/latest/aws-risk-and-compliance/shared-responsibility-model.html" TargetMode="External"/><Relationship Id="rId61" Type="http://schemas.openxmlformats.org/officeDocument/2006/relationships/hyperlink" Target="https://docs.aws.amazon.com/controltower/latest/userguide/planning-your-deployment.html" TargetMode="External"/><Relationship Id="rId62" Type="http://schemas.openxmlformats.org/officeDocument/2006/relationships/hyperlink" Target="https://learn.microsoft.com/en-us/azure/well-architected/" TargetMode="External"/><Relationship Id="rId63" Type="http://schemas.openxmlformats.org/officeDocument/2006/relationships/hyperlink" Target="https://learn.microsoft.com/en-us/azure/security/fundamentals/shared-responsibility" TargetMode="External"/><Relationship Id="rId64" Type="http://schemas.openxmlformats.org/officeDocument/2006/relationships/hyperlink" Target="https://learn.microsoft.com/en-us/azure/cloud-adoption-framework/ready/landing-zone/" TargetMode="External"/><Relationship Id="rId65" Type="http://schemas.openxmlformats.org/officeDocument/2006/relationships/hyperlink" Target="https://docs.cloud.google.com/architecture/framework" TargetMode="External"/><Relationship Id="rId66" Type="http://schemas.openxmlformats.org/officeDocument/2006/relationships/hyperlink" Target="https://docs.cloud.google.com/architecture/landing-zones" TargetMode="External"/><Relationship Id="rId67" Type="http://schemas.openxmlformats.org/officeDocument/2006/relationships/hyperlink" Target="https://docs.cloud.google.com/architecture/framework/security/shared-responsibility-shared-fate" TargetMode="External"/><Relationship Id="rId68" Type="http://schemas.openxmlformats.org/officeDocument/2006/relationships/hyperlink" Target="https://developer.hashicorp.com/terraform/language/modules" TargetMode="External"/><Relationship Id="rId69" Type="http://schemas.openxmlformats.org/officeDocument/2006/relationships/hyperlink" Target="https://developer.hashicorp.com/terraform/language/state" TargetMode="External"/><Relationship Id="rId70" Type="http://schemas.openxmlformats.org/officeDocument/2006/relationships/hyperlink" Target="https://developer.hashicorp.com/terraform/language/tests" TargetMode="External"/><Relationship Id="rId71" Type="http://schemas.openxmlformats.org/officeDocument/2006/relationships/hyperlink" Target="https://www.finops.org/framework/" TargetMode="External"/><Relationship Id="rId72" Type="http://schemas.openxmlformats.org/officeDocument/2006/relationships/hyperlink" Target="https://mlflow.org/docs/latest/" TargetMode="External"/><Relationship Id="rId73" Type="http://schemas.openxmlformats.org/officeDocument/2006/relationships/hyperlink" Target="https://mlflow.org/docs/latest/ml/tracking/" TargetMode="External"/><Relationship Id="rId74" Type="http://schemas.openxmlformats.org/officeDocument/2006/relationships/hyperlink" Target="https://mlflow.org/docs/latest/ml/model-registry/" TargetMode="External"/><Relationship Id="rId75" Type="http://schemas.openxmlformats.org/officeDocument/2006/relationships/hyperlink" Target="https://www.kubeflow.org/docs/started/introduction/" TargetMode="External"/><Relationship Id="rId76" Type="http://schemas.openxmlformats.org/officeDocument/2006/relationships/hyperlink" Target="https://www.kubeflow.org/docs/components/pipelines/" TargetMode="External"/><Relationship Id="rId77" Type="http://schemas.openxmlformats.org/officeDocument/2006/relationships/hyperlink" Target="https://www.kubeflow.org/docs/components/trainer/" TargetMode="External"/><Relationship Id="rId78" Type="http://schemas.openxmlformats.org/officeDocument/2006/relationships/hyperlink" Target="https://kserve.github.io/website/" TargetMode="External"/><Relationship Id="rId79" Type="http://schemas.openxmlformats.org/officeDocument/2006/relationships/hyperlink" Target="https://docs.ray.io/en/latest/" TargetMode="External"/><Relationship Id="rId80" Type="http://schemas.openxmlformats.org/officeDocument/2006/relationships/hyperlink" Target="https://docs.ray.io/en/latest/serve/index.html" TargetMode="External"/><Relationship Id="rId81" Type="http://schemas.openxmlformats.org/officeDocument/2006/relationships/hyperlink" Target="https://www.nist.gov/itl/ai-risk-management-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Volume 14E - AI Infrastructure Operations, Security, Risk and FinOps</dc:title>
  <dc:subject>GPU | Storage | Networking | Scheduling | Observability | Cost | Security | Responsible AI</dc:subject>
  <dc:creator>OpenAI</dc:creator>
  <cp:keywords>DevOps, Platform Engineering, DataOps, MLOps, LLMOps, Leadership, Enterprise Transformation, SRE, Security, FinOps</cp:keywords>
  <dc:description>Professional learning edition generated for the DevOps Master Course.</dc:description>
  <cp:lastModifiedBy/>
  <cp:revision>1</cp:revision>
  <dcterms:created xsi:type="dcterms:W3CDTF">2013-12-23T23:15:00Z</dcterms:created>
  <dcterms:modified xsi:type="dcterms:W3CDTF">2013-12-23T23:15:00Z</dcterms:modified>
  <cp:category/>
</cp:coreProperties>
</file>