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15E</w:t>
      </w:r>
    </w:p>
    <w:p>
      <w:pPr>
        <w:jc w:val="center"/>
      </w:pPr>
      <w:r>
        <w:rPr>
          <w:b/>
          <w:color w:val="17324D"/>
          <w:sz w:val="40"/>
        </w:rPr>
        <w:t>Enterprise Execution, Resilience and Executive Operations</w:t>
      </w:r>
    </w:p>
    <w:p>
      <w:pPr>
        <w:pStyle w:val="Subtitle"/>
        <w:jc w:val="center"/>
      </w:pPr>
      <w:r>
        <w:t>Programs | Architecture | Policy | Incidents | Crisis | Resilience | M&amp;A | Regulation | AI</w:t>
      </w:r>
    </w:p>
    <w:p>
      <w:pPr>
        <w:keepNext w:val="0"/>
        <w:jc w:val="center"/>
      </w:pPr>
      <w:r>
        <w:t>Chapters 41-55 | 2026 Edition</w:t>
      </w:r>
    </w:p>
    <w:p/>
    <w:p>
      <w:pPr>
        <w:keepNext w:val="0"/>
        <w:jc w:val="center"/>
      </w:pPr>
      <w:r>
        <w:t>Beginner to Enterprise Mastery</w:t>
      </w:r>
    </w:p>
    <w:p>
      <w:r>
        <w:br w:type="page"/>
      </w:r>
    </w:p>
    <w:p>
      <w:pPr>
        <w:pStyle w:val="Heading1"/>
        <w:keepNext w:val="0"/>
      </w:pPr>
      <w:r>
        <w:t>About This Part</w:t>
      </w:r>
    </w:p>
    <w:p>
      <w:pPr>
        <w:keepNext w:val="0"/>
      </w:pPr>
      <w:r>
        <w:t>Part E prepares leaders to execute across complex portfolios, incidents, regulation, mergers, technology debt, AI-assisted delivery and executive review cycles.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2026 curriculum note: FinOps Framework 2026 broadens technology-value management and introduces executive strategy alignment. This part treats cloud, AI, SaaS, data-center and labor choices as connected investment decisions.</w:t>
            </w:r>
          </w:p>
        </w:tc>
      </w:tr>
    </w:tbl>
    <w:p>
      <w:pPr>
        <w:spacing w:after="0"/>
      </w:pPr>
    </w:p>
    <w:p>
      <w:pPr>
        <w:pStyle w:val="Heading2"/>
        <w:keepNext w:val="0"/>
      </w:pPr>
      <w:r>
        <w:t>Volume 15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936"/>
            <w:shd w:fill="176B87"/>
            <w:tcMar>
              <w:top w:w="55" w:type="dxa"/>
              <w:start w:w="75" w:type="dxa"/>
              <w:bottom w:w="55" w:type="dxa"/>
              <w:end w:w="75" w:type="dxa"/>
            </w:tcMar>
            <w:vAlign w:val="center"/>
          </w:tcPr>
          <w:p>
            <w:r>
              <w:rPr>
                <w:b/>
                <w:color w:val="FFFFFF"/>
                <w:sz w:val="14"/>
              </w:rPr>
              <w:t>Part</w:t>
            </w:r>
          </w:p>
        </w:tc>
        <w:tc>
          <w:tcPr>
            <w:tcW w:type="dxa" w:w="7200"/>
            <w:shd w:fill="176B87"/>
            <w:tcMar>
              <w:top w:w="55" w:type="dxa"/>
              <w:start w:w="75" w:type="dxa"/>
              <w:bottom w:w="55" w:type="dxa"/>
              <w:end w:w="75" w:type="dxa"/>
            </w:tcMar>
            <w:vAlign w:val="center"/>
          </w:tcPr>
          <w:p>
            <w:r>
              <w:rPr>
                <w:b/>
                <w:color w:val="FFFFFF"/>
                <w:sz w:val="14"/>
              </w:rPr>
              <w:t>Coverage</w:t>
            </w:r>
          </w:p>
        </w:tc>
        <w:tc>
          <w:tcPr>
            <w:tcW w:type="dxa" w:w="1800"/>
            <w:shd w:fill="176B87"/>
            <w:tcMar>
              <w:top w:w="55" w:type="dxa"/>
              <w:start w:w="75" w:type="dxa"/>
              <w:bottom w:w="55" w:type="dxa"/>
              <w:end w:w="75" w:type="dxa"/>
            </w:tcMar>
            <w:vAlign w:val="center"/>
          </w:tcPr>
          <w:p>
            <w:r>
              <w:rPr>
                <w:b/>
                <w:color w:val="FFFFFF"/>
                <w:sz w:val="14"/>
              </w:rPr>
              <w:t>Status</w:t>
            </w:r>
          </w:p>
        </w:tc>
      </w:tr>
      <w:tr>
        <w:trPr>
          <w:cantSplit/>
        </w:trPr>
        <w:tc>
          <w:tcPr>
            <w:tcW w:type="dxa" w:w="936"/>
            <w:tcMar>
              <w:top w:w="55" w:type="dxa"/>
              <w:start w:w="75" w:type="dxa"/>
              <w:bottom w:w="55" w:type="dxa"/>
              <w:end w:w="75" w:type="dxa"/>
            </w:tcMar>
            <w:vAlign w:val="top"/>
          </w:tcPr>
          <w:p>
            <w:r>
              <w:rPr>
                <w:sz w:val="14"/>
              </w:rPr>
              <w:t>15A</w:t>
            </w:r>
          </w:p>
        </w:tc>
        <w:tc>
          <w:tcPr>
            <w:tcW w:type="dxa" w:w="7200"/>
            <w:tcMar>
              <w:top w:w="55" w:type="dxa"/>
              <w:start w:w="75" w:type="dxa"/>
              <w:bottom w:w="55" w:type="dxa"/>
              <w:end w:w="75" w:type="dxa"/>
            </w:tcMar>
            <w:vAlign w:val="top"/>
          </w:tcPr>
          <w:p>
            <w:r>
              <w:rPr>
                <w:sz w:val="14"/>
              </w:rPr>
              <w:t>DevOps leadership, strategy and operating models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15B</w:t>
            </w:r>
          </w:p>
        </w:tc>
        <w:tc>
          <w:tcPr>
            <w:tcW w:type="dxa" w:w="7200"/>
            <w:tcMar>
              <w:top w:w="55" w:type="dxa"/>
              <w:start w:w="75" w:type="dxa"/>
              <w:bottom w:w="55" w:type="dxa"/>
              <w:end w:w="75" w:type="dxa"/>
            </w:tcMar>
            <w:vAlign w:val="top"/>
          </w:tcPr>
          <w:p>
            <w:r>
              <w:rPr>
                <w:sz w:val="14"/>
              </w:rPr>
              <w:t>Enterprise transformation and organizational change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15C</w:t>
            </w:r>
          </w:p>
        </w:tc>
        <w:tc>
          <w:tcPr>
            <w:tcW w:type="dxa" w:w="7200"/>
            <w:tcMar>
              <w:top w:w="55" w:type="dxa"/>
              <w:start w:w="75" w:type="dxa"/>
              <w:bottom w:w="55" w:type="dxa"/>
              <w:end w:w="75" w:type="dxa"/>
            </w:tcMar>
            <w:vAlign w:val="top"/>
          </w:tcPr>
          <w:p>
            <w:r>
              <w:rPr>
                <w:sz w:val="14"/>
              </w:rPr>
              <w:t>Metrics, economics, governance and executive scorecards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15D</w:t>
            </w:r>
          </w:p>
        </w:tc>
        <w:tc>
          <w:tcPr>
            <w:tcW w:type="dxa" w:w="7200"/>
            <w:tcMar>
              <w:top w:w="55" w:type="dxa"/>
              <w:start w:w="75" w:type="dxa"/>
              <w:bottom w:w="55" w:type="dxa"/>
              <w:end w:w="75" w:type="dxa"/>
            </w:tcMar>
            <w:vAlign w:val="top"/>
          </w:tcPr>
          <w:p>
            <w:r>
              <w:rPr>
                <w:sz w:val="14"/>
              </w:rPr>
              <w:t>People, talent, partners and global engineering</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15E</w:t>
            </w:r>
          </w:p>
        </w:tc>
        <w:tc>
          <w:tcPr>
            <w:tcW w:type="dxa" w:w="7200"/>
            <w:tcMar>
              <w:top w:w="55" w:type="dxa"/>
              <w:start w:w="75" w:type="dxa"/>
              <w:bottom w:w="55" w:type="dxa"/>
              <w:end w:w="75" w:type="dxa"/>
            </w:tcMar>
            <w:vAlign w:val="top"/>
          </w:tcPr>
          <w:p>
            <w:r>
              <w:rPr>
                <w:sz w:val="14"/>
              </w:rPr>
              <w:t>Enterprise execution, resilience and executive operations</w:t>
            </w:r>
          </w:p>
        </w:tc>
        <w:tc>
          <w:tcPr>
            <w:tcW w:type="dxa" w:w="1800"/>
            <w:tcMar>
              <w:top w:w="55" w:type="dxa"/>
              <w:start w:w="75" w:type="dxa"/>
              <w:bottom w:w="55" w:type="dxa"/>
              <w:end w:w="75" w:type="dxa"/>
            </w:tcMar>
            <w:vAlign w:val="top"/>
          </w:tcPr>
          <w:p>
            <w:r>
              <w:rPr>
                <w:sz w:val="14"/>
              </w:rPr>
              <w:t>Current part</w:t>
            </w:r>
          </w:p>
        </w:tc>
      </w:tr>
      <w:tr>
        <w:trPr>
          <w:cantSplit/>
        </w:trPr>
        <w:tc>
          <w:tcPr>
            <w:tcW w:type="dxa" w:w="936"/>
            <w:tcMar>
              <w:top w:w="55" w:type="dxa"/>
              <w:start w:w="75" w:type="dxa"/>
              <w:bottom w:w="55" w:type="dxa"/>
              <w:end w:w="75" w:type="dxa"/>
            </w:tcMar>
            <w:vAlign w:val="top"/>
          </w:tcPr>
          <w:p>
            <w:r>
              <w:rPr>
                <w:sz w:val="14"/>
              </w:rPr>
              <w:t>15F</w:t>
            </w:r>
          </w:p>
        </w:tc>
        <w:tc>
          <w:tcPr>
            <w:tcW w:type="dxa" w:w="7200"/>
            <w:tcMar>
              <w:top w:w="55" w:type="dxa"/>
              <w:start w:w="75" w:type="dxa"/>
              <w:bottom w:w="55" w:type="dxa"/>
              <w:end w:w="75" w:type="dxa"/>
            </w:tcMar>
            <w:vAlign w:val="top"/>
          </w:tcPr>
          <w:p>
            <w:r>
              <w:rPr>
                <w:sz w:val="14"/>
              </w:rPr>
              <w:t>Final mastery portfolio, simulations and graduation capstone</w:t>
            </w:r>
          </w:p>
        </w:tc>
        <w:tc>
          <w:tcPr>
            <w:tcW w:type="dxa" w:w="1800"/>
            <w:tcMar>
              <w:top w:w="55" w:type="dxa"/>
              <w:start w:w="75" w:type="dxa"/>
              <w:bottom w:w="55" w:type="dxa"/>
              <w:end w:w="75" w:type="dxa"/>
            </w:tcMar>
            <w:vAlign w:val="top"/>
          </w:tcPr>
          <w:p>
            <w:r>
              <w:rPr>
                <w:sz w:val="14"/>
              </w:rPr>
              <w:t>Course sequence</w:t>
            </w:r>
          </w:p>
        </w:tc>
      </w:tr>
    </w:tbl>
    <w:p>
      <w:pPr>
        <w:pStyle w:val="Heading2"/>
        <w:keepNext w:val="0"/>
      </w:pPr>
      <w:r>
        <w:t>Scope, Safety and Professional Practice</w:t>
      </w:r>
    </w:p>
    <w:p>
      <w:pPr>
        <w:pStyle w:val="ListBullet"/>
      </w:pPr>
      <w:r>
        <w:t>Use disposable sandboxes, local simulations or approved training subscriptions. Configure budgets, quotas and expiry before creating resources.</w:t>
      </w:r>
    </w:p>
    <w:p>
      <w:pPr>
        <w:pStyle w:val="ListBullet"/>
      </w:pPr>
      <w:r>
        <w:t>Never use production identities, customer data, employer account structures, internal addresses or confidential contracts in course artifacts.</w:t>
      </w:r>
    </w:p>
    <w:p>
      <w:pPr>
        <w:pStyle w:val="ListBullet"/>
      </w:pPr>
      <w:r>
        <w:t>Open-source projects, cloud services, AI models, pricing, limits and certification objectives change. Verify official documentation before production use or exam registration.</w:t>
      </w:r>
    </w:p>
    <w:p>
      <w:pPr>
        <w:pStyle w:val="ListBullet"/>
      </w:pPr>
      <w:r>
        <w:t>Run failure, security, red-team and recovery tests only in approved nonproduction environments with explicit stop conditions.</w:t>
      </w:r>
    </w:p>
    <w:p>
      <w:pPr>
        <w:pStyle w:val="ListBullet"/>
      </w:pPr>
      <w:r>
        <w:t>Destroy resources, revoke credentials, remove local state and sanitize every portfolio artifact.</w:t>
      </w:r>
    </w:p>
    <w:p>
      <w:pPr>
        <w:pStyle w:val="Heading2"/>
        <w:keepNext w:val="0"/>
      </w:pPr>
      <w:r>
        <w:t>Learning Outcomes</w:t>
      </w:r>
    </w:p>
    <w:p>
      <w:pPr>
        <w:pStyle w:val="ListBullet"/>
      </w:pPr>
      <w:r>
        <w:t>Explain and design the capabilities covered by Enterprise Execution, Resilience and Executive Operations.</w:t>
      </w:r>
    </w:p>
    <w:p>
      <w:pPr>
        <w:pStyle w:val="ListBullet"/>
      </w:pPr>
      <w:r>
        <w:t>Implement or simulate production workflows through version-controlled automation.</w:t>
      </w:r>
    </w:p>
    <w:p>
      <w:pPr>
        <w:pStyle w:val="ListBullet"/>
      </w:pPr>
      <w:r>
        <w:t>Test identity, policy, security, reliability, cost and lifecycle behavior.</w:t>
      </w:r>
    </w:p>
    <w:p>
      <w:pPr>
        <w:pStyle w:val="ListBullet"/>
      </w:pPr>
      <w:r>
        <w:t>Troubleshoot complex failures using a structured evidence-first method.</w:t>
      </w:r>
    </w:p>
    <w:p>
      <w:pPr>
        <w:pStyle w:val="ListBullet"/>
      </w:pPr>
      <w:r>
        <w:t>Produce sanitized architecture, laboratory, runbook and interview portfolio artifacts.</w:t>
      </w:r>
    </w:p>
    <w:p>
      <w:r>
        <w:br w:type="page"/>
      </w:r>
    </w:p>
    <w:p>
      <w:pPr>
        <w:pStyle w:val="Heading1"/>
        <w:keepNext w:val="0"/>
      </w:pPr>
      <w:r>
        <w:t>Table of Contents</w:t>
      </w:r>
    </w:p>
    <w:p>
      <w:pPr>
        <w:keepNext w:val="0"/>
      </w:pPr>
      <w:r>
        <w:t>Chapter 41  Transformation Program Governance</w:t>
      </w:r>
    </w:p>
    <w:p>
      <w:pPr>
        <w:keepNext w:val="0"/>
      </w:pPr>
      <w:r>
        <w:t>Chapter 42  Enterprise Architecture Governance</w:t>
      </w:r>
    </w:p>
    <w:p>
      <w:pPr>
        <w:keepNext w:val="0"/>
      </w:pPr>
      <w:r>
        <w:t>Chapter 43  Policy as Code and Automated Governance</w:t>
      </w:r>
    </w:p>
    <w:p>
      <w:pPr>
        <w:keepNext w:val="0"/>
      </w:pPr>
      <w:r>
        <w:t>Chapter 44  Platform and Shared-Service Portfolio Management</w:t>
      </w:r>
    </w:p>
    <w:p>
      <w:pPr>
        <w:keepNext w:val="0"/>
      </w:pPr>
      <w:r>
        <w:t>Chapter 45  Major Incident Leadership</w:t>
      </w:r>
    </w:p>
    <w:p>
      <w:pPr>
        <w:keepNext w:val="0"/>
      </w:pPr>
      <w:r>
        <w:t>Chapter 46  Crisis Communication and Stakeholder Trust</w:t>
      </w:r>
    </w:p>
    <w:p>
      <w:pPr>
        <w:keepNext w:val="0"/>
      </w:pPr>
      <w:r>
        <w:t>Chapter 47  Enterprise Resilience and Game Days</w:t>
      </w:r>
    </w:p>
    <w:p>
      <w:pPr>
        <w:keepNext w:val="0"/>
      </w:pPr>
      <w:r>
        <w:t>Chapter 48  Mergers, Acquisitions and Technology Integration</w:t>
      </w:r>
    </w:p>
    <w:p>
      <w:pPr>
        <w:keepNext w:val="0"/>
      </w:pPr>
      <w:r>
        <w:t>Chapter 49  DevOps in Regulated Environments</w:t>
      </w:r>
    </w:p>
    <w:p>
      <w:pPr>
        <w:keepNext w:val="0"/>
      </w:pPr>
      <w:r>
        <w:t>Chapter 50  Technology Debt and Modernization Governance</w:t>
      </w:r>
    </w:p>
    <w:p>
      <w:pPr>
        <w:keepNext w:val="0"/>
      </w:pPr>
      <w:r>
        <w:t>Chapter 51  AI-Assisted Software Delivery Governance</w:t>
      </w:r>
    </w:p>
    <w:p>
      <w:pPr>
        <w:keepNext w:val="0"/>
      </w:pPr>
      <w:r>
        <w:t>Chapter 52  Sustainability and Resource Efficiency</w:t>
      </w:r>
    </w:p>
    <w:p>
      <w:pPr>
        <w:keepNext w:val="0"/>
      </w:pPr>
      <w:r>
        <w:t>Chapter 53  Business Continuity and Supplier Resilience</w:t>
      </w:r>
    </w:p>
    <w:p>
      <w:pPr>
        <w:keepNext w:val="0"/>
      </w:pPr>
      <w:r>
        <w:t>Chapter 54  Executive Operating Reviews</w:t>
      </w:r>
    </w:p>
    <w:p>
      <w:pPr>
        <w:keepNext w:val="0"/>
      </w:pPr>
      <w:r>
        <w:t>Chapter 55  Enterprise Transformation Simulation Capstone</w:t>
      </w:r>
    </w:p>
    <w:p>
      <w:pPr>
        <w:keepNext w:val="0"/>
      </w:pPr>
      <w:r>
        <w:t>Enterprise Execution and Resilience Reference</w:t>
      </w:r>
    </w:p>
    <w:p>
      <w:pPr>
        <w:keepNext w:val="0"/>
      </w:pPr>
      <w:r>
        <w:t>Completion Checklist</w:t>
      </w:r>
    </w:p>
    <w:p>
      <w:pPr>
        <w:keepNext w:val="0"/>
      </w:pPr>
      <w:r>
        <w:t>Additional Portfolio Projects</w:t>
      </w:r>
    </w:p>
    <w:p>
      <w:pPr>
        <w:keepNext w:val="0"/>
      </w:pPr>
      <w:r>
        <w:t>Practice Plan</w:t>
      </w:r>
    </w:p>
    <w:p>
      <w:pPr>
        <w:keepNext w:val="0"/>
      </w:pPr>
      <w:r>
        <w:t>Glossary</w:t>
      </w:r>
    </w:p>
    <w:p>
      <w:pPr>
        <w:keepNext w:val="0"/>
      </w:pPr>
      <w:r>
        <w:t>Official Documentation Index</w:t>
      </w:r>
    </w:p>
    <w:p>
      <w:r>
        <w:br w:type="page"/>
      </w:r>
    </w:p>
    <w:p>
      <w:pPr>
        <w:jc w:val="center"/>
      </w:pPr>
      <w:r>
        <w:rPr>
          <w:b/>
          <w:color w:val="14919B"/>
          <w:sz w:val="17"/>
        </w:rPr>
        <w:t>VOLUME 15E | CHAPTER 41</w:t>
      </w:r>
    </w:p>
    <w:p>
      <w:pPr>
        <w:pStyle w:val="Heading1"/>
        <w:jc w:val="center"/>
      </w:pPr>
      <w:r>
        <w:t>Chapter 41: Transformation Program Governance</w:t>
      </w:r>
    </w:p>
    <w:p>
      <w:pPr>
        <w:jc w:val="center"/>
      </w:pPr>
      <w:r>
        <w:rPr>
          <w:i/>
          <w:color w:val="4B5563"/>
          <w:sz w:val="19"/>
        </w:rPr>
        <w:t>Coordinate outcomes, dependencies, risks, decisions and benefits without creating bureaucracy.</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Transformation Program Governance matters because enterprise outcomes depend on more than a successful tool installation. The team must make coordinate outcomes, dependencies, risks, decisions and benefits without creating bureaucracy.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transformation program governance.</w:t>
      </w:r>
    </w:p>
    <w:p>
      <w:pPr>
        <w:pStyle w:val="ListBullet"/>
      </w:pPr>
      <w:r>
        <w:t>Design the capability using Program boards, RAID, benefits tracking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 transformation governance cadence.</w:t>
      </w:r>
    </w:p>
    <w:p>
      <w:pPr>
        <w:pStyle w:val="Heading2"/>
        <w:keepNext/>
      </w:pPr>
      <w:r>
        <w:t>Core Concepts</w:t>
      </w:r>
    </w:p>
    <w:p>
      <w:pPr>
        <w:pStyle w:val="Heading3"/>
        <w:keepNext/>
      </w:pPr>
      <w:r>
        <w:t>Coordinate outcomes and problem framing</w:t>
      </w:r>
    </w:p>
    <w:p>
      <w:pPr>
        <w:keepNext w:val="0"/>
      </w:pPr>
      <w:r>
        <w:t>Coordinate outcomes and problem framing starts with a clear user or business problem. Define the desired outcome, the actors, the service boundary and the constraints before selecting implementation technology. For transformation program governance, record assumptions and the evidence that would disprove them.</w:t>
      </w:r>
    </w:p>
    <w:p>
      <w:pPr>
        <w:pStyle w:val="Heading3"/>
        <w:keepNext/>
      </w:pPr>
      <w:r>
        <w:t>dependencies architecture and operating boundaries</w:t>
      </w:r>
    </w:p>
    <w:p>
      <w:pPr>
        <w:keepNext w:val="0"/>
      </w:pPr>
      <w:r>
        <w:t>The architecture for dependencies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risks automation, policy and evidence</w:t>
      </w:r>
    </w:p>
    <w:p>
      <w:pPr>
        <w:keepNext w:val="0"/>
      </w:pPr>
      <w:r>
        <w:t>Automation for risks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decisions and benefits without creating bureaucracy. failure handling and continuous improvement</w:t>
      </w:r>
    </w:p>
    <w:p>
      <w:pPr>
        <w:keepNext w:val="0"/>
      </w:pPr>
      <w:r>
        <w:t>Continuous improvement for decisions and benefits without creating bureaucracy.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Program boards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RAID</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benefits tracking</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Program boards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RAID</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benefits tracking</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transformation_program_governanc</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15E</w:t>
              <w:br/>
              <w:t>chapter: 41</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41: Design a transformation governance cadence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transformation program governance.</w:t>
      </w:r>
    </w:p>
    <w:p>
      <w:pPr>
        <w:ind w:left="360" w:hanging="360"/>
      </w:pPr>
      <w:r>
        <w:rPr>
          <w:b/>
        </w:rPr>
        <w:t xml:space="preserve">2. </w:t>
      </w:r>
      <w:r>
        <w:t>Create the smallest safe implementation or detailed simulation using Program boards, RAID, benefits tracking.</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Transformation Program Governance?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Transformation Program Governance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15E | CHAPTER 42</w:t>
      </w:r>
    </w:p>
    <w:p>
      <w:pPr>
        <w:pStyle w:val="Heading1"/>
        <w:jc w:val="center"/>
      </w:pPr>
      <w:r>
        <w:t>Chapter 42: Enterprise Architecture Governance</w:t>
      </w:r>
    </w:p>
    <w:p>
      <w:pPr>
        <w:jc w:val="center"/>
      </w:pPr>
      <w:r>
        <w:rPr>
          <w:i/>
          <w:color w:val="4B5563"/>
          <w:sz w:val="19"/>
        </w:rPr>
        <w:t>Guide standards and exceptions through principles, reference architectures and evidence.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Enterprise Architecture Governance matters because enterprise outcomes depend on more than a successful tool installation. The team must make guide standards and exceptions through principles, reference architectures and evidence.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enterprise architecture governance.</w:t>
      </w:r>
    </w:p>
    <w:p>
      <w:pPr>
        <w:pStyle w:val="ListBullet"/>
      </w:pPr>
      <w:r>
        <w:t>Design the capability using Architecture reviews, ADRs, guardrails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an architecture decision simulation.</w:t>
      </w:r>
    </w:p>
    <w:p>
      <w:pPr>
        <w:pStyle w:val="Heading2"/>
        <w:keepNext/>
      </w:pPr>
      <w:r>
        <w:t>Core Concepts</w:t>
      </w:r>
    </w:p>
    <w:p>
      <w:pPr>
        <w:pStyle w:val="Heading3"/>
        <w:keepNext/>
      </w:pPr>
      <w:r>
        <w:t>Guide standards and exceptions through principles and problem framing</w:t>
      </w:r>
    </w:p>
    <w:p>
      <w:pPr>
        <w:keepNext w:val="0"/>
      </w:pPr>
      <w:r>
        <w:t>Guide standards and exceptions through principles and problem framing starts with a clear user or business problem. Define the desired outcome, the actors, the service boundary and the constraints before selecting implementation technology. For enterprise architecture governance, record assumptions and the evidence that would disprove them.</w:t>
      </w:r>
    </w:p>
    <w:p>
      <w:pPr>
        <w:pStyle w:val="Heading3"/>
        <w:keepNext/>
      </w:pPr>
      <w:r>
        <w:t>reference architectures and evidence. architecture and operating boundaries</w:t>
      </w:r>
    </w:p>
    <w:p>
      <w:pPr>
        <w:keepNext w:val="0"/>
      </w:pPr>
      <w:r>
        <w:t>The architecture for reference architectures and evidence.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Enterprise Architecture Governance automation, policy and evidence</w:t>
      </w:r>
    </w:p>
    <w:p>
      <w:pPr>
        <w:keepNext w:val="0"/>
      </w:pPr>
      <w:r>
        <w:t>Automation for enterprise architecture governance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Enterprise Architecture Governance failure handling and continuous improvement</w:t>
      </w:r>
    </w:p>
    <w:p>
      <w:pPr>
        <w:keepNext w:val="0"/>
      </w:pPr>
      <w:r>
        <w:t>Continuous improvement for enterprise architecture governance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Architecture reviews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ADRs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guardrails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Architecture reviews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ADRs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guardrails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enterprise_architecture_governan</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15E</w:t>
              <w:br/>
              <w:t>chapter: 42</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42: Run an architecture decision simulation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enterprise architecture governance.</w:t>
      </w:r>
    </w:p>
    <w:p>
      <w:pPr>
        <w:ind w:left="360" w:hanging="360"/>
      </w:pPr>
      <w:r>
        <w:rPr>
          <w:b/>
        </w:rPr>
        <w:t xml:space="preserve">2. </w:t>
      </w:r>
      <w:r>
        <w:t>Create the smallest safe implementation or detailed simulation using Architecture reviews, ADRs, guardrails.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Enterprise Architecture Governance?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Enterprise Architecture Governance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15E | CHAPTER 43</w:t>
      </w:r>
    </w:p>
    <w:p>
      <w:pPr>
        <w:pStyle w:val="Heading1"/>
        <w:jc w:val="center"/>
      </w:pPr>
      <w:r>
        <w:t>Chapter 43: Policy as Code and Automated Governance</w:t>
      </w:r>
    </w:p>
    <w:p>
      <w:pPr>
        <w:jc w:val="center"/>
      </w:pPr>
      <w:r>
        <w:rPr>
          <w:i/>
          <w:color w:val="4B5563"/>
          <w:sz w:val="19"/>
        </w:rPr>
        <w:t>Translate selected controls into testable delivery and runtime policies with exception lifecycle.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Policy as Code and Automated Governance matters because enterprise outcomes depend on more than a successful tool installation. The team must make translate selected controls into testable delivery and runtime policies with exception lifecycle.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policy as code and automated governance.</w:t>
      </w:r>
    </w:p>
    <w:p>
      <w:pPr>
        <w:pStyle w:val="ListBullet"/>
      </w:pPr>
      <w:r>
        <w:t>Design the capability using OPA, CI policy, cloud policy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 continuous-governance pipeline.</w:t>
      </w:r>
    </w:p>
    <w:p>
      <w:pPr>
        <w:pStyle w:val="Heading2"/>
        <w:keepNext/>
      </w:pPr>
      <w:r>
        <w:t>Core Concepts</w:t>
      </w:r>
    </w:p>
    <w:p>
      <w:pPr>
        <w:pStyle w:val="Heading3"/>
        <w:keepNext/>
      </w:pPr>
      <w:r>
        <w:t>Translate selected controls into testable delivery and runtime policies with exception lifecycle. and problem framing</w:t>
      </w:r>
    </w:p>
    <w:p>
      <w:pPr>
        <w:keepNext w:val="0"/>
      </w:pPr>
      <w:r>
        <w:t>Translate selected controls into testable delivery and runtime policies with exception lifecycle. and problem framing starts with a clear user or business problem. Define the desired outcome, the actors, the service boundary and the constraints before selecting implementation technology. For policy as code and automated governance, record assumptions and the evidence that would disprove them.</w:t>
      </w:r>
    </w:p>
    <w:p>
      <w:pPr>
        <w:pStyle w:val="Heading3"/>
        <w:keepNext/>
      </w:pPr>
      <w:r>
        <w:t>Policy as Code and Automated Governance architecture and operating boundaries</w:t>
      </w:r>
    </w:p>
    <w:p>
      <w:pPr>
        <w:keepNext w:val="0"/>
      </w:pPr>
      <w:r>
        <w:t>The architecture for policy as code and automated governance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Policy as Code and Automated Governance automation, policy and evidence</w:t>
      </w:r>
    </w:p>
    <w:p>
      <w:pPr>
        <w:keepNext w:val="0"/>
      </w:pPr>
      <w:r>
        <w:t>Automation for policy as code and automated governance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Policy as Code and Automated Governance failure handling and continuous improvement</w:t>
      </w:r>
    </w:p>
    <w:p>
      <w:pPr>
        <w:keepNext w:val="0"/>
      </w:pPr>
      <w:r>
        <w:t>Continuous improvement for policy as code and automated governance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OPA</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CI policy</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cloud policy</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OPA</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CI policy</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cloud policy</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policy_as_code_and_automated_gov</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15E</w:t>
              <w:br/>
              <w:t>chapter: 43</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43: Design a continuous-governance pipeline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policy as code and automated governance.</w:t>
      </w:r>
    </w:p>
    <w:p>
      <w:pPr>
        <w:ind w:left="360" w:hanging="360"/>
      </w:pPr>
      <w:r>
        <w:rPr>
          <w:b/>
        </w:rPr>
        <w:t xml:space="preserve">2. </w:t>
      </w:r>
      <w:r>
        <w:t>Create the smallest safe implementation or detailed simulation using OPA, CI policy, cloud policy.</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Policy as Code and Automated Governance?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Policy as Code and Automated Governance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15E | CHAPTER 44</w:t>
      </w:r>
    </w:p>
    <w:p>
      <w:pPr>
        <w:pStyle w:val="Heading1"/>
        <w:jc w:val="center"/>
      </w:pPr>
      <w:r>
        <w:t>Chapter 44: Platform and Shared-Service Portfolio Management</w:t>
      </w:r>
    </w:p>
    <w:p>
      <w:pPr>
        <w:jc w:val="center"/>
      </w:pPr>
      <w:r>
        <w:rPr>
          <w:i/>
          <w:color w:val="4B5563"/>
          <w:sz w:val="19"/>
        </w:rPr>
        <w:t>Prioritize platform capabilities, reliability, deprecation and adoption across business units.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Platform and Shared-Service Portfolio Management matters because enterprise outcomes depend on more than a successful tool installation. The team must make prioritize platform capabilities, reliability, deprecation and adoption across business units.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platform and shared-service portfolio management.</w:t>
      </w:r>
    </w:p>
    <w:p>
      <w:pPr>
        <w:pStyle w:val="ListBullet"/>
      </w:pPr>
      <w:r>
        <w:t>Design the capability using Product portfolios, service catalogs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 platform portfolio review.</w:t>
      </w:r>
    </w:p>
    <w:p>
      <w:pPr>
        <w:pStyle w:val="Heading2"/>
        <w:keepNext/>
      </w:pPr>
      <w:r>
        <w:t>Core Concepts</w:t>
      </w:r>
    </w:p>
    <w:p>
      <w:pPr>
        <w:pStyle w:val="Heading3"/>
        <w:keepNext/>
      </w:pPr>
      <w:r>
        <w:t>Prioritize platform capabilities and problem framing</w:t>
      </w:r>
    </w:p>
    <w:p>
      <w:pPr>
        <w:keepNext w:val="0"/>
      </w:pPr>
      <w:r>
        <w:t>Prioritize platform capabilities and problem framing starts with a clear user or business problem. Define the desired outcome, the actors, the service boundary and the constraints before selecting implementation technology. For platform and shared-service portfolio management, record assumptions and the evidence that would disprove them.</w:t>
      </w:r>
    </w:p>
    <w:p>
      <w:pPr>
        <w:pStyle w:val="Heading3"/>
        <w:keepNext/>
      </w:pPr>
      <w:r>
        <w:t>reliability architecture and operating boundaries</w:t>
      </w:r>
    </w:p>
    <w:p>
      <w:pPr>
        <w:keepNext w:val="0"/>
      </w:pPr>
      <w:r>
        <w:t>The architecture for reliability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deprecation and adoption across business units. automation, policy and evidence</w:t>
      </w:r>
    </w:p>
    <w:p>
      <w:pPr>
        <w:keepNext w:val="0"/>
      </w:pPr>
      <w:r>
        <w:t>Automation for deprecation and adoption across business units.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Platform and Shared-Service Portfolio Management failure handling and continuous improvement</w:t>
      </w:r>
    </w:p>
    <w:p>
      <w:pPr>
        <w:keepNext w:val="0"/>
      </w:pPr>
      <w:r>
        <w:t>Continuous improvement for platform and shared-service portfolio management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Product portfolios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service catalogs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Product portfolios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service catalogs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Product portfolios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service catalogs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platform_and_shared_service_port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15E</w:t>
              <w:br/>
              <w:t>chapter: 44</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44: Run a platform portfolio review</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platform and shared-service portfolio management.</w:t>
      </w:r>
    </w:p>
    <w:p>
      <w:pPr>
        <w:ind w:left="360" w:hanging="360"/>
      </w:pPr>
      <w:r>
        <w:rPr>
          <w:b/>
        </w:rPr>
        <w:t xml:space="preserve">2. </w:t>
      </w:r>
      <w:r>
        <w:t>Create the smallest safe implementation or detailed simulation using Product portfolios, service catalogs.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Platform and Shared-Service Portfolio Management?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Platform and Shared-Service Portfolio Management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15E | CHAPTER 45</w:t>
      </w:r>
    </w:p>
    <w:p>
      <w:pPr>
        <w:pStyle w:val="Heading1"/>
        <w:jc w:val="center"/>
      </w:pPr>
      <w:r>
        <w:t>Chapter 45: Major Incident Leadership</w:t>
      </w:r>
    </w:p>
    <w:p>
      <w:pPr>
        <w:jc w:val="center"/>
      </w:pPr>
      <w:r>
        <w:rPr>
          <w:i/>
          <w:color w:val="4B5563"/>
          <w:sz w:val="19"/>
        </w:rPr>
        <w:t>Lead stabilization, decisions, communications and learning during high-impact outages.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Major Incident Leadership matters because enterprise outcomes depend on more than a successful tool installation. The team must make lead stabilization, decisions, communications and learning during high-impact outages.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major incident leadership.</w:t>
      </w:r>
    </w:p>
    <w:p>
      <w:pPr>
        <w:pStyle w:val="ListBullet"/>
      </w:pPr>
      <w:r>
        <w:t>Design the capability using Incident command, SRE runbooks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an executive incident simulation.</w:t>
      </w:r>
    </w:p>
    <w:p>
      <w:pPr>
        <w:pStyle w:val="Heading2"/>
        <w:keepNext/>
      </w:pPr>
      <w:r>
        <w:t>Core Concepts</w:t>
      </w:r>
    </w:p>
    <w:p>
      <w:pPr>
        <w:pStyle w:val="Heading3"/>
        <w:keepNext/>
      </w:pPr>
      <w:r>
        <w:t>Lead stabilization and problem framing</w:t>
      </w:r>
    </w:p>
    <w:p>
      <w:pPr>
        <w:keepNext w:val="0"/>
      </w:pPr>
      <w:r>
        <w:t>Lead stabilization and problem framing starts with a clear user or business problem. Define the desired outcome, the actors, the service boundary and the constraints before selecting implementation technology. For major incident leadership, record assumptions and the evidence that would disprove them.</w:t>
      </w:r>
    </w:p>
    <w:p>
      <w:pPr>
        <w:pStyle w:val="Heading3"/>
        <w:keepNext/>
      </w:pPr>
      <w:r>
        <w:t>decisions architecture and operating boundaries</w:t>
      </w:r>
    </w:p>
    <w:p>
      <w:pPr>
        <w:keepNext w:val="0"/>
      </w:pPr>
      <w:r>
        <w:t>The architecture for decisions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communications and learning during high-impact outages. automation, policy and evidence</w:t>
      </w:r>
    </w:p>
    <w:p>
      <w:pPr>
        <w:keepNext w:val="0"/>
      </w:pPr>
      <w:r>
        <w:t>Automation for communications and learning during high-impact outages.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Major Incident Leadership failure handling and continuous improvement</w:t>
      </w:r>
    </w:p>
    <w:p>
      <w:pPr>
        <w:keepNext w:val="0"/>
      </w:pPr>
      <w:r>
        <w:t>Continuous improvement for major incident leadership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Incident command</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SRE runbooks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Incident command</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SRE runbooks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Incident command</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SRE runbooks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major_incident_leadership</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15E</w:t>
              <w:br/>
              <w:t>chapter: 45</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45: Run an executive incident simulation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major incident leadership.</w:t>
      </w:r>
    </w:p>
    <w:p>
      <w:pPr>
        <w:ind w:left="360" w:hanging="360"/>
      </w:pPr>
      <w:r>
        <w:rPr>
          <w:b/>
        </w:rPr>
        <w:t xml:space="preserve">2. </w:t>
      </w:r>
      <w:r>
        <w:t>Create the smallest safe implementation or detailed simulation using Incident command, SRE runbooks.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Major Incident Leadership?</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Major Incident Leadership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15E | CHAPTER 46</w:t>
      </w:r>
    </w:p>
    <w:p>
      <w:pPr>
        <w:pStyle w:val="Heading1"/>
        <w:jc w:val="center"/>
      </w:pPr>
      <w:r>
        <w:t>Chapter 46: Crisis Communication and Stakeholder Trust</w:t>
      </w:r>
    </w:p>
    <w:p>
      <w:pPr>
        <w:jc w:val="center"/>
      </w:pPr>
      <w:r>
        <w:rPr>
          <w:i/>
          <w:color w:val="4B5563"/>
          <w:sz w:val="19"/>
        </w:rPr>
        <w:t>Communicate facts, uncertainty, impact and next actions without speculation or blame.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Crisis Communication and Stakeholder Trust matters because enterprise outcomes depend on more than a successful tool installation. The team must make communicate facts, uncertainty, impact and next actions without speculation or blame.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crisis communication and stakeholder trust.</w:t>
      </w:r>
    </w:p>
    <w:p>
      <w:pPr>
        <w:pStyle w:val="ListBullet"/>
      </w:pPr>
      <w:r>
        <w:t>Design the capability using Status updates, regulatory notices, briefings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crisis communication pack.</w:t>
      </w:r>
    </w:p>
    <w:p>
      <w:pPr>
        <w:pStyle w:val="Heading2"/>
        <w:keepNext/>
      </w:pPr>
      <w:r>
        <w:t>Core Concepts</w:t>
      </w:r>
    </w:p>
    <w:p>
      <w:pPr>
        <w:pStyle w:val="Heading3"/>
        <w:keepNext/>
      </w:pPr>
      <w:r>
        <w:t>Communicate facts and problem framing</w:t>
      </w:r>
    </w:p>
    <w:p>
      <w:pPr>
        <w:keepNext w:val="0"/>
      </w:pPr>
      <w:r>
        <w:t>Communicate facts and problem framing starts with a clear user or business problem. Define the desired outcome, the actors, the service boundary and the constraints before selecting implementation technology. For crisis communication and stakeholder trust, record assumptions and the evidence that would disprove them.</w:t>
      </w:r>
    </w:p>
    <w:p>
      <w:pPr>
        <w:pStyle w:val="Heading3"/>
        <w:keepNext/>
      </w:pPr>
      <w:r>
        <w:t>uncertainty architecture and operating boundaries</w:t>
      </w:r>
    </w:p>
    <w:p>
      <w:pPr>
        <w:keepNext w:val="0"/>
      </w:pPr>
      <w:r>
        <w:t>The architecture for uncertainty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impact and next actions without speculation or blame. automation, policy and evidence</w:t>
      </w:r>
    </w:p>
    <w:p>
      <w:pPr>
        <w:keepNext w:val="0"/>
      </w:pPr>
      <w:r>
        <w:t>Automation for impact and next actions without speculation or blame.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Crisis Communication and Stakeholder Trust failure handling and continuous improvement</w:t>
      </w:r>
    </w:p>
    <w:p>
      <w:pPr>
        <w:keepNext w:val="0"/>
      </w:pPr>
      <w:r>
        <w:t>Continuous improvement for crisis communication and stakeholder trust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Status updates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regulatory notices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briefings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Status updates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regulatory notices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briefings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crisis_communication_and_stakeho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15E</w:t>
              <w:br/>
              <w:t>chapter: 46</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46: Create a crisis communication pack</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crisis communication and stakeholder trust.</w:t>
      </w:r>
    </w:p>
    <w:p>
      <w:pPr>
        <w:ind w:left="360" w:hanging="360"/>
      </w:pPr>
      <w:r>
        <w:rPr>
          <w:b/>
        </w:rPr>
        <w:t xml:space="preserve">2. </w:t>
      </w:r>
      <w:r>
        <w:t>Create the smallest safe implementation or detailed simulation using Status updates, regulatory notices, briefings.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Crisis Communication and Stakeholder Trust?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Crisis Communication and Stakeholder Trust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15E | CHAPTER 47</w:t>
      </w:r>
    </w:p>
    <w:p>
      <w:pPr>
        <w:pStyle w:val="Heading1"/>
        <w:jc w:val="center"/>
      </w:pPr>
      <w:r>
        <w:t>Chapter 47: Enterprise Resilience and Game Days</w:t>
      </w:r>
    </w:p>
    <w:p>
      <w:pPr>
        <w:jc w:val="center"/>
      </w:pPr>
      <w:r>
        <w:rPr>
          <w:i/>
          <w:color w:val="4B5563"/>
          <w:sz w:val="19"/>
        </w:rPr>
        <w:t>Validate business services, suppliers, people and technology against plausible disruption.</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Enterprise Resilience and Game Days matters because enterprise outcomes depend on more than a successful tool installation. The team must make validate business services, suppliers, people and technology against plausible disruption.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enterprise resilience and game days.</w:t>
      </w:r>
    </w:p>
    <w:p>
      <w:pPr>
        <w:pStyle w:val="ListBullet"/>
      </w:pPr>
      <w:r>
        <w:t>Design the capability using Resilience engineering, chaos, BCP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plan a multi-system resilience exercise.</w:t>
      </w:r>
    </w:p>
    <w:p>
      <w:pPr>
        <w:pStyle w:val="Heading2"/>
        <w:keepNext/>
      </w:pPr>
      <w:r>
        <w:t>Core Concepts</w:t>
      </w:r>
    </w:p>
    <w:p>
      <w:pPr>
        <w:pStyle w:val="Heading3"/>
        <w:keepNext/>
      </w:pPr>
      <w:r>
        <w:t>Validate business services and problem framing</w:t>
      </w:r>
    </w:p>
    <w:p>
      <w:pPr>
        <w:keepNext w:val="0"/>
      </w:pPr>
      <w:r>
        <w:t>Validate business services and problem framing starts with a clear user or business problem. Define the desired outcome, the actors, the service boundary and the constraints before selecting implementation technology. For enterprise resilience and game days, record assumptions and the evidence that would disprove them.</w:t>
      </w:r>
    </w:p>
    <w:p>
      <w:pPr>
        <w:pStyle w:val="Heading3"/>
        <w:keepNext/>
      </w:pPr>
      <w:r>
        <w:t>suppliers architecture and operating boundaries</w:t>
      </w:r>
    </w:p>
    <w:p>
      <w:pPr>
        <w:keepNext w:val="0"/>
      </w:pPr>
      <w:r>
        <w:t>The architecture for suppliers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people and technology against plausible disruption. automation, policy and evidence</w:t>
      </w:r>
    </w:p>
    <w:p>
      <w:pPr>
        <w:keepNext w:val="0"/>
      </w:pPr>
      <w:r>
        <w:t>Automation for people and technology against plausible disruption.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Enterprise Resilience and Game Days failure handling and continuous improvement</w:t>
      </w:r>
    </w:p>
    <w:p>
      <w:pPr>
        <w:keepNext w:val="0"/>
      </w:pPr>
      <w:r>
        <w:t>Continuous improvement for enterprise resilience and game days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Resilience engineering</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chaos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BCP</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Resilience engineering</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chaos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BCP</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enterprise_resilience_and_game_d</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15E</w:t>
              <w:br/>
              <w:t>chapter: 47</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47: Plan a multi-system resilience exercise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enterprise resilience and game days.</w:t>
      </w:r>
    </w:p>
    <w:p>
      <w:pPr>
        <w:ind w:left="360" w:hanging="360"/>
      </w:pPr>
      <w:r>
        <w:rPr>
          <w:b/>
        </w:rPr>
        <w:t xml:space="preserve">2. </w:t>
      </w:r>
      <w:r>
        <w:t>Create the smallest safe implementation or detailed simulation using Resilience engineering, chaos, BCP.</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Enterprise Resilience and Game Days?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Enterprise Resilience and Game Days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15E | CHAPTER 48</w:t>
      </w:r>
    </w:p>
    <w:p>
      <w:pPr>
        <w:pStyle w:val="Heading1"/>
        <w:jc w:val="center"/>
      </w:pPr>
      <w:r>
        <w:t>Chapter 48: Mergers, Acquisitions and Technology Integration</w:t>
      </w:r>
    </w:p>
    <w:p>
      <w:pPr>
        <w:jc w:val="center"/>
      </w:pPr>
      <w:r>
        <w:rPr>
          <w:i/>
          <w:color w:val="4B5563"/>
          <w:sz w:val="19"/>
        </w:rPr>
        <w:t>Assess and integrate identity, networks, platforms, data, teams, contracts and risk.</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Mergers, Acquisitions and Technology Integration matters because enterprise outcomes depend on more than a successful tool installation. The team must make assess and integrate identity, networks, platforms, data, teams, contracts and risk.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mergers, acquisitions and technology integration.</w:t>
      </w:r>
    </w:p>
    <w:p>
      <w:pPr>
        <w:pStyle w:val="ListBullet"/>
      </w:pPr>
      <w:r>
        <w:t>Design the capability using Due diligence, integration roadmaps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an m&amp;a technology integration plan.</w:t>
      </w:r>
    </w:p>
    <w:p>
      <w:pPr>
        <w:pStyle w:val="Heading2"/>
        <w:keepNext/>
      </w:pPr>
      <w:r>
        <w:t>Core Concepts</w:t>
      </w:r>
    </w:p>
    <w:p>
      <w:pPr>
        <w:pStyle w:val="Heading3"/>
        <w:keepNext/>
      </w:pPr>
      <w:r>
        <w:t>Assess and integrate identity and problem framing</w:t>
      </w:r>
    </w:p>
    <w:p>
      <w:pPr>
        <w:keepNext w:val="0"/>
      </w:pPr>
      <w:r>
        <w:t>Assess and integrate identity and problem framing starts with a clear user or business problem. Define the desired outcome, the actors, the service boundary and the constraints before selecting implementation technology. For mergers, acquisitions and technology integration, record assumptions and the evidence that would disprove them.</w:t>
      </w:r>
    </w:p>
    <w:p>
      <w:pPr>
        <w:pStyle w:val="Heading3"/>
        <w:keepNext/>
      </w:pPr>
      <w:r>
        <w:t>networks architecture and operating boundaries</w:t>
      </w:r>
    </w:p>
    <w:p>
      <w:pPr>
        <w:keepNext w:val="0"/>
      </w:pPr>
      <w:r>
        <w:t>The architecture for networks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platforms automation, policy and evidence</w:t>
      </w:r>
    </w:p>
    <w:p>
      <w:pPr>
        <w:keepNext w:val="0"/>
      </w:pPr>
      <w:r>
        <w:t>Automation for platforms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data failure handling and continuous improvement</w:t>
      </w:r>
    </w:p>
    <w:p>
      <w:pPr>
        <w:keepNext w:val="0"/>
      </w:pPr>
      <w:r>
        <w:t>Continuous improvement for data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Due diligence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integration roadmaps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Due diligence</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integration roadmaps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Due diligence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integration roadmaps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mergers_acquisitions_and_technol</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15E</w:t>
              <w:br/>
              <w:t>chapter: 48</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48: Create an M&amp;A technology integration plan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mergers, acquisitions and technology integration.</w:t>
      </w:r>
    </w:p>
    <w:p>
      <w:pPr>
        <w:ind w:left="360" w:hanging="360"/>
      </w:pPr>
      <w:r>
        <w:rPr>
          <w:b/>
        </w:rPr>
        <w:t xml:space="preserve">2. </w:t>
      </w:r>
      <w:r>
        <w:t>Create the smallest safe implementation or detailed simulation using Due diligence, integration roadmaps.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Mergers, Acquisitions and Technology Integration?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Mergers, Acquisitions and Technology Integration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15E | CHAPTER 49</w:t>
      </w:r>
    </w:p>
    <w:p>
      <w:pPr>
        <w:pStyle w:val="Heading1"/>
        <w:jc w:val="center"/>
      </w:pPr>
      <w:r>
        <w:t>Chapter 49: DevOps in Regulated Environments</w:t>
      </w:r>
    </w:p>
    <w:p>
      <w:pPr>
        <w:jc w:val="center"/>
      </w:pPr>
      <w:r>
        <w:rPr>
          <w:i/>
          <w:color w:val="4B5563"/>
          <w:sz w:val="19"/>
        </w:rPr>
        <w:t>Enable speed with traceability, segregation, validated controls and risk-based evidence.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DevOps in Regulated Environments matters because enterprise outcomes depend on more than a successful tool installation. The team must make enable speed with traceability, segregation, validated controls and risk-based evidence.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devops in regulated environments.</w:t>
      </w:r>
    </w:p>
    <w:p>
      <w:pPr>
        <w:pStyle w:val="ListBullet"/>
      </w:pPr>
      <w:r>
        <w:t>Design the capability using Continuous compliance, GxP/SOX patterns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 regulated delivery control model.</w:t>
      </w:r>
    </w:p>
    <w:p>
      <w:pPr>
        <w:pStyle w:val="Heading2"/>
        <w:keepNext/>
      </w:pPr>
      <w:r>
        <w:t>Core Concepts</w:t>
      </w:r>
    </w:p>
    <w:p>
      <w:pPr>
        <w:pStyle w:val="Heading3"/>
        <w:keepNext/>
      </w:pPr>
      <w:r>
        <w:t>Enable speed with traceability and problem framing</w:t>
      </w:r>
    </w:p>
    <w:p>
      <w:pPr>
        <w:keepNext w:val="0"/>
      </w:pPr>
      <w:r>
        <w:t>Enable speed with traceability and problem framing starts with a clear user or business problem. Define the desired outcome, the actors, the service boundary and the constraints before selecting implementation technology. For devops in regulated environments, record assumptions and the evidence that would disprove them.</w:t>
      </w:r>
    </w:p>
    <w:p>
      <w:pPr>
        <w:pStyle w:val="Heading3"/>
        <w:keepNext/>
      </w:pPr>
      <w:r>
        <w:t>segregation architecture and operating boundaries</w:t>
      </w:r>
    </w:p>
    <w:p>
      <w:pPr>
        <w:keepNext w:val="0"/>
      </w:pPr>
      <w:r>
        <w:t>The architecture for segregation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validated controls and risk-based evidence. automation, policy and evidence</w:t>
      </w:r>
    </w:p>
    <w:p>
      <w:pPr>
        <w:keepNext w:val="0"/>
      </w:pPr>
      <w:r>
        <w:t>Automation for validated controls and risk-based evidence.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DevOps in Regulated Environments failure handling and continuous improvement</w:t>
      </w:r>
    </w:p>
    <w:p>
      <w:pPr>
        <w:keepNext w:val="0"/>
      </w:pPr>
      <w:r>
        <w:t>Continuous improvement for devops in regulated environments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Continuous compliance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GxP/SOX patterns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Continuous compliance</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GxP/SOX patterns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Continuous compliance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GxP/SOX patterns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devops_in_regulated_environments</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15E</w:t>
              <w:br/>
              <w:t>chapter: 49</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49: Design a regulated delivery control model</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devops in regulated environments.</w:t>
      </w:r>
    </w:p>
    <w:p>
      <w:pPr>
        <w:ind w:left="360" w:hanging="360"/>
      </w:pPr>
      <w:r>
        <w:rPr>
          <w:b/>
        </w:rPr>
        <w:t xml:space="preserve">2. </w:t>
      </w:r>
      <w:r>
        <w:t>Create the smallest safe implementation or detailed simulation using Continuous compliance, GxP/SOX patterns.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DevOps in Regulated Environments?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DevOps in Regulated Environments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15E | CHAPTER 50</w:t>
      </w:r>
    </w:p>
    <w:p>
      <w:pPr>
        <w:pStyle w:val="Heading1"/>
        <w:jc w:val="center"/>
      </w:pPr>
      <w:r>
        <w:t>Chapter 50: Technology Debt and Modernization Governance</w:t>
      </w:r>
    </w:p>
    <w:p>
      <w:pPr>
        <w:jc w:val="center"/>
      </w:pPr>
      <w:r>
        <w:rPr>
          <w:i/>
          <w:color w:val="4B5563"/>
          <w:sz w:val="19"/>
        </w:rPr>
        <w:t>Make debt visible, quantify consequences and fund reduction alongside product work.</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Technology Debt and Modernization Governance matters because enterprise outcomes depend on more than a successful tool installation. The team must make make debt visible, quantify consequences and fund reduction alongside product work.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technology debt and modernization governance.</w:t>
      </w:r>
    </w:p>
    <w:p>
      <w:pPr>
        <w:pStyle w:val="ListBullet"/>
      </w:pPr>
      <w:r>
        <w:t>Design the capability using Debt registers, risk/value scoring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technology-debt investment plan.</w:t>
      </w:r>
    </w:p>
    <w:p>
      <w:pPr>
        <w:pStyle w:val="Heading2"/>
        <w:keepNext/>
      </w:pPr>
      <w:r>
        <w:t>Core Concepts</w:t>
      </w:r>
    </w:p>
    <w:p>
      <w:pPr>
        <w:pStyle w:val="Heading3"/>
        <w:keepNext/>
      </w:pPr>
      <w:r>
        <w:t>Make debt visible and problem framing</w:t>
      </w:r>
    </w:p>
    <w:p>
      <w:pPr>
        <w:keepNext w:val="0"/>
      </w:pPr>
      <w:r>
        <w:t>Make debt visible and problem framing starts with a clear user or business problem. Define the desired outcome, the actors, the service boundary and the constraints before selecting implementation technology. For technology debt and modernization governance, record assumptions and the evidence that would disprove them.</w:t>
      </w:r>
    </w:p>
    <w:p>
      <w:pPr>
        <w:pStyle w:val="Heading3"/>
        <w:keepNext/>
      </w:pPr>
      <w:r>
        <w:t>quantify consequences and fund reduction alongside product work. architecture and operating boundaries</w:t>
      </w:r>
    </w:p>
    <w:p>
      <w:pPr>
        <w:keepNext w:val="0"/>
      </w:pPr>
      <w:r>
        <w:t>The architecture for quantify consequences and fund reduction alongside product work.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Technology Debt and Modernization Governance automation, policy and evidence</w:t>
      </w:r>
    </w:p>
    <w:p>
      <w:pPr>
        <w:keepNext w:val="0"/>
      </w:pPr>
      <w:r>
        <w:t>Automation for technology debt and modernization governance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Technology Debt and Modernization Governance failure handling and continuous improvement</w:t>
      </w:r>
    </w:p>
    <w:p>
      <w:pPr>
        <w:keepNext w:val="0"/>
      </w:pPr>
      <w:r>
        <w:t>Continuous improvement for technology debt and modernization governance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Debt registers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risk/value scoring</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Debt registers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risk/value scoring</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Debt registers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risk/value scoring</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technology_debt_and_modernizatio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15E</w:t>
              <w:br/>
              <w:t>chapter: 50</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50: Create a technology-debt investment plan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technology debt and modernization governance.</w:t>
      </w:r>
    </w:p>
    <w:p>
      <w:pPr>
        <w:ind w:left="360" w:hanging="360"/>
      </w:pPr>
      <w:r>
        <w:rPr>
          <w:b/>
        </w:rPr>
        <w:t xml:space="preserve">2. </w:t>
      </w:r>
      <w:r>
        <w:t>Create the smallest safe implementation or detailed simulation using Debt registers, risk/value scoring.</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Technology Debt and Modernization Governance?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Technology Debt and Modernization Governance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15E | CHAPTER 51</w:t>
      </w:r>
    </w:p>
    <w:p>
      <w:pPr>
        <w:pStyle w:val="Heading1"/>
        <w:jc w:val="center"/>
      </w:pPr>
      <w:r>
        <w:t>Chapter 51: AI-Assisted Software Delivery Governance</w:t>
      </w:r>
    </w:p>
    <w:p>
      <w:pPr>
        <w:jc w:val="center"/>
      </w:pPr>
      <w:r>
        <w:rPr>
          <w:i/>
          <w:color w:val="4B5563"/>
          <w:sz w:val="19"/>
        </w:rPr>
        <w:t>Adopt AI coding and operations tools with evaluation, privacy, security and human accountability.</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AI-Assisted Software Delivery Governance matters because enterprise outcomes depend on more than a successful tool installation. The team must make adopt ai coding and operations tools with evaluation, privacy, security and human accountability.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ai-assisted software delivery governance.</w:t>
      </w:r>
    </w:p>
    <w:p>
      <w:pPr>
        <w:pStyle w:val="ListBullet"/>
      </w:pPr>
      <w:r>
        <w:t>Design the capability using DORA AI research, evaluation, policy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an ai-assisted delivery governance standard.</w:t>
      </w:r>
    </w:p>
    <w:p>
      <w:pPr>
        <w:pStyle w:val="Heading2"/>
        <w:keepNext/>
      </w:pPr>
      <w:r>
        <w:t>Core Concepts</w:t>
      </w:r>
    </w:p>
    <w:p>
      <w:pPr>
        <w:pStyle w:val="Heading3"/>
        <w:keepNext/>
      </w:pPr>
      <w:r>
        <w:t>Adopt AI coding and operations tools with evaluation and problem framing</w:t>
      </w:r>
    </w:p>
    <w:p>
      <w:pPr>
        <w:keepNext w:val="0"/>
      </w:pPr>
      <w:r>
        <w:t>Adopt AI coding and operations tools with evaluation and problem framing starts with a clear user or business problem. Define the desired outcome, the actors, the service boundary and the constraints before selecting implementation technology. For ai-assisted software delivery governance, record assumptions and the evidence that would disprove them.</w:t>
      </w:r>
    </w:p>
    <w:p>
      <w:pPr>
        <w:pStyle w:val="Heading3"/>
        <w:keepNext/>
      </w:pPr>
      <w:r>
        <w:t>privacy architecture and operating boundaries</w:t>
      </w:r>
    </w:p>
    <w:p>
      <w:pPr>
        <w:keepNext w:val="0"/>
      </w:pPr>
      <w:r>
        <w:t>The architecture for privacy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security and human accountability. automation, policy and evidence</w:t>
      </w:r>
    </w:p>
    <w:p>
      <w:pPr>
        <w:keepNext w:val="0"/>
      </w:pPr>
      <w:r>
        <w:t>Automation for security and human accountability.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AI-Assisted Software Delivery Governance failure handling and continuous improvement</w:t>
      </w:r>
    </w:p>
    <w:p>
      <w:pPr>
        <w:keepNext w:val="0"/>
      </w:pPr>
      <w:r>
        <w:t>Continuous improvement for ai-assisted software delivery governance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DORA AI research</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evaluation</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policy</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DORA AI research</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evaluation</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policy</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ai_assisted_software_delivery_go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15E</w:t>
              <w:br/>
              <w:t>chapter: 51</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51: Design an AI-assisted delivery governance standard</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ai-assisted software delivery governance.</w:t>
      </w:r>
    </w:p>
    <w:p>
      <w:pPr>
        <w:ind w:left="360" w:hanging="360"/>
      </w:pPr>
      <w:r>
        <w:rPr>
          <w:b/>
        </w:rPr>
        <w:t xml:space="preserve">2. </w:t>
      </w:r>
      <w:r>
        <w:t>Create the smallest safe implementation or detailed simulation using DORA AI research, evaluation, policy.</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AI-Assisted Software Delivery Governance?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AI-Assisted Software Delivery Governance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15E | CHAPTER 52</w:t>
      </w:r>
    </w:p>
    <w:p>
      <w:pPr>
        <w:pStyle w:val="Heading1"/>
        <w:jc w:val="center"/>
      </w:pPr>
      <w:r>
        <w:t>Chapter 52: Sustainability and Resource Efficiency</w:t>
      </w:r>
    </w:p>
    <w:p>
      <w:pPr>
        <w:jc w:val="center"/>
      </w:pPr>
      <w:r>
        <w:rPr>
          <w:i/>
          <w:color w:val="4B5563"/>
          <w:sz w:val="19"/>
        </w:rPr>
        <w:t>Include energy, utilization, architecture and lifecycle consequences in technology decisions.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Sustainability and Resource Efficiency matters because enterprise outcomes depend on more than a successful tool installation. The team must make include energy, utilization, architecture and lifecycle consequences in technology decisions.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sustainability and resource efficiency.</w:t>
      </w:r>
    </w:p>
    <w:p>
      <w:pPr>
        <w:pStyle w:val="ListBullet"/>
      </w:pPr>
      <w:r>
        <w:t>Design the capability using Carbon-aware scheduling, efficiency metrics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sustainable-technology review.</w:t>
      </w:r>
    </w:p>
    <w:p>
      <w:pPr>
        <w:pStyle w:val="Heading2"/>
        <w:keepNext/>
      </w:pPr>
      <w:r>
        <w:t>Core Concepts</w:t>
      </w:r>
    </w:p>
    <w:p>
      <w:pPr>
        <w:pStyle w:val="Heading3"/>
        <w:keepNext/>
      </w:pPr>
      <w:r>
        <w:t>Include energy and problem framing</w:t>
      </w:r>
    </w:p>
    <w:p>
      <w:pPr>
        <w:keepNext w:val="0"/>
      </w:pPr>
      <w:r>
        <w:t>Include energy and problem framing starts with a clear user or business problem. Define the desired outcome, the actors, the service boundary and the constraints before selecting implementation technology. For sustainability and resource efficiency, record assumptions and the evidence that would disprove them.</w:t>
      </w:r>
    </w:p>
    <w:p>
      <w:pPr>
        <w:pStyle w:val="Heading3"/>
        <w:keepNext/>
      </w:pPr>
      <w:r>
        <w:t>utilization architecture and operating boundaries</w:t>
      </w:r>
    </w:p>
    <w:p>
      <w:pPr>
        <w:keepNext w:val="0"/>
      </w:pPr>
      <w:r>
        <w:t>The architecture for utilization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architecture and lifecycle consequences in technology decisions. automation, policy and evidence</w:t>
      </w:r>
    </w:p>
    <w:p>
      <w:pPr>
        <w:keepNext w:val="0"/>
      </w:pPr>
      <w:r>
        <w:t>Automation for architecture and lifecycle consequences in technology decisions.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Sustainability and Resource Efficiency failure handling and continuous improvement</w:t>
      </w:r>
    </w:p>
    <w:p>
      <w:pPr>
        <w:keepNext w:val="0"/>
      </w:pPr>
      <w:r>
        <w:t>Continuous improvement for sustainability and resource efficiency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Carbon-aware scheduling</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efficiency metrics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Carbon-aware scheduling</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efficiency metrics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Carbon-aware scheduling</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efficiency metrics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sustainability_and_resource_effi</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15E</w:t>
              <w:br/>
              <w:t>chapter: 52</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52: Build a sustainable-technology review</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sustainability and resource efficiency.</w:t>
      </w:r>
    </w:p>
    <w:p>
      <w:pPr>
        <w:ind w:left="360" w:hanging="360"/>
      </w:pPr>
      <w:r>
        <w:rPr>
          <w:b/>
        </w:rPr>
        <w:t xml:space="preserve">2. </w:t>
      </w:r>
      <w:r>
        <w:t>Create the smallest safe implementation or detailed simulation using Carbon-aware scheduling, efficiency metrics.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Sustainability and Resource Efficiency?</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Sustainability and Resource Efficiency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15E | CHAPTER 53</w:t>
      </w:r>
    </w:p>
    <w:p>
      <w:pPr>
        <w:pStyle w:val="Heading1"/>
        <w:jc w:val="center"/>
      </w:pPr>
      <w:r>
        <w:t>Chapter 53: Business Continuity and Supplier Resilience</w:t>
      </w:r>
    </w:p>
    <w:p>
      <w:pPr>
        <w:jc w:val="center"/>
      </w:pPr>
      <w:r>
        <w:rPr>
          <w:i/>
          <w:color w:val="4B5563"/>
          <w:sz w:val="19"/>
        </w:rPr>
        <w:t>Coordinate recovery across applications, cloud, SaaS, people, facilities and vendors.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Business Continuity and Supplier Resilience matters because enterprise outcomes depend on more than a successful tool installation. The team must make coordinate recovery across applications, cloud, saas, people, facilities and vendors.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business continuity and supplier resilience.</w:t>
      </w:r>
    </w:p>
    <w:p>
      <w:pPr>
        <w:pStyle w:val="ListBullet"/>
      </w:pPr>
      <w:r>
        <w:t>Design the capability using BIA, RTO/RPO, supplier plans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 business-continuity tabletop.</w:t>
      </w:r>
    </w:p>
    <w:p>
      <w:pPr>
        <w:pStyle w:val="Heading2"/>
        <w:keepNext/>
      </w:pPr>
      <w:r>
        <w:t>Core Concepts</w:t>
      </w:r>
    </w:p>
    <w:p>
      <w:pPr>
        <w:pStyle w:val="Heading3"/>
        <w:keepNext/>
      </w:pPr>
      <w:r>
        <w:t>Coordinate recovery across applications and problem framing</w:t>
      </w:r>
    </w:p>
    <w:p>
      <w:pPr>
        <w:keepNext w:val="0"/>
      </w:pPr>
      <w:r>
        <w:t>Coordinate recovery across applications and problem framing starts with a clear user or business problem. Define the desired outcome, the actors, the service boundary and the constraints before selecting implementation technology. For business continuity and supplier resilience, record assumptions and the evidence that would disprove them.</w:t>
      </w:r>
    </w:p>
    <w:p>
      <w:pPr>
        <w:pStyle w:val="Heading3"/>
        <w:keepNext/>
      </w:pPr>
      <w:r>
        <w:t>cloud architecture and operating boundaries</w:t>
      </w:r>
    </w:p>
    <w:p>
      <w:pPr>
        <w:keepNext w:val="0"/>
      </w:pPr>
      <w:r>
        <w:t>The architecture for cloud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SaaS automation, policy and evidence</w:t>
      </w:r>
    </w:p>
    <w:p>
      <w:pPr>
        <w:keepNext w:val="0"/>
      </w:pPr>
      <w:r>
        <w:t>Automation for saas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people failure handling and continuous improvement</w:t>
      </w:r>
    </w:p>
    <w:p>
      <w:pPr>
        <w:keepNext w:val="0"/>
      </w:pPr>
      <w:r>
        <w:t>Continuous improvement for people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BIA</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RTO/RPO</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supplier plans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BIA</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RTO/RPO</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supplier plans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business_continuity_and_supplier</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15E</w:t>
              <w:br/>
              <w:t>chapter: 53</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53: Run a business-continuity tabletop</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business continuity and supplier resilience.</w:t>
      </w:r>
    </w:p>
    <w:p>
      <w:pPr>
        <w:ind w:left="360" w:hanging="360"/>
      </w:pPr>
      <w:r>
        <w:rPr>
          <w:b/>
        </w:rPr>
        <w:t xml:space="preserve">2. </w:t>
      </w:r>
      <w:r>
        <w:t>Create the smallest safe implementation or detailed simulation using BIA, RTO/RPO, supplier plans.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Business Continuity and Supplier Resilience?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Business Continuity and Supplier Resilience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15E | CHAPTER 54</w:t>
      </w:r>
    </w:p>
    <w:p>
      <w:pPr>
        <w:pStyle w:val="Heading1"/>
        <w:jc w:val="center"/>
      </w:pPr>
      <w:r>
        <w:t>Chapter 54: Executive Operating Reviews</w:t>
      </w:r>
    </w:p>
    <w:p>
      <w:pPr>
        <w:jc w:val="center"/>
      </w:pPr>
      <w:r>
        <w:rPr>
          <w:i/>
          <w:color w:val="4B5563"/>
          <w:sz w:val="19"/>
        </w:rPr>
        <w:t>Create decision-oriented weekly, monthly and quarterly reviews with clear actions and owners.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Executive Operating Reviews matters because enterprise outcomes depend on more than a successful tool installation. The team must make create decision-oriented weekly, monthly and quarterly reviews with clear actions and owners.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executive operating reviews.</w:t>
      </w:r>
    </w:p>
    <w:p>
      <w:pPr>
        <w:pStyle w:val="ListBullet"/>
      </w:pPr>
      <w:r>
        <w:t>Design the capability using Scorecards, narratives, decision logs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 quarterly technology review.</w:t>
      </w:r>
    </w:p>
    <w:p>
      <w:pPr>
        <w:pStyle w:val="Heading2"/>
        <w:keepNext/>
      </w:pPr>
      <w:r>
        <w:t>Core Concepts</w:t>
      </w:r>
    </w:p>
    <w:p>
      <w:pPr>
        <w:pStyle w:val="Heading3"/>
        <w:keepNext/>
      </w:pPr>
      <w:r>
        <w:t>Create decision-oriented weekly and problem framing</w:t>
      </w:r>
    </w:p>
    <w:p>
      <w:pPr>
        <w:keepNext w:val="0"/>
      </w:pPr>
      <w:r>
        <w:t>Create decision-oriented weekly and problem framing starts with a clear user or business problem. Define the desired outcome, the actors, the service boundary and the constraints before selecting implementation technology. For executive operating reviews, record assumptions and the evidence that would disprove them.</w:t>
      </w:r>
    </w:p>
    <w:p>
      <w:pPr>
        <w:pStyle w:val="Heading3"/>
        <w:keepNext/>
      </w:pPr>
      <w:r>
        <w:t>monthly and quarterly reviews with clear actions and owners. architecture and operating boundaries</w:t>
      </w:r>
    </w:p>
    <w:p>
      <w:pPr>
        <w:keepNext w:val="0"/>
      </w:pPr>
      <w:r>
        <w:t>The architecture for monthly and quarterly reviews with clear actions and owners.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Executive Operating Reviews automation, policy and evidence</w:t>
      </w:r>
    </w:p>
    <w:p>
      <w:pPr>
        <w:keepNext w:val="0"/>
      </w:pPr>
      <w:r>
        <w:t>Automation for executive operating reviews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Executive Operating Reviews failure handling and continuous improvement</w:t>
      </w:r>
    </w:p>
    <w:p>
      <w:pPr>
        <w:keepNext w:val="0"/>
      </w:pPr>
      <w:r>
        <w:t>Continuous improvement for executive operating reviews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Scorecards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narratives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decision logs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Scorecards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narratives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decision logs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executive_operating_reviews</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15E</w:t>
              <w:br/>
              <w:t>chapter: 54</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54: Run a quarterly technology review</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executive operating reviews.</w:t>
      </w:r>
    </w:p>
    <w:p>
      <w:pPr>
        <w:ind w:left="360" w:hanging="360"/>
      </w:pPr>
      <w:r>
        <w:rPr>
          <w:b/>
        </w:rPr>
        <w:t xml:space="preserve">2. </w:t>
      </w:r>
      <w:r>
        <w:t>Create the smallest safe implementation or detailed simulation using Scorecards, narratives, decision logs.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Executive Operating Reviews?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Executive Operating Reviews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15E | CHAPTER 55</w:t>
      </w:r>
    </w:p>
    <w:p>
      <w:pPr>
        <w:pStyle w:val="Heading1"/>
        <w:jc w:val="center"/>
      </w:pPr>
      <w:r>
        <w:t>Chapter 55: Enterprise Transformation Simulation Capstone</w:t>
      </w:r>
    </w:p>
    <w:p>
      <w:pPr>
        <w:jc w:val="center"/>
      </w:pPr>
      <w:r>
        <w:rPr>
          <w:i/>
          <w:color w:val="4B5563"/>
          <w:sz w:val="19"/>
        </w:rPr>
        <w:t>Lead a realistic portfolio through outage, budget pressure, security risk and organizational resistance.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Enterprise Transformation Simulation Capstone matters because enterprise outcomes depend on more than a successful tool installation. The team must make lead a realistic portfolio through outage, budget pressure, security risk and organizational resistance.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enterprise transformation simulation capstone.</w:t>
      </w:r>
    </w:p>
    <w:p>
      <w:pPr>
        <w:pStyle w:val="ListBullet"/>
      </w:pPr>
      <w:r>
        <w:t>Design the capability using All Volume 15 methods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complete a multi-round executive simulation.</w:t>
      </w:r>
    </w:p>
    <w:p>
      <w:pPr>
        <w:pStyle w:val="Heading2"/>
        <w:keepNext/>
      </w:pPr>
      <w:r>
        <w:t>Core Concepts</w:t>
      </w:r>
    </w:p>
    <w:p>
      <w:pPr>
        <w:pStyle w:val="Heading3"/>
        <w:keepNext/>
      </w:pPr>
      <w:r>
        <w:t>Lead a realistic portfolio through outage and problem framing</w:t>
      </w:r>
    </w:p>
    <w:p>
      <w:pPr>
        <w:keepNext w:val="0"/>
      </w:pPr>
      <w:r>
        <w:t>Lead a realistic portfolio through outage and problem framing starts with a clear user or business problem. Define the desired outcome, the actors, the service boundary and the constraints before selecting implementation technology. For enterprise transformation simulation capstone, record assumptions and the evidence that would disprove them.</w:t>
      </w:r>
    </w:p>
    <w:p>
      <w:pPr>
        <w:pStyle w:val="Heading3"/>
        <w:keepNext/>
      </w:pPr>
      <w:r>
        <w:t>budget pressure architecture and operating boundaries</w:t>
      </w:r>
    </w:p>
    <w:p>
      <w:pPr>
        <w:keepNext w:val="0"/>
      </w:pPr>
      <w:r>
        <w:t>The architecture for budget pressure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security risk and organizational resistance. automation, policy and evidence</w:t>
      </w:r>
    </w:p>
    <w:p>
      <w:pPr>
        <w:keepNext w:val="0"/>
      </w:pPr>
      <w:r>
        <w:t>Automation for security risk and organizational resistance.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Enterprise Transformation Simulation Capstone failure handling and continuous improvement</w:t>
      </w:r>
    </w:p>
    <w:p>
      <w:pPr>
        <w:keepNext w:val="0"/>
      </w:pPr>
      <w:r>
        <w:t>Continuous improvement for enterprise transformation simulation capstone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All Volume 15 methods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All Volume 15 methods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All Volume 15 methods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All Volume 15 methods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All Volume 15 methods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All Volume 15 methods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enterprise_transformation_simula</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15E</w:t>
              <w:br/>
              <w:t>chapter: 55</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55: Complete a multi-round executive simulation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enterprise transformation simulation capstone.</w:t>
      </w:r>
    </w:p>
    <w:p>
      <w:pPr>
        <w:ind w:left="360" w:hanging="360"/>
      </w:pPr>
      <w:r>
        <w:rPr>
          <w:b/>
        </w:rPr>
        <w:t xml:space="preserve">2. </w:t>
      </w:r>
      <w:r>
        <w:t>Create the smallest safe implementation or detailed simulation using All Volume 15 methods.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Enterprise Transformation Simulation Capstone?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Enterprise Transformation Simulation Capstone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pStyle w:val="Heading1"/>
        <w:keepNext w:val="0"/>
      </w:pPr>
      <w:r>
        <w:t>Enterprise Execution and Resilience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Use this reference to review product outcomes, architecture boundaries, operating controls and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76B87"/>
            <w:tcMar>
              <w:top w:w="55" w:type="dxa"/>
              <w:start w:w="75" w:type="dxa"/>
              <w:bottom w:w="55" w:type="dxa"/>
              <w:end w:w="75" w:type="dxa"/>
            </w:tcMar>
            <w:vAlign w:val="center"/>
          </w:tcPr>
          <w:p>
            <w:r>
              <w:rPr>
                <w:b/>
                <w:color w:val="FFFFFF"/>
                <w:sz w:val="14"/>
              </w:rPr>
              <w:t>Domain</w:t>
            </w:r>
          </w:p>
        </w:tc>
        <w:tc>
          <w:tcPr>
            <w:tcW w:type="dxa" w:w="4320"/>
            <w:shd w:fill="176B87"/>
            <w:tcMar>
              <w:top w:w="55" w:type="dxa"/>
              <w:start w:w="75" w:type="dxa"/>
              <w:bottom w:w="55" w:type="dxa"/>
              <w:end w:w="75" w:type="dxa"/>
            </w:tcMar>
            <w:vAlign w:val="center"/>
          </w:tcPr>
          <w:p>
            <w:r>
              <w:rPr>
                <w:b/>
                <w:color w:val="FFFFFF"/>
                <w:sz w:val="14"/>
              </w:rPr>
              <w:t>Required outcome</w:t>
            </w:r>
          </w:p>
        </w:tc>
        <w:tc>
          <w:tcPr>
            <w:tcW w:type="dxa" w:w="4320"/>
            <w:shd w:fill="176B87"/>
            <w:tcMar>
              <w:top w:w="55" w:type="dxa"/>
              <w:start w:w="75" w:type="dxa"/>
              <w:bottom w:w="55" w:type="dxa"/>
              <w:end w:w="75" w:type="dxa"/>
            </w:tcMar>
            <w:vAlign w:val="center"/>
          </w:tcPr>
          <w:p>
            <w:r>
              <w:rPr>
                <w:b/>
                <w:color w:val="FFFFFF"/>
                <w:sz w:val="14"/>
              </w:rPr>
              <w:t>Validation evidence</w:t>
            </w:r>
          </w:p>
        </w:tc>
      </w:tr>
      <w:tr>
        <w:trPr>
          <w:cantSplit/>
        </w:trPr>
        <w:tc>
          <w:tcPr>
            <w:tcW w:type="dxa" w:w="1800"/>
            <w:tcMar>
              <w:top w:w="55" w:type="dxa"/>
              <w:start w:w="75" w:type="dxa"/>
              <w:bottom w:w="55" w:type="dxa"/>
              <w:end w:w="75" w:type="dxa"/>
            </w:tcMar>
            <w:vAlign w:val="top"/>
          </w:tcPr>
          <w:p>
            <w:r>
              <w:rPr>
                <w:sz w:val="14"/>
              </w:rPr>
              <w:t>Product and users</w:t>
            </w:r>
          </w:p>
        </w:tc>
        <w:tc>
          <w:tcPr>
            <w:tcW w:type="dxa" w:w="4320"/>
            <w:tcMar>
              <w:top w:w="55" w:type="dxa"/>
              <w:start w:w="75" w:type="dxa"/>
              <w:bottom w:w="55" w:type="dxa"/>
              <w:end w:w="75" w:type="dxa"/>
            </w:tcMar>
            <w:vAlign w:val="top"/>
          </w:tcPr>
          <w:p>
            <w:r>
              <w:rPr>
                <w:sz w:val="14"/>
              </w:rPr>
              <w:t>Named consumers, outcome hypothesis, roadmap and lifecycle owner</w:t>
            </w:r>
          </w:p>
        </w:tc>
        <w:tc>
          <w:tcPr>
            <w:tcW w:type="dxa" w:w="4320"/>
            <w:tcMar>
              <w:top w:w="55" w:type="dxa"/>
              <w:start w:w="75" w:type="dxa"/>
              <w:bottom w:w="55" w:type="dxa"/>
              <w:end w:w="75" w:type="dxa"/>
            </w:tcMar>
            <w:vAlign w:val="top"/>
          </w:tcPr>
          <w:p>
            <w:r>
              <w:rPr>
                <w:sz w:val="14"/>
              </w:rPr>
              <w:t>Research summary, service contract and adoption data</w:t>
            </w:r>
          </w:p>
        </w:tc>
      </w:tr>
      <w:tr>
        <w:trPr>
          <w:cantSplit/>
        </w:trPr>
        <w:tc>
          <w:tcPr>
            <w:tcW w:type="dxa" w:w="1800"/>
            <w:tcMar>
              <w:top w:w="55" w:type="dxa"/>
              <w:start w:w="75" w:type="dxa"/>
              <w:bottom w:w="55" w:type="dxa"/>
              <w:end w:w="75" w:type="dxa"/>
            </w:tcMar>
            <w:vAlign w:val="top"/>
          </w:tcPr>
          <w:p>
            <w:r>
              <w:rPr>
                <w:sz w:val="14"/>
              </w:rPr>
              <w:t>Architecture</w:t>
            </w:r>
          </w:p>
        </w:tc>
        <w:tc>
          <w:tcPr>
            <w:tcW w:type="dxa" w:w="4320"/>
            <w:tcMar>
              <w:top w:w="55" w:type="dxa"/>
              <w:start w:w="75" w:type="dxa"/>
              <w:bottom w:w="55" w:type="dxa"/>
              <w:end w:w="75" w:type="dxa"/>
            </w:tcMar>
            <w:vAlign w:val="top"/>
          </w:tcPr>
          <w:p>
            <w:r>
              <w:rPr>
                <w:sz w:val="14"/>
              </w:rPr>
              <w:t>Control, execution, data and evidence boundaries with bounded blast radius</w:t>
            </w:r>
          </w:p>
        </w:tc>
        <w:tc>
          <w:tcPr>
            <w:tcW w:type="dxa" w:w="4320"/>
            <w:tcMar>
              <w:top w:w="55" w:type="dxa"/>
              <w:start w:w="75" w:type="dxa"/>
              <w:bottom w:w="55" w:type="dxa"/>
              <w:end w:w="75" w:type="dxa"/>
            </w:tcMar>
            <w:vAlign w:val="top"/>
          </w:tcPr>
          <w:p>
            <w:r>
              <w:rPr>
                <w:sz w:val="14"/>
              </w:rPr>
              <w:t>Diagrams, ADRs, dependency and failure tests</w:t>
            </w:r>
          </w:p>
        </w:tc>
      </w:tr>
      <w:tr>
        <w:trPr>
          <w:cantSplit/>
        </w:trPr>
        <w:tc>
          <w:tcPr>
            <w:tcW w:type="dxa" w:w="1800"/>
            <w:tcMar>
              <w:top w:w="55" w:type="dxa"/>
              <w:start w:w="75" w:type="dxa"/>
              <w:bottom w:w="55" w:type="dxa"/>
              <w:end w:w="75" w:type="dxa"/>
            </w:tcMar>
            <w:vAlign w:val="top"/>
          </w:tcPr>
          <w:p>
            <w:r>
              <w:rPr>
                <w:sz w:val="14"/>
              </w:rPr>
              <w:t>Identity and security</w:t>
            </w:r>
          </w:p>
        </w:tc>
        <w:tc>
          <w:tcPr>
            <w:tcW w:type="dxa" w:w="4320"/>
            <w:tcMar>
              <w:top w:w="55" w:type="dxa"/>
              <w:start w:w="75" w:type="dxa"/>
              <w:bottom w:w="55" w:type="dxa"/>
              <w:end w:w="75" w:type="dxa"/>
            </w:tcMar>
            <w:vAlign w:val="top"/>
          </w:tcPr>
          <w:p>
            <w:r>
              <w:rPr>
                <w:sz w:val="14"/>
              </w:rPr>
              <w:t>Least privilege, keyless workloads, protected administration and auditable exceptions</w:t>
            </w:r>
          </w:p>
        </w:tc>
        <w:tc>
          <w:tcPr>
            <w:tcW w:type="dxa" w:w="4320"/>
            <w:tcMar>
              <w:top w:w="55" w:type="dxa"/>
              <w:start w:w="75" w:type="dxa"/>
              <w:bottom w:w="55" w:type="dxa"/>
              <w:end w:w="75" w:type="dxa"/>
            </w:tcMar>
            <w:vAlign w:val="top"/>
          </w:tcPr>
          <w:p>
            <w:r>
              <w:rPr>
                <w:sz w:val="14"/>
              </w:rPr>
              <w:t>Effective-access, denied-action and audit evidence</w:t>
            </w:r>
          </w:p>
        </w:tc>
      </w:tr>
      <w:tr>
        <w:trPr>
          <w:cantSplit/>
        </w:trPr>
        <w:tc>
          <w:tcPr>
            <w:tcW w:type="dxa" w:w="1800"/>
            <w:tcMar>
              <w:top w:w="55" w:type="dxa"/>
              <w:start w:w="75" w:type="dxa"/>
              <w:bottom w:w="55" w:type="dxa"/>
              <w:end w:w="75" w:type="dxa"/>
            </w:tcMar>
            <w:vAlign w:val="top"/>
          </w:tcPr>
          <w:p>
            <w:r>
              <w:rPr>
                <w:sz w:val="14"/>
              </w:rPr>
              <w:t>Delivery and policy</w:t>
            </w:r>
          </w:p>
        </w:tc>
        <w:tc>
          <w:tcPr>
            <w:tcW w:type="dxa" w:w="4320"/>
            <w:tcMar>
              <w:top w:w="55" w:type="dxa"/>
              <w:start w:w="75" w:type="dxa"/>
              <w:bottom w:w="55" w:type="dxa"/>
              <w:end w:w="75" w:type="dxa"/>
            </w:tcMar>
            <w:vAlign w:val="top"/>
          </w:tcPr>
          <w:p>
            <w:r>
              <w:rPr>
                <w:sz w:val="14"/>
              </w:rPr>
              <w:t>Versioned automation, policy, promotion, rollback and provenance</w:t>
            </w:r>
          </w:p>
        </w:tc>
        <w:tc>
          <w:tcPr>
            <w:tcW w:type="dxa" w:w="4320"/>
            <w:tcMar>
              <w:top w:w="55" w:type="dxa"/>
              <w:start w:w="75" w:type="dxa"/>
              <w:bottom w:w="55" w:type="dxa"/>
              <w:end w:w="75" w:type="dxa"/>
            </w:tcMar>
            <w:vAlign w:val="top"/>
          </w:tcPr>
          <w:p>
            <w:r>
              <w:rPr>
                <w:sz w:val="14"/>
              </w:rPr>
              <w:t>Pipeline, policy and artifact verification results</w:t>
            </w:r>
          </w:p>
        </w:tc>
      </w:tr>
      <w:tr>
        <w:trPr>
          <w:cantSplit/>
        </w:trPr>
        <w:tc>
          <w:tcPr>
            <w:tcW w:type="dxa" w:w="1800"/>
            <w:tcMar>
              <w:top w:w="55" w:type="dxa"/>
              <w:start w:w="75" w:type="dxa"/>
              <w:bottom w:w="55" w:type="dxa"/>
              <w:end w:w="75" w:type="dxa"/>
            </w:tcMar>
            <w:vAlign w:val="top"/>
          </w:tcPr>
          <w:p>
            <w:r>
              <w:rPr>
                <w:sz w:val="14"/>
              </w:rPr>
              <w:t>Reliability and operations</w:t>
            </w:r>
          </w:p>
        </w:tc>
        <w:tc>
          <w:tcPr>
            <w:tcW w:type="dxa" w:w="4320"/>
            <w:tcMar>
              <w:top w:w="55" w:type="dxa"/>
              <w:start w:w="75" w:type="dxa"/>
              <w:bottom w:w="55" w:type="dxa"/>
              <w:end w:w="75" w:type="dxa"/>
            </w:tcMar>
            <w:vAlign w:val="top"/>
          </w:tcPr>
          <w:p>
            <w:r>
              <w:rPr>
                <w:sz w:val="14"/>
              </w:rPr>
              <w:t>SLOs, telemetry, capacity, incident response, recovery and deprecation</w:t>
            </w:r>
          </w:p>
        </w:tc>
        <w:tc>
          <w:tcPr>
            <w:tcW w:type="dxa" w:w="4320"/>
            <w:tcMar>
              <w:top w:w="55" w:type="dxa"/>
              <w:start w:w="75" w:type="dxa"/>
              <w:bottom w:w="55" w:type="dxa"/>
              <w:end w:w="75" w:type="dxa"/>
            </w:tcMar>
            <w:vAlign w:val="top"/>
          </w:tcPr>
          <w:p>
            <w:r>
              <w:rPr>
                <w:sz w:val="14"/>
              </w:rPr>
              <w:t>Dashboards, game-day timeline and restore evidence</w:t>
            </w:r>
          </w:p>
        </w:tc>
      </w:tr>
      <w:tr>
        <w:trPr>
          <w:cantSplit/>
        </w:trPr>
        <w:tc>
          <w:tcPr>
            <w:tcW w:type="dxa" w:w="1800"/>
            <w:tcMar>
              <w:top w:w="55" w:type="dxa"/>
              <w:start w:w="75" w:type="dxa"/>
              <w:bottom w:w="55" w:type="dxa"/>
              <w:end w:w="75" w:type="dxa"/>
            </w:tcMar>
            <w:vAlign w:val="top"/>
          </w:tcPr>
          <w:p>
            <w:r>
              <w:rPr>
                <w:sz w:val="14"/>
              </w:rPr>
              <w:t>Data and AI governance</w:t>
            </w:r>
          </w:p>
        </w:tc>
        <w:tc>
          <w:tcPr>
            <w:tcW w:type="dxa" w:w="4320"/>
            <w:tcMar>
              <w:top w:w="55" w:type="dxa"/>
              <w:start w:w="75" w:type="dxa"/>
              <w:bottom w:w="55" w:type="dxa"/>
              <w:end w:w="75" w:type="dxa"/>
            </w:tcMar>
            <w:vAlign w:val="top"/>
          </w:tcPr>
          <w:p>
            <w:r>
              <w:rPr>
                <w:sz w:val="14"/>
              </w:rPr>
              <w:t>Ownership, classification, quality, privacy, lineage and responsible use</w:t>
            </w:r>
          </w:p>
        </w:tc>
        <w:tc>
          <w:tcPr>
            <w:tcW w:type="dxa" w:w="4320"/>
            <w:tcMar>
              <w:top w:w="55" w:type="dxa"/>
              <w:start w:w="75" w:type="dxa"/>
              <w:bottom w:w="55" w:type="dxa"/>
              <w:end w:w="75" w:type="dxa"/>
            </w:tcMar>
            <w:vAlign w:val="top"/>
          </w:tcPr>
          <w:p>
            <w:r>
              <w:rPr>
                <w:sz w:val="14"/>
              </w:rPr>
              <w:t>Catalog, tests, risk and approval records</w:t>
            </w:r>
          </w:p>
        </w:tc>
      </w:tr>
      <w:tr>
        <w:trPr>
          <w:cantSplit/>
        </w:trPr>
        <w:tc>
          <w:tcPr>
            <w:tcW w:type="dxa" w:w="1800"/>
            <w:tcMar>
              <w:top w:w="55" w:type="dxa"/>
              <w:start w:w="75" w:type="dxa"/>
              <w:bottom w:w="55" w:type="dxa"/>
              <w:end w:w="75" w:type="dxa"/>
            </w:tcMar>
            <w:vAlign w:val="top"/>
          </w:tcPr>
          <w:p>
            <w:r>
              <w:rPr>
                <w:sz w:val="14"/>
              </w:rPr>
              <w:t>Economics and value</w:t>
            </w:r>
          </w:p>
        </w:tc>
        <w:tc>
          <w:tcPr>
            <w:tcW w:type="dxa" w:w="4320"/>
            <w:tcMar>
              <w:top w:w="55" w:type="dxa"/>
              <w:start w:w="75" w:type="dxa"/>
              <w:bottom w:w="55" w:type="dxa"/>
              <w:end w:w="75" w:type="dxa"/>
            </w:tcMar>
            <w:vAlign w:val="top"/>
          </w:tcPr>
          <w:p>
            <w:r>
              <w:rPr>
                <w:sz w:val="14"/>
              </w:rPr>
              <w:t>Allocated cost, unit economics, investment rationale and optimization safety</w:t>
            </w:r>
          </w:p>
        </w:tc>
        <w:tc>
          <w:tcPr>
            <w:tcW w:type="dxa" w:w="4320"/>
            <w:tcMar>
              <w:top w:w="55" w:type="dxa"/>
              <w:start w:w="75" w:type="dxa"/>
              <w:bottom w:w="55" w:type="dxa"/>
              <w:end w:w="75" w:type="dxa"/>
            </w:tcMar>
            <w:vAlign w:val="top"/>
          </w:tcPr>
          <w:p>
            <w:r>
              <w:rPr>
                <w:sz w:val="14"/>
              </w:rPr>
              <w:t>Cost model, outcome metrics and decision log</w:t>
            </w:r>
          </w:p>
        </w:tc>
      </w:tr>
      <w:tr>
        <w:trPr>
          <w:cantSplit/>
        </w:trPr>
        <w:tc>
          <w:tcPr>
            <w:tcW w:type="dxa" w:w="1800"/>
            <w:tcMar>
              <w:top w:w="55" w:type="dxa"/>
              <w:start w:w="75" w:type="dxa"/>
              <w:bottom w:w="55" w:type="dxa"/>
              <w:end w:w="75" w:type="dxa"/>
            </w:tcMar>
            <w:vAlign w:val="top"/>
          </w:tcPr>
          <w:p>
            <w:r>
              <w:rPr>
                <w:sz w:val="14"/>
              </w:rPr>
              <w:t>People and governance</w:t>
            </w:r>
          </w:p>
        </w:tc>
        <w:tc>
          <w:tcPr>
            <w:tcW w:type="dxa" w:w="4320"/>
            <w:tcMar>
              <w:top w:w="55" w:type="dxa"/>
              <w:start w:w="75" w:type="dxa"/>
              <w:bottom w:w="55" w:type="dxa"/>
              <w:end w:w="75" w:type="dxa"/>
            </w:tcMar>
            <w:vAlign w:val="top"/>
          </w:tcPr>
          <w:p>
            <w:r>
              <w:rPr>
                <w:sz w:val="14"/>
              </w:rPr>
              <w:t>Clear decisions, support, skills, change plan and feedback loops</w:t>
            </w:r>
          </w:p>
        </w:tc>
        <w:tc>
          <w:tcPr>
            <w:tcW w:type="dxa" w:w="4320"/>
            <w:tcMar>
              <w:top w:w="55" w:type="dxa"/>
              <w:start w:w="75" w:type="dxa"/>
              <w:bottom w:w="55" w:type="dxa"/>
              <w:end w:w="75" w:type="dxa"/>
            </w:tcMar>
            <w:vAlign w:val="top"/>
          </w:tcPr>
          <w:p>
            <w:r>
              <w:rPr>
                <w:sz w:val="14"/>
              </w:rPr>
              <w:t>RACI, operating cadence, survey and action backlog</w:t>
            </w:r>
          </w:p>
        </w:tc>
      </w:tr>
    </w:tbl>
    <w:p>
      <w:pPr>
        <w:pStyle w:val="Heading1"/>
        <w:keepNext w:val="0"/>
      </w:pPr>
      <w:r>
        <w:t>Completion Checklist</w:t>
      </w:r>
    </w:p>
    <w:p>
      <w:pPr>
        <w:ind w:left="259" w:hanging="259"/>
      </w:pPr>
      <w:r>
        <w:t>[ ] I can explain every chapter in Volume 15E using architecture, operations and business language.</w:t>
      </w:r>
    </w:p>
    <w:p>
      <w:pPr>
        <w:ind w:left="259" w:hanging="259"/>
      </w:pPr>
      <w:r>
        <w:t>[ ] I can implement or simulate at least one complete service with identity, policy, telemetry and lifecycle controls.</w:t>
      </w:r>
    </w:p>
    <w:p>
      <w:pPr>
        <w:ind w:left="259" w:hanging="259"/>
      </w:pPr>
      <w:r>
        <w:t>[ ] I can demonstrate expected, denied and failure behavior with time-stamped evidence.</w:t>
      </w:r>
    </w:p>
    <w:p>
      <w:pPr>
        <w:ind w:left="259" w:hanging="259"/>
      </w:pPr>
      <w:r>
        <w:t>[ ] I can discuss security, reliability, cost, adoption and organizational trade-offs.</w:t>
      </w:r>
    </w:p>
    <w:p>
      <w:pPr>
        <w:ind w:left="259" w:hanging="259"/>
      </w:pPr>
      <w:r>
        <w:t>[ ] I can produce a sanitized portfolio artifact and defend the design in an interview or review board.</w:t>
      </w:r>
    </w:p>
    <w:p>
      <w:pPr>
        <w:pStyle w:val="Heading1"/>
        <w:keepNext w:val="0"/>
      </w:pPr>
      <w:r>
        <w:t>Additional Portfolio Projects</w:t>
      </w:r>
    </w:p>
    <w:p>
      <w:r>
        <w:rPr>
          <w:b/>
        </w:rPr>
        <w:t xml:space="preserve">1. </w:t>
      </w:r>
      <w:r>
        <w:t>Service catalog and ownership quality automation.</w:t>
      </w:r>
    </w:p>
    <w:p>
      <w:r>
        <w:rPr>
          <w:b/>
        </w:rPr>
        <w:t xml:space="preserve">2. </w:t>
      </w:r>
      <w:r>
        <w:t>Keyless CI/CD and workload-identity reference implementation.</w:t>
      </w:r>
    </w:p>
    <w:p>
      <w:r>
        <w:rPr>
          <w:b/>
        </w:rPr>
        <w:t xml:space="preserve">3. </w:t>
      </w:r>
      <w:r>
        <w:t>Policy promotion pipeline with expiring exceptions.</w:t>
      </w:r>
    </w:p>
    <w:p>
      <w:r>
        <w:rPr>
          <w:b/>
        </w:rPr>
        <w:t xml:space="preserve">4. </w:t>
      </w:r>
      <w:r>
        <w:t>Golden path or pipeline template with user-journey telemetry.</w:t>
      </w:r>
    </w:p>
    <w:p>
      <w:r>
        <w:rPr>
          <w:b/>
        </w:rPr>
        <w:t xml:space="preserve">5. </w:t>
      </w:r>
      <w:r>
        <w:t>SLO dashboard and bounded failure game day.</w:t>
      </w:r>
    </w:p>
    <w:p>
      <w:r>
        <w:rPr>
          <w:b/>
        </w:rPr>
        <w:t xml:space="preserve">6. </w:t>
      </w:r>
      <w:r>
        <w:t>Cost allocation and unit-economics review.</w:t>
      </w:r>
    </w:p>
    <w:p>
      <w:r>
        <w:rPr>
          <w:b/>
        </w:rPr>
        <w:t xml:space="preserve">7. </w:t>
      </w:r>
      <w:r>
        <w:t>Security threat model and evidence-based remediation plan.</w:t>
      </w:r>
    </w:p>
    <w:p>
      <w:r>
        <w:rPr>
          <w:b/>
        </w:rPr>
        <w:t xml:space="preserve">8. </w:t>
      </w:r>
      <w:r>
        <w:t>Backup, restore, failover and failback exercise.</w:t>
      </w:r>
    </w:p>
    <w:p>
      <w:r>
        <w:rPr>
          <w:b/>
        </w:rPr>
        <w:t xml:space="preserve">9. </w:t>
      </w:r>
      <w:r>
        <w:t>Migration or adoption factory for three fictional teams.</w:t>
      </w:r>
    </w:p>
    <w:p>
      <w:r>
        <w:rPr>
          <w:b/>
        </w:rPr>
        <w:t xml:space="preserve">10. </w:t>
      </w:r>
      <w:r>
        <w:t>Executive architecture or investment memo with measured outcomes.</w:t>
      </w:r>
    </w:p>
    <w:p>
      <w:pPr>
        <w:pStyle w:val="Heading1"/>
        <w:keepNext w:val="0"/>
      </w:pPr>
      <w:r>
        <w:t>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55" w:type="dxa"/>
              <w:start w:w="75" w:type="dxa"/>
              <w:bottom w:w="55" w:type="dxa"/>
              <w:end w:w="75" w:type="dxa"/>
            </w:tcMar>
            <w:vAlign w:val="center"/>
          </w:tcPr>
          <w:p>
            <w:r>
              <w:rPr>
                <w:b/>
                <w:color w:val="FFFFFF"/>
                <w:sz w:val="14"/>
              </w:rPr>
              <w:t>Days</w:t>
            </w:r>
          </w:p>
        </w:tc>
        <w:tc>
          <w:tcPr>
            <w:tcW w:type="dxa" w:w="3312"/>
            <w:shd w:fill="176B87"/>
            <w:tcMar>
              <w:top w:w="55" w:type="dxa"/>
              <w:start w:w="75" w:type="dxa"/>
              <w:bottom w:w="55" w:type="dxa"/>
              <w:end w:w="75" w:type="dxa"/>
            </w:tcMar>
            <w:vAlign w:val="center"/>
          </w:tcPr>
          <w:p>
            <w:r>
              <w:rPr>
                <w:b/>
                <w:color w:val="FFFFFF"/>
                <w:sz w:val="14"/>
              </w:rPr>
              <w:t>Focus</w:t>
            </w:r>
          </w:p>
        </w:tc>
        <w:tc>
          <w:tcPr>
            <w:tcW w:type="dxa" w:w="5688"/>
            <w:shd w:fill="176B87"/>
            <w:tcMar>
              <w:top w:w="55" w:type="dxa"/>
              <w:start w:w="75" w:type="dxa"/>
              <w:bottom w:w="55" w:type="dxa"/>
              <w:end w:w="75" w:type="dxa"/>
            </w:tcMar>
            <w:vAlign w:val="center"/>
          </w:tcPr>
          <w:p>
            <w:r>
              <w:rPr>
                <w:b/>
                <w:color w:val="FFFFFF"/>
                <w:sz w:val="14"/>
              </w:rPr>
              <w:t>Required output</w:t>
            </w:r>
          </w:p>
        </w:tc>
      </w:tr>
      <w:tr>
        <w:trPr>
          <w:cantSplit/>
        </w:trPr>
        <w:tc>
          <w:tcPr>
            <w:tcW w:type="dxa" w:w="1080"/>
            <w:tcMar>
              <w:top w:w="55" w:type="dxa"/>
              <w:start w:w="75" w:type="dxa"/>
              <w:bottom w:w="55" w:type="dxa"/>
              <w:end w:w="75" w:type="dxa"/>
            </w:tcMar>
            <w:vAlign w:val="top"/>
          </w:tcPr>
          <w:p>
            <w:r>
              <w:rPr>
                <w:sz w:val="14"/>
              </w:rPr>
              <w:t>1-5</w:t>
            </w:r>
          </w:p>
        </w:tc>
        <w:tc>
          <w:tcPr>
            <w:tcW w:type="dxa" w:w="3312"/>
            <w:tcMar>
              <w:top w:w="55" w:type="dxa"/>
              <w:start w:w="75" w:type="dxa"/>
              <w:bottom w:w="55" w:type="dxa"/>
              <w:end w:w="75" w:type="dxa"/>
            </w:tcMar>
            <w:vAlign w:val="top"/>
          </w:tcPr>
          <w:p>
            <w:r>
              <w:rPr>
                <w:sz w:val="14"/>
              </w:rPr>
              <w:t>Concepts, users and current-state discovery</w:t>
            </w:r>
          </w:p>
        </w:tc>
        <w:tc>
          <w:tcPr>
            <w:tcW w:type="dxa" w:w="5688"/>
            <w:tcMar>
              <w:top w:w="55" w:type="dxa"/>
              <w:start w:w="75" w:type="dxa"/>
              <w:bottom w:w="55" w:type="dxa"/>
              <w:end w:w="75" w:type="dxa"/>
            </w:tcMar>
            <w:vAlign w:val="top"/>
          </w:tcPr>
          <w:p>
            <w:r>
              <w:rPr>
                <w:sz w:val="14"/>
              </w:rPr>
              <w:t>Research notes, value stream and capability map</w:t>
            </w:r>
          </w:p>
        </w:tc>
      </w:tr>
      <w:tr>
        <w:trPr>
          <w:cantSplit/>
        </w:trPr>
        <w:tc>
          <w:tcPr>
            <w:tcW w:type="dxa" w:w="1080"/>
            <w:tcMar>
              <w:top w:w="55" w:type="dxa"/>
              <w:start w:w="75" w:type="dxa"/>
              <w:bottom w:w="55" w:type="dxa"/>
              <w:end w:w="75" w:type="dxa"/>
            </w:tcMar>
            <w:vAlign w:val="top"/>
          </w:tcPr>
          <w:p>
            <w:r>
              <w:rPr>
                <w:sz w:val="14"/>
              </w:rPr>
              <w:t>6-10</w:t>
            </w:r>
          </w:p>
        </w:tc>
        <w:tc>
          <w:tcPr>
            <w:tcW w:type="dxa" w:w="3312"/>
            <w:tcMar>
              <w:top w:w="55" w:type="dxa"/>
              <w:start w:w="75" w:type="dxa"/>
              <w:bottom w:w="55" w:type="dxa"/>
              <w:end w:w="75" w:type="dxa"/>
            </w:tcMar>
            <w:vAlign w:val="top"/>
          </w:tcPr>
          <w:p>
            <w:r>
              <w:rPr>
                <w:sz w:val="14"/>
              </w:rPr>
              <w:t>Architecture and service contracts</w:t>
            </w:r>
          </w:p>
        </w:tc>
        <w:tc>
          <w:tcPr>
            <w:tcW w:type="dxa" w:w="5688"/>
            <w:tcMar>
              <w:top w:w="55" w:type="dxa"/>
              <w:start w:w="75" w:type="dxa"/>
              <w:bottom w:w="55" w:type="dxa"/>
              <w:end w:w="75" w:type="dxa"/>
            </w:tcMar>
            <w:vAlign w:val="top"/>
          </w:tcPr>
          <w:p>
            <w:r>
              <w:rPr>
                <w:sz w:val="14"/>
              </w:rPr>
              <w:t>Diagrams, API/schema and ADRs</w:t>
            </w:r>
          </w:p>
        </w:tc>
      </w:tr>
      <w:tr>
        <w:trPr>
          <w:cantSplit/>
        </w:trPr>
        <w:tc>
          <w:tcPr>
            <w:tcW w:type="dxa" w:w="1080"/>
            <w:tcMar>
              <w:top w:w="55" w:type="dxa"/>
              <w:start w:w="75" w:type="dxa"/>
              <w:bottom w:w="55" w:type="dxa"/>
              <w:end w:w="75" w:type="dxa"/>
            </w:tcMar>
            <w:vAlign w:val="top"/>
          </w:tcPr>
          <w:p>
            <w:r>
              <w:rPr>
                <w:sz w:val="14"/>
              </w:rPr>
              <w:t>11-16</w:t>
            </w:r>
          </w:p>
        </w:tc>
        <w:tc>
          <w:tcPr>
            <w:tcW w:type="dxa" w:w="3312"/>
            <w:tcMar>
              <w:top w:w="55" w:type="dxa"/>
              <w:start w:w="75" w:type="dxa"/>
              <w:bottom w:w="55" w:type="dxa"/>
              <w:end w:w="75" w:type="dxa"/>
            </w:tcMar>
            <w:vAlign w:val="top"/>
          </w:tcPr>
          <w:p>
            <w:r>
              <w:rPr>
                <w:sz w:val="14"/>
              </w:rPr>
              <w:t>Implementation and automation</w:t>
            </w:r>
          </w:p>
        </w:tc>
        <w:tc>
          <w:tcPr>
            <w:tcW w:type="dxa" w:w="5688"/>
            <w:tcMar>
              <w:top w:w="55" w:type="dxa"/>
              <w:start w:w="75" w:type="dxa"/>
              <w:bottom w:w="55" w:type="dxa"/>
              <w:end w:w="75" w:type="dxa"/>
            </w:tcMar>
            <w:vAlign w:val="top"/>
          </w:tcPr>
          <w:p>
            <w:r>
              <w:rPr>
                <w:sz w:val="14"/>
              </w:rPr>
              <w:t>Working sandbox or detailed simulation</w:t>
            </w:r>
          </w:p>
        </w:tc>
      </w:tr>
      <w:tr>
        <w:trPr>
          <w:cantSplit/>
        </w:trPr>
        <w:tc>
          <w:tcPr>
            <w:tcW w:type="dxa" w:w="1080"/>
            <w:tcMar>
              <w:top w:w="55" w:type="dxa"/>
              <w:start w:w="75" w:type="dxa"/>
              <w:bottom w:w="55" w:type="dxa"/>
              <w:end w:w="75" w:type="dxa"/>
            </w:tcMar>
            <w:vAlign w:val="top"/>
          </w:tcPr>
          <w:p>
            <w:r>
              <w:rPr>
                <w:sz w:val="14"/>
              </w:rPr>
              <w:t>17-21</w:t>
            </w:r>
          </w:p>
        </w:tc>
        <w:tc>
          <w:tcPr>
            <w:tcW w:type="dxa" w:w="3312"/>
            <w:tcMar>
              <w:top w:w="55" w:type="dxa"/>
              <w:start w:w="75" w:type="dxa"/>
              <w:bottom w:w="55" w:type="dxa"/>
              <w:end w:w="75" w:type="dxa"/>
            </w:tcMar>
            <w:vAlign w:val="top"/>
          </w:tcPr>
          <w:p>
            <w:r>
              <w:rPr>
                <w:sz w:val="14"/>
              </w:rPr>
              <w:t>Security, policy and governance</w:t>
            </w:r>
          </w:p>
        </w:tc>
        <w:tc>
          <w:tcPr>
            <w:tcW w:type="dxa" w:w="5688"/>
            <w:tcMar>
              <w:top w:w="55" w:type="dxa"/>
              <w:start w:w="75" w:type="dxa"/>
              <w:bottom w:w="55" w:type="dxa"/>
              <w:end w:w="75" w:type="dxa"/>
            </w:tcMar>
            <w:vAlign w:val="top"/>
          </w:tcPr>
          <w:p>
            <w:r>
              <w:rPr>
                <w:sz w:val="14"/>
              </w:rPr>
              <w:t>Threat model, policy tests and exceptions</w:t>
            </w:r>
          </w:p>
        </w:tc>
      </w:tr>
      <w:tr>
        <w:trPr>
          <w:cantSplit/>
        </w:trPr>
        <w:tc>
          <w:tcPr>
            <w:tcW w:type="dxa" w:w="1080"/>
            <w:tcMar>
              <w:top w:w="55" w:type="dxa"/>
              <w:start w:w="75" w:type="dxa"/>
              <w:bottom w:w="55" w:type="dxa"/>
              <w:end w:w="75" w:type="dxa"/>
            </w:tcMar>
            <w:vAlign w:val="top"/>
          </w:tcPr>
          <w:p>
            <w:r>
              <w:rPr>
                <w:sz w:val="14"/>
              </w:rPr>
              <w:t>22-26</w:t>
            </w:r>
          </w:p>
        </w:tc>
        <w:tc>
          <w:tcPr>
            <w:tcW w:type="dxa" w:w="3312"/>
            <w:tcMar>
              <w:top w:w="55" w:type="dxa"/>
              <w:start w:w="75" w:type="dxa"/>
              <w:bottom w:w="55" w:type="dxa"/>
              <w:end w:w="75" w:type="dxa"/>
            </w:tcMar>
            <w:vAlign w:val="top"/>
          </w:tcPr>
          <w:p>
            <w:r>
              <w:rPr>
                <w:sz w:val="14"/>
              </w:rPr>
              <w:t>Reliability, telemetry and recovery</w:t>
            </w:r>
          </w:p>
        </w:tc>
        <w:tc>
          <w:tcPr>
            <w:tcW w:type="dxa" w:w="5688"/>
            <w:tcMar>
              <w:top w:w="55" w:type="dxa"/>
              <w:start w:w="75" w:type="dxa"/>
              <w:bottom w:w="55" w:type="dxa"/>
              <w:end w:w="75" w:type="dxa"/>
            </w:tcMar>
            <w:vAlign w:val="top"/>
          </w:tcPr>
          <w:p>
            <w:r>
              <w:rPr>
                <w:sz w:val="14"/>
              </w:rPr>
              <w:t>SLOs, dashboards and failure drill</w:t>
            </w:r>
          </w:p>
        </w:tc>
      </w:tr>
      <w:tr>
        <w:trPr>
          <w:cantSplit/>
        </w:trPr>
        <w:tc>
          <w:tcPr>
            <w:tcW w:type="dxa" w:w="1080"/>
            <w:tcMar>
              <w:top w:w="55" w:type="dxa"/>
              <w:start w:w="75" w:type="dxa"/>
              <w:bottom w:w="55" w:type="dxa"/>
              <w:end w:w="75" w:type="dxa"/>
            </w:tcMar>
            <w:vAlign w:val="top"/>
          </w:tcPr>
          <w:p>
            <w:r>
              <w:rPr>
                <w:sz w:val="14"/>
              </w:rPr>
              <w:t>27-31</w:t>
            </w:r>
          </w:p>
        </w:tc>
        <w:tc>
          <w:tcPr>
            <w:tcW w:type="dxa" w:w="3312"/>
            <w:tcMar>
              <w:top w:w="55" w:type="dxa"/>
              <w:start w:w="75" w:type="dxa"/>
              <w:bottom w:w="55" w:type="dxa"/>
              <w:end w:w="75" w:type="dxa"/>
            </w:tcMar>
            <w:vAlign w:val="top"/>
          </w:tcPr>
          <w:p>
            <w:r>
              <w:rPr>
                <w:sz w:val="14"/>
              </w:rPr>
              <w:t>Cost, capacity and lifecycle</w:t>
            </w:r>
          </w:p>
        </w:tc>
        <w:tc>
          <w:tcPr>
            <w:tcW w:type="dxa" w:w="5688"/>
            <w:tcMar>
              <w:top w:w="55" w:type="dxa"/>
              <w:start w:w="75" w:type="dxa"/>
              <w:bottom w:w="55" w:type="dxa"/>
              <w:end w:w="75" w:type="dxa"/>
            </w:tcMar>
            <w:vAlign w:val="top"/>
          </w:tcPr>
          <w:p>
            <w:r>
              <w:rPr>
                <w:sz w:val="14"/>
              </w:rPr>
              <w:t>Unit cost, quota and deprecation plan</w:t>
            </w:r>
          </w:p>
        </w:tc>
      </w:tr>
      <w:tr>
        <w:trPr>
          <w:cantSplit/>
        </w:trPr>
        <w:tc>
          <w:tcPr>
            <w:tcW w:type="dxa" w:w="1080"/>
            <w:tcMar>
              <w:top w:w="55" w:type="dxa"/>
              <w:start w:w="75" w:type="dxa"/>
              <w:bottom w:w="55" w:type="dxa"/>
              <w:end w:w="75" w:type="dxa"/>
            </w:tcMar>
            <w:vAlign w:val="top"/>
          </w:tcPr>
          <w:p>
            <w:r>
              <w:rPr>
                <w:sz w:val="14"/>
              </w:rPr>
              <w:t>32-36</w:t>
            </w:r>
          </w:p>
        </w:tc>
        <w:tc>
          <w:tcPr>
            <w:tcW w:type="dxa" w:w="3312"/>
            <w:tcMar>
              <w:top w:w="55" w:type="dxa"/>
              <w:start w:w="75" w:type="dxa"/>
              <w:bottom w:w="55" w:type="dxa"/>
              <w:end w:w="75" w:type="dxa"/>
            </w:tcMar>
            <w:vAlign w:val="top"/>
          </w:tcPr>
          <w:p>
            <w:r>
              <w:rPr>
                <w:sz w:val="14"/>
              </w:rPr>
              <w:t>Adoption, people and operating model</w:t>
            </w:r>
          </w:p>
        </w:tc>
        <w:tc>
          <w:tcPr>
            <w:tcW w:type="dxa" w:w="5688"/>
            <w:tcMar>
              <w:top w:w="55" w:type="dxa"/>
              <w:start w:w="75" w:type="dxa"/>
              <w:bottom w:w="55" w:type="dxa"/>
              <w:end w:w="75" w:type="dxa"/>
            </w:tcMar>
            <w:vAlign w:val="top"/>
          </w:tcPr>
          <w:p>
            <w:r>
              <w:rPr>
                <w:sz w:val="14"/>
              </w:rPr>
              <w:t>RACI, support and change plan</w:t>
            </w:r>
          </w:p>
        </w:tc>
      </w:tr>
      <w:tr>
        <w:trPr>
          <w:cantSplit/>
        </w:trPr>
        <w:tc>
          <w:tcPr>
            <w:tcW w:type="dxa" w:w="1080"/>
            <w:tcMar>
              <w:top w:w="55" w:type="dxa"/>
              <w:start w:w="75" w:type="dxa"/>
              <w:bottom w:w="55" w:type="dxa"/>
              <w:end w:w="75" w:type="dxa"/>
            </w:tcMar>
            <w:vAlign w:val="top"/>
          </w:tcPr>
          <w:p>
            <w:r>
              <w:rPr>
                <w:sz w:val="14"/>
              </w:rPr>
              <w:t>37-41</w:t>
            </w:r>
          </w:p>
        </w:tc>
        <w:tc>
          <w:tcPr>
            <w:tcW w:type="dxa" w:w="3312"/>
            <w:tcMar>
              <w:top w:w="55" w:type="dxa"/>
              <w:start w:w="75" w:type="dxa"/>
              <w:bottom w:w="55" w:type="dxa"/>
              <w:end w:w="75" w:type="dxa"/>
            </w:tcMar>
            <w:vAlign w:val="top"/>
          </w:tcPr>
          <w:p>
            <w:r>
              <w:rPr>
                <w:sz w:val="14"/>
              </w:rPr>
              <w:t>Troubleshooting and interview practice</w:t>
            </w:r>
          </w:p>
        </w:tc>
        <w:tc>
          <w:tcPr>
            <w:tcW w:type="dxa" w:w="5688"/>
            <w:tcMar>
              <w:top w:w="55" w:type="dxa"/>
              <w:start w:w="75" w:type="dxa"/>
              <w:bottom w:w="55" w:type="dxa"/>
              <w:end w:w="75" w:type="dxa"/>
            </w:tcMar>
            <w:vAlign w:val="top"/>
          </w:tcPr>
          <w:p>
            <w:r>
              <w:rPr>
                <w:sz w:val="14"/>
              </w:rPr>
              <w:t>Timed investigation and interview notes</w:t>
            </w:r>
          </w:p>
        </w:tc>
      </w:tr>
      <w:tr>
        <w:trPr>
          <w:cantSplit/>
        </w:trPr>
        <w:tc>
          <w:tcPr>
            <w:tcW w:type="dxa" w:w="1080"/>
            <w:tcMar>
              <w:top w:w="55" w:type="dxa"/>
              <w:start w:w="75" w:type="dxa"/>
              <w:bottom w:w="55" w:type="dxa"/>
              <w:end w:w="75" w:type="dxa"/>
            </w:tcMar>
            <w:vAlign w:val="top"/>
          </w:tcPr>
          <w:p>
            <w:r>
              <w:rPr>
                <w:sz w:val="14"/>
              </w:rPr>
              <w:t>42-45</w:t>
            </w:r>
          </w:p>
        </w:tc>
        <w:tc>
          <w:tcPr>
            <w:tcW w:type="dxa" w:w="3312"/>
            <w:tcMar>
              <w:top w:w="55" w:type="dxa"/>
              <w:start w:w="75" w:type="dxa"/>
              <w:bottom w:w="55" w:type="dxa"/>
              <w:end w:w="75" w:type="dxa"/>
            </w:tcMar>
            <w:vAlign w:val="top"/>
          </w:tcPr>
          <w:p>
            <w:r>
              <w:rPr>
                <w:sz w:val="14"/>
              </w:rPr>
              <w:t>Capstone and portfolio</w:t>
            </w:r>
          </w:p>
        </w:tc>
        <w:tc>
          <w:tcPr>
            <w:tcW w:type="dxa" w:w="5688"/>
            <w:tcMar>
              <w:top w:w="55" w:type="dxa"/>
              <w:start w:w="75" w:type="dxa"/>
              <w:bottom w:w="55" w:type="dxa"/>
              <w:end w:w="75" w:type="dxa"/>
            </w:tcMar>
            <w:vAlign w:val="top"/>
          </w:tcPr>
          <w:p>
            <w:r>
              <w:rPr>
                <w:sz w:val="14"/>
              </w:rPr>
              <w:t>Final defense, cleanup and sanitized evidence pack</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55" w:type="dxa"/>
              <w:start w:w="75" w:type="dxa"/>
              <w:bottom w:w="55" w:type="dxa"/>
              <w:end w:w="75" w:type="dxa"/>
            </w:tcMar>
            <w:vAlign w:val="center"/>
          </w:tcPr>
          <w:p>
            <w:r>
              <w:rPr>
                <w:b/>
                <w:color w:val="FFFFFF"/>
                <w:sz w:val="14"/>
              </w:rPr>
              <w:t>Term</w:t>
            </w:r>
          </w:p>
        </w:tc>
        <w:tc>
          <w:tcPr>
            <w:tcW w:type="dxa" w:w="7848"/>
            <w:shd w:fill="176B87"/>
            <w:tcMar>
              <w:top w:w="55" w:type="dxa"/>
              <w:start w:w="75" w:type="dxa"/>
              <w:bottom w:w="55" w:type="dxa"/>
              <w:end w:w="75" w:type="dxa"/>
            </w:tcMar>
            <w:vAlign w:val="center"/>
          </w:tcPr>
          <w:p>
            <w:r>
              <w:rPr>
                <w:b/>
                <w:color w:val="FFFFFF"/>
                <w:sz w:val="14"/>
              </w:rPr>
              <w:t>Definition</w:t>
            </w:r>
          </w:p>
        </w:tc>
      </w:tr>
      <w:tr>
        <w:trPr>
          <w:cantSplit/>
        </w:trPr>
        <w:tc>
          <w:tcPr>
            <w:tcW w:type="dxa" w:w="2088"/>
            <w:tcMar>
              <w:top w:w="55" w:type="dxa"/>
              <w:start w:w="75" w:type="dxa"/>
              <w:bottom w:w="55" w:type="dxa"/>
              <w:end w:w="75" w:type="dxa"/>
            </w:tcMar>
            <w:vAlign w:val="top"/>
          </w:tcPr>
          <w:p>
            <w:r>
              <w:rPr>
                <w:sz w:val="14"/>
              </w:rPr>
              <w:t>Control plane</w:t>
            </w:r>
          </w:p>
        </w:tc>
        <w:tc>
          <w:tcPr>
            <w:tcW w:type="dxa" w:w="7848"/>
            <w:tcMar>
              <w:top w:w="55" w:type="dxa"/>
              <w:start w:w="75" w:type="dxa"/>
              <w:bottom w:w="55" w:type="dxa"/>
              <w:end w:w="75" w:type="dxa"/>
            </w:tcMar>
            <w:vAlign w:val="top"/>
          </w:tcPr>
          <w:p>
            <w:r>
              <w:rPr>
                <w:sz w:val="14"/>
              </w:rPr>
              <w:t>The APIs and controllers that accept desired state and coordinate execution.</w:t>
            </w:r>
          </w:p>
        </w:tc>
      </w:tr>
      <w:tr>
        <w:trPr>
          <w:cantSplit/>
        </w:trPr>
        <w:tc>
          <w:tcPr>
            <w:tcW w:type="dxa" w:w="2088"/>
            <w:tcMar>
              <w:top w:w="55" w:type="dxa"/>
              <w:start w:w="75" w:type="dxa"/>
              <w:bottom w:w="55" w:type="dxa"/>
              <w:end w:w="75" w:type="dxa"/>
            </w:tcMar>
            <w:vAlign w:val="top"/>
          </w:tcPr>
          <w:p>
            <w:r>
              <w:rPr>
                <w:sz w:val="14"/>
              </w:rPr>
              <w:t>Developer portal</w:t>
            </w:r>
          </w:p>
        </w:tc>
        <w:tc>
          <w:tcPr>
            <w:tcW w:type="dxa" w:w="7848"/>
            <w:tcMar>
              <w:top w:w="55" w:type="dxa"/>
              <w:start w:w="75" w:type="dxa"/>
              <w:bottom w:w="55" w:type="dxa"/>
              <w:end w:w="75" w:type="dxa"/>
            </w:tcMar>
            <w:vAlign w:val="top"/>
          </w:tcPr>
          <w:p>
            <w:r>
              <w:rPr>
                <w:sz w:val="14"/>
              </w:rPr>
              <w:t>A user interface that aggregates catalog, documentation, workflows and operational context.</w:t>
            </w:r>
          </w:p>
        </w:tc>
      </w:tr>
      <w:tr>
        <w:trPr>
          <w:cantSplit/>
        </w:trPr>
        <w:tc>
          <w:tcPr>
            <w:tcW w:type="dxa" w:w="2088"/>
            <w:tcMar>
              <w:top w:w="55" w:type="dxa"/>
              <w:start w:w="75" w:type="dxa"/>
              <w:bottom w:w="55" w:type="dxa"/>
              <w:end w:w="75" w:type="dxa"/>
            </w:tcMar>
            <w:vAlign w:val="top"/>
          </w:tcPr>
          <w:p>
            <w:r>
              <w:rPr>
                <w:sz w:val="14"/>
              </w:rPr>
              <w:t>Internal developer platform</w:t>
            </w:r>
          </w:p>
        </w:tc>
        <w:tc>
          <w:tcPr>
            <w:tcW w:type="dxa" w:w="7848"/>
            <w:tcMar>
              <w:top w:w="55" w:type="dxa"/>
              <w:start w:w="75" w:type="dxa"/>
              <w:bottom w:w="55" w:type="dxa"/>
              <w:end w:w="75" w:type="dxa"/>
            </w:tcMar>
            <w:vAlign w:val="top"/>
          </w:tcPr>
          <w:p>
            <w:r>
              <w:rPr>
                <w:sz w:val="14"/>
              </w:rPr>
              <w:t>The integrated products, APIs, automation and processes that support software delivery.</w:t>
            </w:r>
          </w:p>
        </w:tc>
      </w:tr>
      <w:tr>
        <w:trPr>
          <w:cantSplit/>
        </w:trPr>
        <w:tc>
          <w:tcPr>
            <w:tcW w:type="dxa" w:w="2088"/>
            <w:tcMar>
              <w:top w:w="55" w:type="dxa"/>
              <w:start w:w="75" w:type="dxa"/>
              <w:bottom w:w="55" w:type="dxa"/>
              <w:end w:w="75" w:type="dxa"/>
            </w:tcMar>
            <w:vAlign w:val="top"/>
          </w:tcPr>
          <w:p>
            <w:r>
              <w:rPr>
                <w:sz w:val="14"/>
              </w:rPr>
              <w:t>Golden path</w:t>
            </w:r>
          </w:p>
        </w:tc>
        <w:tc>
          <w:tcPr>
            <w:tcW w:type="dxa" w:w="7848"/>
            <w:tcMar>
              <w:top w:w="55" w:type="dxa"/>
              <w:start w:w="75" w:type="dxa"/>
              <w:bottom w:w="55" w:type="dxa"/>
              <w:end w:w="75" w:type="dxa"/>
            </w:tcMar>
            <w:vAlign w:val="top"/>
          </w:tcPr>
          <w:p>
            <w:r>
              <w:rPr>
                <w:sz w:val="14"/>
              </w:rPr>
              <w:t>An opinionated, supported default journey for a common engineering task.</w:t>
            </w:r>
          </w:p>
        </w:tc>
      </w:tr>
      <w:tr>
        <w:trPr>
          <w:cantSplit/>
        </w:trPr>
        <w:tc>
          <w:tcPr>
            <w:tcW w:type="dxa" w:w="2088"/>
            <w:tcMar>
              <w:top w:w="55" w:type="dxa"/>
              <w:start w:w="75" w:type="dxa"/>
              <w:bottom w:w="55" w:type="dxa"/>
              <w:end w:w="75" w:type="dxa"/>
            </w:tcMar>
            <w:vAlign w:val="top"/>
          </w:tcPr>
          <w:p>
            <w:r>
              <w:rPr>
                <w:sz w:val="14"/>
              </w:rPr>
              <w:t>Data product</w:t>
            </w:r>
          </w:p>
        </w:tc>
        <w:tc>
          <w:tcPr>
            <w:tcW w:type="dxa" w:w="7848"/>
            <w:tcMar>
              <w:top w:w="55" w:type="dxa"/>
              <w:start w:w="75" w:type="dxa"/>
              <w:bottom w:w="55" w:type="dxa"/>
              <w:end w:w="75" w:type="dxa"/>
            </w:tcMar>
            <w:vAlign w:val="top"/>
          </w:tcPr>
          <w:p>
            <w:r>
              <w:rPr>
                <w:sz w:val="14"/>
              </w:rPr>
              <w:t>An owned data asset or interface with consumers, quality, documentation and lifecycle.</w:t>
            </w:r>
          </w:p>
        </w:tc>
      </w:tr>
      <w:tr>
        <w:trPr>
          <w:cantSplit/>
        </w:trPr>
        <w:tc>
          <w:tcPr>
            <w:tcW w:type="dxa" w:w="2088"/>
            <w:tcMar>
              <w:top w:w="55" w:type="dxa"/>
              <w:start w:w="75" w:type="dxa"/>
              <w:bottom w:w="55" w:type="dxa"/>
              <w:end w:w="75" w:type="dxa"/>
            </w:tcMar>
            <w:vAlign w:val="top"/>
          </w:tcPr>
          <w:p>
            <w:r>
              <w:rPr>
                <w:sz w:val="14"/>
              </w:rPr>
              <w:t>MLOps</w:t>
            </w:r>
          </w:p>
        </w:tc>
        <w:tc>
          <w:tcPr>
            <w:tcW w:type="dxa" w:w="7848"/>
            <w:tcMar>
              <w:top w:w="55" w:type="dxa"/>
              <w:start w:w="75" w:type="dxa"/>
              <w:bottom w:w="55" w:type="dxa"/>
              <w:end w:w="75" w:type="dxa"/>
            </w:tcMar>
            <w:vAlign w:val="top"/>
          </w:tcPr>
          <w:p>
            <w:r>
              <w:rPr>
                <w:sz w:val="14"/>
              </w:rPr>
              <w:t>Practices and systems for reproducible, governed delivery and operation of machine-learning models.</w:t>
            </w:r>
          </w:p>
        </w:tc>
      </w:tr>
      <w:tr>
        <w:trPr>
          <w:cantSplit/>
        </w:trPr>
        <w:tc>
          <w:tcPr>
            <w:tcW w:type="dxa" w:w="2088"/>
            <w:tcMar>
              <w:top w:w="55" w:type="dxa"/>
              <w:start w:w="75" w:type="dxa"/>
              <w:bottom w:w="55" w:type="dxa"/>
              <w:end w:w="75" w:type="dxa"/>
            </w:tcMar>
            <w:vAlign w:val="top"/>
          </w:tcPr>
          <w:p>
            <w:r>
              <w:rPr>
                <w:sz w:val="14"/>
              </w:rPr>
              <w:t>LLMOps</w:t>
            </w:r>
          </w:p>
        </w:tc>
        <w:tc>
          <w:tcPr>
            <w:tcW w:type="dxa" w:w="7848"/>
            <w:tcMar>
              <w:top w:w="55" w:type="dxa"/>
              <w:start w:w="75" w:type="dxa"/>
              <w:bottom w:w="55" w:type="dxa"/>
              <w:end w:w="75" w:type="dxa"/>
            </w:tcMar>
            <w:vAlign w:val="top"/>
          </w:tcPr>
          <w:p>
            <w:r>
              <w:rPr>
                <w:sz w:val="14"/>
              </w:rPr>
              <w:t>Lifecycle, evaluation, deployment, observability, safety and cost practices for LLM applications.</w:t>
            </w:r>
          </w:p>
        </w:tc>
      </w:tr>
      <w:tr>
        <w:trPr>
          <w:cantSplit/>
        </w:trPr>
        <w:tc>
          <w:tcPr>
            <w:tcW w:type="dxa" w:w="2088"/>
            <w:tcMar>
              <w:top w:w="55" w:type="dxa"/>
              <w:start w:w="75" w:type="dxa"/>
              <w:bottom w:w="55" w:type="dxa"/>
              <w:end w:w="75" w:type="dxa"/>
            </w:tcMar>
            <w:vAlign w:val="top"/>
          </w:tcPr>
          <w:p>
            <w:r>
              <w:rPr>
                <w:sz w:val="14"/>
              </w:rPr>
              <w:t>Sociotechnical system</w:t>
            </w:r>
          </w:p>
        </w:tc>
        <w:tc>
          <w:tcPr>
            <w:tcW w:type="dxa" w:w="7848"/>
            <w:tcMar>
              <w:top w:w="55" w:type="dxa"/>
              <w:start w:w="75" w:type="dxa"/>
              <w:bottom w:w="55" w:type="dxa"/>
              <w:end w:w="75" w:type="dxa"/>
            </w:tcMar>
            <w:vAlign w:val="top"/>
          </w:tcPr>
          <w:p>
            <w:r>
              <w:rPr>
                <w:sz w:val="14"/>
              </w:rPr>
              <w:t>A system whose outcomes emerge from interactions among people, process, incentives and technology.</w:t>
            </w:r>
          </w:p>
        </w:tc>
      </w:tr>
      <w:tr>
        <w:trPr>
          <w:cantSplit/>
        </w:trPr>
        <w:tc>
          <w:tcPr>
            <w:tcW w:type="dxa" w:w="2088"/>
            <w:tcMar>
              <w:top w:w="55" w:type="dxa"/>
              <w:start w:w="75" w:type="dxa"/>
              <w:bottom w:w="55" w:type="dxa"/>
              <w:end w:w="75" w:type="dxa"/>
            </w:tcMar>
            <w:vAlign w:val="top"/>
          </w:tcPr>
          <w:p>
            <w:r>
              <w:rPr>
                <w:sz w:val="14"/>
              </w:rPr>
              <w:t>Unit economics</w:t>
            </w:r>
          </w:p>
        </w:tc>
        <w:tc>
          <w:tcPr>
            <w:tcW w:type="dxa" w:w="7848"/>
            <w:tcMar>
              <w:top w:w="55" w:type="dxa"/>
              <w:start w:w="75" w:type="dxa"/>
              <w:bottom w:w="55" w:type="dxa"/>
              <w:end w:w="75" w:type="dxa"/>
            </w:tcMar>
            <w:vAlign w:val="top"/>
          </w:tcPr>
          <w:p>
            <w:r>
              <w:rPr>
                <w:sz w:val="14"/>
              </w:rPr>
              <w:t>Cost and value measured per meaningful business or technical output.</w:t>
            </w:r>
          </w:p>
        </w:tc>
      </w:tr>
      <w:tr>
        <w:trPr>
          <w:cantSplit/>
        </w:trPr>
        <w:tc>
          <w:tcPr>
            <w:tcW w:type="dxa" w:w="2088"/>
            <w:tcMar>
              <w:top w:w="55" w:type="dxa"/>
              <w:start w:w="75" w:type="dxa"/>
              <w:bottom w:w="55" w:type="dxa"/>
              <w:end w:w="75" w:type="dxa"/>
            </w:tcMar>
            <w:vAlign w:val="top"/>
          </w:tcPr>
          <w:p>
            <w:r>
              <w:rPr>
                <w:sz w:val="14"/>
              </w:rPr>
              <w:t>Error budget</w:t>
            </w:r>
          </w:p>
        </w:tc>
        <w:tc>
          <w:tcPr>
            <w:tcW w:type="dxa" w:w="7848"/>
            <w:tcMar>
              <w:top w:w="55" w:type="dxa"/>
              <w:start w:w="75" w:type="dxa"/>
              <w:bottom w:w="55" w:type="dxa"/>
              <w:end w:w="75" w:type="dxa"/>
            </w:tcMar>
            <w:vAlign w:val="top"/>
          </w:tcPr>
          <w:p>
            <w:r>
              <w:rPr>
                <w:sz w:val="14"/>
              </w:rPr>
              <w:t>The allowed unreliability implied by a service-level objective.</w:t>
            </w:r>
          </w:p>
        </w:tc>
      </w:tr>
      <w:tr>
        <w:trPr>
          <w:cantSplit/>
        </w:trPr>
        <w:tc>
          <w:tcPr>
            <w:tcW w:type="dxa" w:w="2088"/>
            <w:tcMar>
              <w:top w:w="55" w:type="dxa"/>
              <w:start w:w="75" w:type="dxa"/>
              <w:bottom w:w="55" w:type="dxa"/>
              <w:end w:w="75" w:type="dxa"/>
            </w:tcMar>
            <w:vAlign w:val="top"/>
          </w:tcPr>
          <w:p>
            <w:r>
              <w:rPr>
                <w:sz w:val="14"/>
              </w:rPr>
              <w:t>Policy as code</w:t>
            </w:r>
          </w:p>
        </w:tc>
        <w:tc>
          <w:tcPr>
            <w:tcW w:type="dxa" w:w="7848"/>
            <w:tcMar>
              <w:top w:w="55" w:type="dxa"/>
              <w:start w:w="75" w:type="dxa"/>
              <w:bottom w:w="55" w:type="dxa"/>
              <w:end w:w="75" w:type="dxa"/>
            </w:tcMar>
            <w:vAlign w:val="top"/>
          </w:tcPr>
          <w:p>
            <w:r>
              <w:rPr>
                <w:sz w:val="14"/>
              </w:rPr>
              <w:t>Machine-testable policy stored, reviewed and promoted through version control.</w:t>
            </w:r>
          </w:p>
        </w:tc>
      </w:tr>
      <w:tr>
        <w:trPr>
          <w:cantSplit/>
        </w:trPr>
        <w:tc>
          <w:tcPr>
            <w:tcW w:type="dxa" w:w="2088"/>
            <w:tcMar>
              <w:top w:w="55" w:type="dxa"/>
              <w:start w:w="75" w:type="dxa"/>
              <w:bottom w:w="55" w:type="dxa"/>
              <w:end w:w="75" w:type="dxa"/>
            </w:tcMar>
            <w:vAlign w:val="top"/>
          </w:tcPr>
          <w:p>
            <w:r>
              <w:rPr>
                <w:sz w:val="14"/>
              </w:rPr>
              <w:t>Evidence pack</w:t>
            </w:r>
          </w:p>
        </w:tc>
        <w:tc>
          <w:tcPr>
            <w:tcW w:type="dxa" w:w="7848"/>
            <w:tcMar>
              <w:top w:w="55" w:type="dxa"/>
              <w:start w:w="75" w:type="dxa"/>
              <w:bottom w:w="55" w:type="dxa"/>
              <w:end w:w="75" w:type="dxa"/>
            </w:tcMar>
            <w:vAlign w:val="top"/>
          </w:tcPr>
          <w:p>
            <w:r>
              <w:rPr>
                <w:sz w:val="14"/>
              </w:rPr>
              <w:t>Sanitized architecture, configuration, test, telemetry and decision records used to prove readiness.</w:t>
            </w:r>
          </w:p>
        </w:tc>
      </w:tr>
    </w:tbl>
    <w:p>
      <w:pPr>
        <w:pStyle w:val="Heading1"/>
        <w:keepNext w:val="0"/>
      </w:pPr>
      <w:r>
        <w:t>Official Documentation Index</w:t>
      </w:r>
    </w:p>
    <w:p>
      <w:pPr>
        <w:keepNext w:val="0"/>
      </w:pPr>
      <w:r>
        <w:t>The following primary or official sources were consulted for this 2026 edition. Verify current versions, service behavior, prices, limits and certification objectives before use.</w:t>
      </w:r>
    </w:p>
    <w:p>
      <w:pPr>
        <w:pStyle w:val="ListBullet"/>
      </w:pPr>
      <w:hyperlink r:id="rId72">
        <w:r>
          <w:rPr>
            <w:color w:val="176B87"/>
            <w:u w:val="single"/>
          </w:rPr>
          <w:t>DORA Software Delivery Performance Metrics</w:t>
        </w:r>
      </w:hyperlink>
    </w:p>
    <w:p>
      <w:pPr>
        <w:pStyle w:val="ListBullet"/>
      </w:pPr>
      <w:hyperlink r:id="rId73">
        <w:r>
          <w:rPr>
            <w:color w:val="176B87"/>
            <w:u w:val="single"/>
          </w:rPr>
          <w:t>DORA Research</w:t>
        </w:r>
      </w:hyperlink>
    </w:p>
    <w:p>
      <w:pPr>
        <w:pStyle w:val="ListBullet"/>
      </w:pPr>
      <w:hyperlink r:id="rId74">
        <w:r>
          <w:rPr>
            <w:color w:val="176B87"/>
            <w:u w:val="single"/>
          </w:rPr>
          <w:t>Google Site Reliability Engineering</w:t>
        </w:r>
      </w:hyperlink>
    </w:p>
    <w:p>
      <w:pPr>
        <w:pStyle w:val="ListBullet"/>
      </w:pPr>
      <w:hyperlink r:id="rId75">
        <w:r>
          <w:rPr>
            <w:color w:val="176B87"/>
            <w:u w:val="single"/>
          </w:rPr>
          <w:t>Google SRE Workbook</w:t>
        </w:r>
      </w:hyperlink>
    </w:p>
    <w:p>
      <w:pPr>
        <w:pStyle w:val="ListBullet"/>
      </w:pPr>
      <w:hyperlink r:id="rId71">
        <w:r>
          <w:rPr>
            <w:color w:val="176B87"/>
            <w:u w:val="single"/>
          </w:rPr>
          <w:t>FinOps Framework</w:t>
        </w:r>
      </w:hyperlink>
    </w:p>
    <w:p>
      <w:pPr>
        <w:pStyle w:val="ListBullet"/>
      </w:pPr>
      <w:hyperlink r:id="rId76">
        <w:r>
          <w:rPr>
            <w:color w:val="176B87"/>
            <w:u w:val="single"/>
          </w:rPr>
          <w:t>FinOps Framework 2026 Update</w:t>
        </w:r>
      </w:hyperlink>
    </w:p>
    <w:p>
      <w:pPr>
        <w:pStyle w:val="ListBullet"/>
      </w:pPr>
      <w:hyperlink r:id="rId77">
        <w:r>
          <w:rPr>
            <w:color w:val="176B87"/>
            <w:u w:val="single"/>
          </w:rPr>
          <w:t>NIST Cybersecurity Framework 2.0</w:t>
        </w:r>
      </w:hyperlink>
    </w:p>
    <w:p>
      <w:pPr>
        <w:pStyle w:val="ListBullet"/>
      </w:pPr>
      <w:hyperlink r:id="rId78">
        <w:r>
          <w:rPr>
            <w:color w:val="176B87"/>
            <w:u w:val="single"/>
          </w:rPr>
          <w:t>CISA Secure by Design</w:t>
        </w:r>
      </w:hyperlink>
    </w:p>
    <w:p>
      <w:pPr>
        <w:pStyle w:val="ListBullet"/>
      </w:pPr>
      <w:hyperlink r:id="rId79">
        <w:r>
          <w:rPr>
            <w:color w:val="176B87"/>
            <w:u w:val="single"/>
          </w:rPr>
          <w:t>CNCF Cloud Native Maturity Model</w:t>
        </w:r>
      </w:hyperlink>
    </w:p>
    <w:p>
      <w:pPr>
        <w:pStyle w:val="ListBullet"/>
      </w:pPr>
      <w:hyperlink r:id="rId80">
        <w:r>
          <w:rPr>
            <w:color w:val="176B87"/>
            <w:u w:val="single"/>
          </w:rPr>
          <w:t>OpenGitOps Principles</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324D"/>
              </w:rPr>
              <w:t>Volume 15E completion: preserve your architecture, code or simulation, test evidence, recovery timeline, cost/value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15E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15E - ENTERPRISE EXECUTION, RESILIENCE AND EXECUTIVE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dora.dev/guides/dora-metrics/" TargetMode="External"/><Relationship Id="rId73" Type="http://schemas.openxmlformats.org/officeDocument/2006/relationships/hyperlink" Target="https://dora.dev/research/" TargetMode="External"/><Relationship Id="rId74" Type="http://schemas.openxmlformats.org/officeDocument/2006/relationships/hyperlink" Target="https://sre.google/sre-book/table-of-contents/" TargetMode="External"/><Relationship Id="rId75" Type="http://schemas.openxmlformats.org/officeDocument/2006/relationships/hyperlink" Target="https://sre.google/workbook/index/" TargetMode="External"/><Relationship Id="rId76" Type="http://schemas.openxmlformats.org/officeDocument/2006/relationships/hyperlink" Target="https://www.finops.org/insights/2026-finops-framework/" TargetMode="External"/><Relationship Id="rId77" Type="http://schemas.openxmlformats.org/officeDocument/2006/relationships/hyperlink" Target="https://www.nist.gov/cyberframework" TargetMode="External"/><Relationship Id="rId78" Type="http://schemas.openxmlformats.org/officeDocument/2006/relationships/hyperlink" Target="https://www.cisa.gov/securebydesign" TargetMode="External"/><Relationship Id="rId79" Type="http://schemas.openxmlformats.org/officeDocument/2006/relationships/hyperlink" Target="https://maturitymodel.cncf.io/" TargetMode="External"/><Relationship Id="rId80" Type="http://schemas.openxmlformats.org/officeDocument/2006/relationships/hyperlink" Target="https://opengitops.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15E - Enterprise Execution, Resilience and Executive Operations</dc:title>
  <dc:subject>Programs | Architecture | Policy | Incidents | Crisis | Resilience | M&amp;A | Regulation | AI</dc:subject>
  <dc:creator>OpenAI</dc:creator>
  <cp:keywords>DevOps, Platform Engineering, DataOps, MLOps, LLMOps, Leadership, Enterprise Transformation, SRE, Security, FinOps</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