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Display" w:hAnsi="Aptos Display"/>
          <w:b/>
          <w:color w:val="17365D"/>
          <w:sz w:val="38"/>
        </w:rPr>
        <w:t>DEVOPS MASTER COURSE</w:t>
      </w:r>
    </w:p>
    <w:p>
      <w:pPr>
        <w:spacing w:after="200"/>
        <w:jc w:val="center"/>
      </w:pPr>
      <w:r>
        <w:rPr>
          <w:rFonts w:ascii="Aptos Display" w:hAnsi="Aptos Display"/>
          <w:b/>
          <w:color w:val="0078D4"/>
          <w:sz w:val="50"/>
        </w:rPr>
        <w:t>Volume 7F</w:t>
      </w:r>
    </w:p>
    <w:p>
      <w:pPr>
        <w:spacing w:after="200"/>
        <w:jc w:val="center"/>
      </w:pPr>
      <w:r>
        <w:rPr>
          <w:rFonts w:ascii="Aptos Display" w:hAnsi="Aptos Display"/>
          <w:b/>
          <w:color w:val="17365D"/>
          <w:sz w:val="54"/>
        </w:rPr>
        <w:t>Azure Enterprise Projects &amp; Interview Mastery</w:t>
      </w:r>
    </w:p>
    <w:p>
      <w:pPr>
        <w:spacing w:after="600"/>
        <w:jc w:val="center"/>
      </w:pPr>
      <w:r>
        <w:rPr>
          <w:rFonts w:ascii="Aptos Display" w:hAnsi="Aptos Display"/>
          <w:b/>
          <w:color w:val="3A70B8"/>
          <w:sz w:val="36"/>
        </w:rPr>
        <w:t>Chapters 56-70</w:t>
      </w:r>
    </w:p>
    <w:tbl>
      <w:tblPr>
        <w:tblW w:type="auto" w:w="0"/>
        <w:jc w:val="center"/>
        <w:tblLayout w:type="fixed"/>
        <w:tblLook w:firstColumn="1" w:firstRow="1" w:lastColumn="0" w:lastRow="0" w:noHBand="0" w:noVBand="1" w:val="04A0"/>
      </w:tblPr>
      <w:tblGrid>
        <w:gridCol w:w="10166"/>
      </w:tblGrid>
      <w:tr>
        <w:tc>
          <w:tcPr>
            <w:tcW w:type="dxa" w:w="10080"/>
            <w:shd w:fill="0078D4"/>
            <w:tcMar>
              <w:top w:w="160" w:type="dxa"/>
              <w:start w:w="120" w:type="dxa"/>
              <w:bottom w:w="160" w:type="dxa"/>
              <w:end w:w="120" w:type="dxa"/>
            </w:tcMar>
          </w:tcPr>
          <w:p>
            <w:pPr>
              <w:jc w:val="center"/>
            </w:pPr>
            <w:r>
              <w:rPr>
                <w:b/>
                <w:color w:val="FFFFFF"/>
                <w:sz w:val="21"/>
              </w:rPr>
              <w:t>Architecture Decisions • Migration • Modernization • Global Reliability • Incidents • FinOps • Platform Engineering • Certifications • Interviews</w:t>
            </w:r>
          </w:p>
        </w:tc>
      </w:tr>
    </w:tbl>
    <w:p>
      <w:pPr>
        <w:spacing w:after="360"/>
        <w:jc w:val="center"/>
      </w:pPr>
      <w:r>
        <w:rPr>
          <w:rFonts w:ascii="Aptos Display" w:hAnsi="Aptos Display"/>
          <w:b w:val="0"/>
          <w:color w:val="505050"/>
          <w:sz w:val="22"/>
        </w:rPr>
        <w:t>2026 Edition</w:t>
      </w:r>
    </w:p>
    <w:p>
      <w:r>
        <w:br w:type="page"/>
      </w:r>
    </w:p>
    <w:p>
      <w:pPr>
        <w:pStyle w:val="Heading1"/>
      </w:pPr>
      <w:r>
        <w:t>About This Part</w:t>
      </w:r>
    </w:p>
    <w:p>
      <w:pPr>
        <w:spacing w:after="120"/>
      </w:pPr>
      <w:r>
        <w:rPr>
          <w:i w:val="0"/>
        </w:rPr>
        <w:t>Volume 7F is the final Azure section of the DevOps Master Course. It converts service knowledge into senior engineering judgment. The emphasis is on architecture trade-offs, operating models, incident leadership, measurable reliability, migration safety, financial accountability, and the ability to explain decisions under interview and review pressure.</w:t>
      </w:r>
    </w:p>
    <w:p>
      <w:pPr>
        <w:spacing w:after="120"/>
      </w:pPr>
      <w:r>
        <w:rPr>
          <w:i w:val="0"/>
        </w:rPr>
        <w:t>The projects are designed to become portfolio evidence. Each exercise should produce architecture diagrams, decision records, infrastructure-as-code, runbooks, test evidence, cost estimates, security controls, dashboards, recovery results, and a concise executive summary. A technically correct design without evidence, ownership, or recoverability is not considered production ready.</w:t>
      </w:r>
    </w:p>
    <w:p>
      <w:pPr>
        <w:pStyle w:val="Heading1"/>
      </w:pPr>
      <w:r>
        <w:t>Safety, Security, and Cost Controls</w:t>
      </w:r>
    </w:p>
    <w:p>
      <w:pPr>
        <w:pStyle w:val="ListBullet"/>
        <w:spacing w:after="60"/>
      </w:pPr>
      <w:r>
        <w:t>Run migration, chaos, failover, security-incident, and load-testing exercises only in approved nonproduction subscriptions with explicit stop conditions.</w:t>
      </w:r>
    </w:p>
    <w:p>
      <w:pPr>
        <w:pStyle w:val="ListBullet"/>
        <w:spacing w:after="60"/>
      </w:pPr>
      <w:r>
        <w:t>Use synthetic data, least-privilege identities, private endpoints where appropriate, and time-bound privileged access. Never place secrets or personal data in repositories, screenshots, telemetry, or portfolio artifacts.</w:t>
      </w:r>
    </w:p>
    <w:p>
      <w:pPr>
        <w:pStyle w:val="ListBullet"/>
        <w:spacing w:after="60"/>
      </w:pPr>
      <w:r>
        <w:t>Create budgets, expiry tags, cleanup owners, and automatic shutdown policies before deploying labs. Multi-region and performance exercises can create significant cost.</w:t>
      </w:r>
    </w:p>
    <w:p>
      <w:pPr>
        <w:pStyle w:val="ListBullet"/>
        <w:spacing w:after="60"/>
      </w:pPr>
      <w:r>
        <w:t>Document blast radius, rollback, recovery point objective, recovery time objective, and business owner before any destructive or traffic-changing test.</w:t>
      </w:r>
    </w:p>
    <w:p>
      <w:pPr>
        <w:pStyle w:val="ListBullet"/>
        <w:spacing w:after="60"/>
      </w:pPr>
      <w:r>
        <w:t>Validate current regional availability, service limits, licensing, pricing, preview status, and certification requirements in official Microsoft documentation before production or exam scheduling.</w:t>
      </w:r>
    </w:p>
    <w:p>
      <w:pPr>
        <w:pStyle w:val="Heading1"/>
      </w:pPr>
      <w:r>
        <w:t>Table of 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0078D4"/>
            <w:tcMar>
              <w:top w:w="80" w:type="dxa"/>
              <w:start w:w="100" w:type="dxa"/>
              <w:bottom w:w="80" w:type="dxa"/>
              <w:end w:w="100" w:type="dxa"/>
            </w:tcMar>
            <w:vAlign w:val="center"/>
          </w:tcPr>
          <w:p>
            <w:pPr>
              <w:jc w:val="center"/>
            </w:pPr>
            <w:r>
              <w:rPr>
                <w:b/>
                <w:color w:val="FFFFFF"/>
                <w:sz w:val="17"/>
              </w:rPr>
              <w:t>Chapter</w:t>
            </w:r>
          </w:p>
        </w:tc>
        <w:tc>
          <w:tcPr>
            <w:tcW w:type="dxa" w:w="8640"/>
            <w:shd w:fill="0078D4"/>
            <w:tcMar>
              <w:top w:w="80" w:type="dxa"/>
              <w:start w:w="100" w:type="dxa"/>
              <w:bottom w:w="80" w:type="dxa"/>
              <w:end w:w="100" w:type="dxa"/>
            </w:tcMar>
            <w:vAlign w:val="center"/>
          </w:tcPr>
          <w:p>
            <w:pPr>
              <w:jc w:val="center"/>
            </w:pPr>
            <w:r>
              <w:rPr>
                <w:b/>
                <w:color w:val="FFFFFF"/>
                <w:sz w:val="17"/>
              </w:rPr>
              <w:t>Title</w:t>
            </w:r>
          </w:p>
        </w:tc>
      </w:tr>
      <w:tr>
        <w:trPr>
          <w:cantSplit/>
        </w:trPr>
        <w:tc>
          <w:tcPr>
            <w:tcW w:type="dxa" w:w="1440"/>
            <w:tcMar>
              <w:top w:w="80" w:type="dxa"/>
              <w:start w:w="100" w:type="dxa"/>
              <w:bottom w:w="80" w:type="dxa"/>
              <w:end w:w="100" w:type="dxa"/>
            </w:tcMar>
            <w:vAlign w:val="top"/>
          </w:tcPr>
          <w:p>
            <w:pPr>
              <w:spacing w:after="0"/>
            </w:pPr>
            <w:r>
              <w:rPr>
                <w:sz w:val="17"/>
              </w:rPr>
              <w:t>56</w:t>
            </w:r>
          </w:p>
        </w:tc>
        <w:tc>
          <w:tcPr>
            <w:tcW w:type="dxa" w:w="8640"/>
            <w:tcMar>
              <w:top w:w="80" w:type="dxa"/>
              <w:start w:w="100" w:type="dxa"/>
              <w:bottom w:w="80" w:type="dxa"/>
              <w:end w:w="100" w:type="dxa"/>
            </w:tcMar>
            <w:vAlign w:val="top"/>
          </w:tcPr>
          <w:p>
            <w:pPr>
              <w:spacing w:after="0"/>
            </w:pPr>
            <w:r>
              <w:rPr>
                <w:sz w:val="17"/>
              </w:rPr>
              <w:t>Architecture Decisions, Trade-offs, and Well-Architected Reviews</w:t>
            </w:r>
          </w:p>
        </w:tc>
      </w:tr>
      <w:tr>
        <w:trPr>
          <w:cantSplit/>
        </w:trPr>
        <w:tc>
          <w:tcPr>
            <w:tcW w:type="dxa" w:w="1440"/>
            <w:tcMar>
              <w:top w:w="80" w:type="dxa"/>
              <w:start w:w="100" w:type="dxa"/>
              <w:bottom w:w="80" w:type="dxa"/>
              <w:end w:w="100" w:type="dxa"/>
            </w:tcMar>
            <w:vAlign w:val="top"/>
          </w:tcPr>
          <w:p>
            <w:pPr>
              <w:spacing w:after="0"/>
            </w:pPr>
            <w:r>
              <w:rPr>
                <w:sz w:val="17"/>
              </w:rPr>
              <w:t>57</w:t>
            </w:r>
          </w:p>
        </w:tc>
        <w:tc>
          <w:tcPr>
            <w:tcW w:type="dxa" w:w="8640"/>
            <w:tcMar>
              <w:top w:w="80" w:type="dxa"/>
              <w:start w:w="100" w:type="dxa"/>
              <w:bottom w:w="80" w:type="dxa"/>
              <w:end w:w="100" w:type="dxa"/>
            </w:tcMar>
            <w:vAlign w:val="top"/>
          </w:tcPr>
          <w:p>
            <w:pPr>
              <w:spacing w:after="0"/>
            </w:pPr>
            <w:r>
              <w:rPr>
                <w:sz w:val="17"/>
              </w:rPr>
              <w:t>Enterprise SaaS Architecture on Azure</w:t>
            </w:r>
          </w:p>
        </w:tc>
      </w:tr>
      <w:tr>
        <w:trPr>
          <w:cantSplit/>
        </w:trPr>
        <w:tc>
          <w:tcPr>
            <w:tcW w:type="dxa" w:w="1440"/>
            <w:tcMar>
              <w:top w:w="80" w:type="dxa"/>
              <w:start w:w="100" w:type="dxa"/>
              <w:bottom w:w="80" w:type="dxa"/>
              <w:end w:w="100" w:type="dxa"/>
            </w:tcMar>
            <w:vAlign w:val="top"/>
          </w:tcPr>
          <w:p>
            <w:pPr>
              <w:spacing w:after="0"/>
            </w:pPr>
            <w:r>
              <w:rPr>
                <w:sz w:val="17"/>
              </w:rPr>
              <w:t>58</w:t>
            </w:r>
          </w:p>
        </w:tc>
        <w:tc>
          <w:tcPr>
            <w:tcW w:type="dxa" w:w="8640"/>
            <w:tcMar>
              <w:top w:w="80" w:type="dxa"/>
              <w:start w:w="100" w:type="dxa"/>
              <w:bottom w:w="80" w:type="dxa"/>
              <w:end w:w="100" w:type="dxa"/>
            </w:tcMar>
            <w:vAlign w:val="top"/>
          </w:tcPr>
          <w:p>
            <w:pPr>
              <w:spacing w:after="0"/>
            </w:pPr>
            <w:r>
              <w:rPr>
                <w:sz w:val="17"/>
              </w:rPr>
              <w:t>Hybrid Cloud, Azure Arc, and Migration Factories</w:t>
            </w:r>
          </w:p>
        </w:tc>
      </w:tr>
      <w:tr>
        <w:trPr>
          <w:cantSplit/>
        </w:trPr>
        <w:tc>
          <w:tcPr>
            <w:tcW w:type="dxa" w:w="1440"/>
            <w:tcMar>
              <w:top w:w="80" w:type="dxa"/>
              <w:start w:w="100" w:type="dxa"/>
              <w:bottom w:w="80" w:type="dxa"/>
              <w:end w:w="100" w:type="dxa"/>
            </w:tcMar>
            <w:vAlign w:val="top"/>
          </w:tcPr>
          <w:p>
            <w:pPr>
              <w:spacing w:after="0"/>
            </w:pPr>
            <w:r>
              <w:rPr>
                <w:sz w:val="17"/>
              </w:rPr>
              <w:t>59</w:t>
            </w:r>
          </w:p>
        </w:tc>
        <w:tc>
          <w:tcPr>
            <w:tcW w:type="dxa" w:w="8640"/>
            <w:tcMar>
              <w:top w:w="80" w:type="dxa"/>
              <w:start w:w="100" w:type="dxa"/>
              <w:bottom w:w="80" w:type="dxa"/>
              <w:end w:w="100" w:type="dxa"/>
            </w:tcMar>
            <w:vAlign w:val="top"/>
          </w:tcPr>
          <w:p>
            <w:pPr>
              <w:spacing w:after="0"/>
            </w:pPr>
            <w:r>
              <w:rPr>
                <w:sz w:val="17"/>
              </w:rPr>
              <w:t>Application Modernization and Monolith Decomposition</w:t>
            </w:r>
          </w:p>
        </w:tc>
      </w:tr>
      <w:tr>
        <w:trPr>
          <w:cantSplit/>
        </w:trPr>
        <w:tc>
          <w:tcPr>
            <w:tcW w:type="dxa" w:w="1440"/>
            <w:tcMar>
              <w:top w:w="80" w:type="dxa"/>
              <w:start w:w="100" w:type="dxa"/>
              <w:bottom w:w="80" w:type="dxa"/>
              <w:end w:w="100" w:type="dxa"/>
            </w:tcMar>
            <w:vAlign w:val="top"/>
          </w:tcPr>
          <w:p>
            <w:pPr>
              <w:spacing w:after="0"/>
            </w:pPr>
            <w:r>
              <w:rPr>
                <w:sz w:val="17"/>
              </w:rPr>
              <w:t>60</w:t>
            </w:r>
          </w:p>
        </w:tc>
        <w:tc>
          <w:tcPr>
            <w:tcW w:type="dxa" w:w="8640"/>
            <w:tcMar>
              <w:top w:w="80" w:type="dxa"/>
              <w:start w:w="100" w:type="dxa"/>
              <w:bottom w:w="80" w:type="dxa"/>
              <w:end w:w="100" w:type="dxa"/>
            </w:tcMar>
            <w:vAlign w:val="top"/>
          </w:tcPr>
          <w:p>
            <w:pPr>
              <w:spacing w:after="0"/>
            </w:pPr>
            <w:r>
              <w:rPr>
                <w:sz w:val="17"/>
              </w:rPr>
              <w:t>Multi-Region and Global Application Design</w:t>
            </w:r>
          </w:p>
        </w:tc>
      </w:tr>
      <w:tr>
        <w:trPr>
          <w:cantSplit/>
        </w:trPr>
        <w:tc>
          <w:tcPr>
            <w:tcW w:type="dxa" w:w="1440"/>
            <w:tcMar>
              <w:top w:w="80" w:type="dxa"/>
              <w:start w:w="100" w:type="dxa"/>
              <w:bottom w:w="80" w:type="dxa"/>
              <w:end w:w="100" w:type="dxa"/>
            </w:tcMar>
            <w:vAlign w:val="top"/>
          </w:tcPr>
          <w:p>
            <w:pPr>
              <w:spacing w:after="0"/>
            </w:pPr>
            <w:r>
              <w:rPr>
                <w:sz w:val="17"/>
              </w:rPr>
              <w:t>61</w:t>
            </w:r>
          </w:p>
        </w:tc>
        <w:tc>
          <w:tcPr>
            <w:tcW w:type="dxa" w:w="8640"/>
            <w:tcMar>
              <w:top w:w="80" w:type="dxa"/>
              <w:start w:w="100" w:type="dxa"/>
              <w:bottom w:w="80" w:type="dxa"/>
              <w:end w:w="100" w:type="dxa"/>
            </w:tcMar>
            <w:vAlign w:val="top"/>
          </w:tcPr>
          <w:p>
            <w:pPr>
              <w:spacing w:after="0"/>
            </w:pPr>
            <w:r>
              <w:rPr>
                <w:sz w:val="17"/>
              </w:rPr>
              <w:t>Security Incident Response and Cloud Forensics</w:t>
            </w:r>
          </w:p>
        </w:tc>
      </w:tr>
      <w:tr>
        <w:trPr>
          <w:cantSplit/>
        </w:trPr>
        <w:tc>
          <w:tcPr>
            <w:tcW w:type="dxa" w:w="1440"/>
            <w:tcMar>
              <w:top w:w="80" w:type="dxa"/>
              <w:start w:w="100" w:type="dxa"/>
              <w:bottom w:w="80" w:type="dxa"/>
              <w:end w:w="100" w:type="dxa"/>
            </w:tcMar>
            <w:vAlign w:val="top"/>
          </w:tcPr>
          <w:p>
            <w:pPr>
              <w:spacing w:after="0"/>
            </w:pPr>
            <w:r>
              <w:rPr>
                <w:sz w:val="17"/>
              </w:rPr>
              <w:t>62</w:t>
            </w:r>
          </w:p>
        </w:tc>
        <w:tc>
          <w:tcPr>
            <w:tcW w:type="dxa" w:w="8640"/>
            <w:tcMar>
              <w:top w:w="80" w:type="dxa"/>
              <w:start w:w="100" w:type="dxa"/>
              <w:bottom w:w="80" w:type="dxa"/>
              <w:end w:w="100" w:type="dxa"/>
            </w:tcMar>
            <w:vAlign w:val="top"/>
          </w:tcPr>
          <w:p>
            <w:pPr>
              <w:spacing w:after="0"/>
            </w:pPr>
            <w:r>
              <w:rPr>
                <w:sz w:val="17"/>
              </w:rPr>
              <w:t>Resilience Engineering, Game Days, and Chaos Studio</w:t>
            </w:r>
          </w:p>
        </w:tc>
      </w:tr>
      <w:tr>
        <w:trPr>
          <w:cantSplit/>
        </w:trPr>
        <w:tc>
          <w:tcPr>
            <w:tcW w:type="dxa" w:w="1440"/>
            <w:tcMar>
              <w:top w:w="80" w:type="dxa"/>
              <w:start w:w="100" w:type="dxa"/>
              <w:bottom w:w="80" w:type="dxa"/>
              <w:end w:w="100" w:type="dxa"/>
            </w:tcMar>
            <w:vAlign w:val="top"/>
          </w:tcPr>
          <w:p>
            <w:pPr>
              <w:spacing w:after="0"/>
            </w:pPr>
            <w:r>
              <w:rPr>
                <w:sz w:val="17"/>
              </w:rPr>
              <w:t>63</w:t>
            </w:r>
          </w:p>
        </w:tc>
        <w:tc>
          <w:tcPr>
            <w:tcW w:type="dxa" w:w="8640"/>
            <w:tcMar>
              <w:top w:w="80" w:type="dxa"/>
              <w:start w:w="100" w:type="dxa"/>
              <w:bottom w:w="80" w:type="dxa"/>
              <w:end w:w="100" w:type="dxa"/>
            </w:tcMar>
            <w:vAlign w:val="top"/>
          </w:tcPr>
          <w:p>
            <w:pPr>
              <w:spacing w:after="0"/>
            </w:pPr>
            <w:r>
              <w:rPr>
                <w:sz w:val="17"/>
              </w:rPr>
              <w:t>Performance Engineering and Capacity Planning</w:t>
            </w:r>
          </w:p>
        </w:tc>
      </w:tr>
      <w:tr>
        <w:trPr>
          <w:cantSplit/>
        </w:trPr>
        <w:tc>
          <w:tcPr>
            <w:tcW w:type="dxa" w:w="1440"/>
            <w:tcMar>
              <w:top w:w="80" w:type="dxa"/>
              <w:start w:w="100" w:type="dxa"/>
              <w:bottom w:w="80" w:type="dxa"/>
              <w:end w:w="100" w:type="dxa"/>
            </w:tcMar>
            <w:vAlign w:val="top"/>
          </w:tcPr>
          <w:p>
            <w:pPr>
              <w:spacing w:after="0"/>
            </w:pPr>
            <w:r>
              <w:rPr>
                <w:sz w:val="17"/>
              </w:rPr>
              <w:t>64</w:t>
            </w:r>
          </w:p>
        </w:tc>
        <w:tc>
          <w:tcPr>
            <w:tcW w:type="dxa" w:w="8640"/>
            <w:tcMar>
              <w:top w:w="80" w:type="dxa"/>
              <w:start w:w="100" w:type="dxa"/>
              <w:bottom w:w="80" w:type="dxa"/>
              <w:end w:w="100" w:type="dxa"/>
            </w:tcMar>
            <w:vAlign w:val="top"/>
          </w:tcPr>
          <w:p>
            <w:pPr>
              <w:spacing w:after="0"/>
            </w:pPr>
            <w:r>
              <w:rPr>
                <w:sz w:val="17"/>
              </w:rPr>
              <w:t>FinOps and Enterprise Cost Optimization</w:t>
            </w:r>
          </w:p>
        </w:tc>
      </w:tr>
      <w:tr>
        <w:trPr>
          <w:cantSplit/>
        </w:trPr>
        <w:tc>
          <w:tcPr>
            <w:tcW w:type="dxa" w:w="1440"/>
            <w:tcMar>
              <w:top w:w="80" w:type="dxa"/>
              <w:start w:w="100" w:type="dxa"/>
              <w:bottom w:w="80" w:type="dxa"/>
              <w:end w:w="100" w:type="dxa"/>
            </w:tcMar>
            <w:vAlign w:val="top"/>
          </w:tcPr>
          <w:p>
            <w:pPr>
              <w:spacing w:after="0"/>
            </w:pPr>
            <w:r>
              <w:rPr>
                <w:sz w:val="17"/>
              </w:rPr>
              <w:t>65</w:t>
            </w:r>
          </w:p>
        </w:tc>
        <w:tc>
          <w:tcPr>
            <w:tcW w:type="dxa" w:w="8640"/>
            <w:tcMar>
              <w:top w:w="80" w:type="dxa"/>
              <w:start w:w="100" w:type="dxa"/>
              <w:bottom w:w="80" w:type="dxa"/>
              <w:end w:w="100" w:type="dxa"/>
            </w:tcMar>
            <w:vAlign w:val="top"/>
          </w:tcPr>
          <w:p>
            <w:pPr>
              <w:spacing w:after="0"/>
            </w:pPr>
            <w:r>
              <w:rPr>
                <w:sz w:val="17"/>
              </w:rPr>
              <w:t>Platform Engineering and Internal Developer Platforms</w:t>
            </w:r>
          </w:p>
        </w:tc>
      </w:tr>
      <w:tr>
        <w:trPr>
          <w:cantSplit/>
        </w:trPr>
        <w:tc>
          <w:tcPr>
            <w:tcW w:type="dxa" w:w="1440"/>
            <w:tcMar>
              <w:top w:w="80" w:type="dxa"/>
              <w:start w:w="100" w:type="dxa"/>
              <w:bottom w:w="80" w:type="dxa"/>
              <w:end w:w="100" w:type="dxa"/>
            </w:tcMar>
            <w:vAlign w:val="top"/>
          </w:tcPr>
          <w:p>
            <w:pPr>
              <w:spacing w:after="0"/>
            </w:pPr>
            <w:r>
              <w:rPr>
                <w:sz w:val="17"/>
              </w:rPr>
              <w:t>66</w:t>
            </w:r>
          </w:p>
        </w:tc>
        <w:tc>
          <w:tcPr>
            <w:tcW w:type="dxa" w:w="8640"/>
            <w:tcMar>
              <w:top w:w="80" w:type="dxa"/>
              <w:start w:w="100" w:type="dxa"/>
              <w:bottom w:w="80" w:type="dxa"/>
              <w:end w:w="100" w:type="dxa"/>
            </w:tcMar>
            <w:vAlign w:val="top"/>
          </w:tcPr>
          <w:p>
            <w:pPr>
              <w:spacing w:after="0"/>
            </w:pPr>
            <w:r>
              <w:rPr>
                <w:sz w:val="17"/>
              </w:rPr>
              <w:t>Advanced Troubleshooting and Incident Command</w:t>
            </w:r>
          </w:p>
        </w:tc>
      </w:tr>
      <w:tr>
        <w:trPr>
          <w:cantSplit/>
        </w:trPr>
        <w:tc>
          <w:tcPr>
            <w:tcW w:type="dxa" w:w="1440"/>
            <w:tcMar>
              <w:top w:w="80" w:type="dxa"/>
              <w:start w:w="100" w:type="dxa"/>
              <w:bottom w:w="80" w:type="dxa"/>
              <w:end w:w="100" w:type="dxa"/>
            </w:tcMar>
            <w:vAlign w:val="top"/>
          </w:tcPr>
          <w:p>
            <w:pPr>
              <w:spacing w:after="0"/>
            </w:pPr>
            <w:r>
              <w:rPr>
                <w:sz w:val="17"/>
              </w:rPr>
              <w:t>67</w:t>
            </w:r>
          </w:p>
        </w:tc>
        <w:tc>
          <w:tcPr>
            <w:tcW w:type="dxa" w:w="8640"/>
            <w:tcMar>
              <w:top w:w="80" w:type="dxa"/>
              <w:start w:w="100" w:type="dxa"/>
              <w:bottom w:w="80" w:type="dxa"/>
              <w:end w:w="100" w:type="dxa"/>
            </w:tcMar>
            <w:vAlign w:val="top"/>
          </w:tcPr>
          <w:p>
            <w:pPr>
              <w:spacing w:after="0"/>
            </w:pPr>
            <w:r>
              <w:rPr>
                <w:sz w:val="17"/>
              </w:rPr>
              <w:t>Architecture Governance, Compliance, and Evidence</w:t>
            </w:r>
          </w:p>
        </w:tc>
      </w:tr>
      <w:tr>
        <w:trPr>
          <w:cantSplit/>
        </w:trPr>
        <w:tc>
          <w:tcPr>
            <w:tcW w:type="dxa" w:w="1440"/>
            <w:tcMar>
              <w:top w:w="80" w:type="dxa"/>
              <w:start w:w="100" w:type="dxa"/>
              <w:bottom w:w="80" w:type="dxa"/>
              <w:end w:w="100" w:type="dxa"/>
            </w:tcMar>
            <w:vAlign w:val="top"/>
          </w:tcPr>
          <w:p>
            <w:pPr>
              <w:spacing w:after="0"/>
            </w:pPr>
            <w:r>
              <w:rPr>
                <w:sz w:val="17"/>
              </w:rPr>
              <w:t>68</w:t>
            </w:r>
          </w:p>
        </w:tc>
        <w:tc>
          <w:tcPr>
            <w:tcW w:type="dxa" w:w="8640"/>
            <w:tcMar>
              <w:top w:w="80" w:type="dxa"/>
              <w:start w:w="100" w:type="dxa"/>
              <w:bottom w:w="80" w:type="dxa"/>
              <w:end w:w="100" w:type="dxa"/>
            </w:tcMar>
            <w:vAlign w:val="top"/>
          </w:tcPr>
          <w:p>
            <w:pPr>
              <w:spacing w:after="0"/>
            </w:pPr>
            <w:r>
              <w:rPr>
                <w:sz w:val="17"/>
              </w:rPr>
              <w:t>Azure Certification Mastery</w:t>
            </w:r>
          </w:p>
        </w:tc>
      </w:tr>
      <w:tr>
        <w:trPr>
          <w:cantSplit/>
        </w:trPr>
        <w:tc>
          <w:tcPr>
            <w:tcW w:type="dxa" w:w="1440"/>
            <w:tcMar>
              <w:top w:w="80" w:type="dxa"/>
              <w:start w:w="100" w:type="dxa"/>
              <w:bottom w:w="80" w:type="dxa"/>
              <w:end w:w="100" w:type="dxa"/>
            </w:tcMar>
            <w:vAlign w:val="top"/>
          </w:tcPr>
          <w:p>
            <w:pPr>
              <w:spacing w:after="0"/>
            </w:pPr>
            <w:r>
              <w:rPr>
                <w:sz w:val="17"/>
              </w:rPr>
              <w:t>69</w:t>
            </w:r>
          </w:p>
        </w:tc>
        <w:tc>
          <w:tcPr>
            <w:tcW w:type="dxa" w:w="8640"/>
            <w:tcMar>
              <w:top w:w="80" w:type="dxa"/>
              <w:start w:w="100" w:type="dxa"/>
              <w:bottom w:w="80" w:type="dxa"/>
              <w:end w:w="100" w:type="dxa"/>
            </w:tcMar>
            <w:vAlign w:val="top"/>
          </w:tcPr>
          <w:p>
            <w:pPr>
              <w:spacing w:after="0"/>
            </w:pPr>
            <w:r>
              <w:rPr>
                <w:sz w:val="17"/>
              </w:rPr>
              <w:t>Azure Technical Interview and System Design Mastery</w:t>
            </w:r>
          </w:p>
        </w:tc>
      </w:tr>
      <w:tr>
        <w:trPr>
          <w:cantSplit/>
        </w:trPr>
        <w:tc>
          <w:tcPr>
            <w:tcW w:type="dxa" w:w="1440"/>
            <w:tcMar>
              <w:top w:w="80" w:type="dxa"/>
              <w:start w:w="100" w:type="dxa"/>
              <w:bottom w:w="80" w:type="dxa"/>
              <w:end w:w="100" w:type="dxa"/>
            </w:tcMar>
            <w:vAlign w:val="top"/>
          </w:tcPr>
          <w:p>
            <w:pPr>
              <w:spacing w:after="0"/>
            </w:pPr>
            <w:r>
              <w:rPr>
                <w:sz w:val="17"/>
              </w:rPr>
              <w:t>70</w:t>
            </w:r>
          </w:p>
        </w:tc>
        <w:tc>
          <w:tcPr>
            <w:tcW w:type="dxa" w:w="8640"/>
            <w:tcMar>
              <w:top w:w="80" w:type="dxa"/>
              <w:start w:w="100" w:type="dxa"/>
              <w:bottom w:w="80" w:type="dxa"/>
              <w:end w:w="100" w:type="dxa"/>
            </w:tcMar>
            <w:vAlign w:val="top"/>
          </w:tcPr>
          <w:p>
            <w:pPr>
              <w:spacing w:after="0"/>
            </w:pPr>
            <w:r>
              <w:rPr>
                <w:sz w:val="17"/>
              </w:rPr>
              <w:t>Final Integrated Enterprise Azure Capstone</w:t>
            </w:r>
          </w:p>
        </w:tc>
      </w:tr>
    </w:tbl>
    <w:p>
      <w:pPr>
        <w:spacing w:after="20"/>
      </w:pPr>
    </w:p>
    <w:p>
      <w:pPr>
        <w:pStyle w:val="Heading1"/>
        <w:pageBreakBefore/>
      </w:pPr>
      <w:r>
        <w:t>Chapter 56 - Architecture Decisions, Trade-offs, and Well-Architected Reviews</w:t>
      </w:r>
    </w:p>
    <w:p>
      <w:pPr>
        <w:spacing w:after="120"/>
      </w:pPr>
      <w:r>
        <w:rPr>
          <w:i/>
          <w:color w:val="505050"/>
        </w:rPr>
        <w:t>Turning requirements into explicit, reviewable, evidence-based Azure architecture decisions</w:t>
      </w:r>
    </w:p>
    <w:p>
      <w:pPr>
        <w:pStyle w:val="Heading2"/>
      </w:pPr>
      <w:r>
        <w:t>Learning Objectives</w:t>
      </w:r>
    </w:p>
    <w:p>
      <w:pPr>
        <w:pStyle w:val="ListBullet"/>
        <w:spacing w:after="60"/>
      </w:pPr>
      <w:r>
        <w:t>Translate business outcomes into measurable architecture requirements and constraints.</w:t>
      </w:r>
    </w:p>
    <w:p>
      <w:pPr>
        <w:pStyle w:val="ListBullet"/>
        <w:spacing w:after="60"/>
      </w:pPr>
      <w:r>
        <w:t>Use the Azure Well-Architected pillars to expose risk and trade-offs.</w:t>
      </w:r>
    </w:p>
    <w:p>
      <w:pPr>
        <w:pStyle w:val="ListBullet"/>
        <w:spacing w:after="60"/>
      </w:pPr>
      <w:r>
        <w:t>Create architecture decision records, quality-attribute scenarios, and review evidence.</w:t>
      </w:r>
    </w:p>
    <w:p>
      <w:pPr>
        <w:pStyle w:val="ListBullet"/>
        <w:spacing w:after="60"/>
      </w:pPr>
      <w:r>
        <w:t>Distinguish reversible decisions from high-cost commitments.</w:t>
      </w:r>
    </w:p>
    <w:p>
      <w:pPr>
        <w:pStyle w:val="Heading2"/>
      </w:pPr>
      <w:r>
        <w:t>56.1 From Requirements to Quality Attributes</w:t>
      </w:r>
    </w:p>
    <w:p>
      <w:pPr>
        <w:spacing w:after="120"/>
      </w:pPr>
      <w:r>
        <w:rPr>
          <w:i w:val="0"/>
        </w:rPr>
        <w:t>Architecture begins with business outcomes, not a service list. Convert ambiguous goals such as “high availability” into measurable quality-attribute scenarios: source, stimulus, environment, affected component, expected response, and response measure.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Requirement</w:t>
            </w:r>
          </w:p>
        </w:tc>
        <w:tc>
          <w:tcPr>
            <w:tcW w:type="dxa" w:w="2880"/>
            <w:shd w:fill="0078D4"/>
            <w:tcMar>
              <w:top w:w="80" w:type="dxa"/>
              <w:start w:w="100" w:type="dxa"/>
              <w:bottom w:w="80" w:type="dxa"/>
              <w:end w:w="100" w:type="dxa"/>
            </w:tcMar>
            <w:vAlign w:val="center"/>
          </w:tcPr>
          <w:p>
            <w:pPr>
              <w:jc w:val="center"/>
            </w:pPr>
            <w:r>
              <w:rPr>
                <w:b/>
                <w:color w:val="FFFFFF"/>
                <w:sz w:val="17"/>
              </w:rPr>
              <w:t>Weak Form</w:t>
            </w:r>
          </w:p>
        </w:tc>
        <w:tc>
          <w:tcPr>
            <w:tcW w:type="dxa" w:w="5184"/>
            <w:shd w:fill="0078D4"/>
            <w:tcMar>
              <w:top w:w="80" w:type="dxa"/>
              <w:start w:w="100" w:type="dxa"/>
              <w:bottom w:w="80" w:type="dxa"/>
              <w:end w:w="100" w:type="dxa"/>
            </w:tcMar>
            <w:vAlign w:val="center"/>
          </w:tcPr>
          <w:p>
            <w:pPr>
              <w:jc w:val="center"/>
            </w:pPr>
            <w:r>
              <w:rPr>
                <w:b/>
                <w:color w:val="FFFFFF"/>
                <w:sz w:val="17"/>
              </w:rPr>
              <w:t>Engineering Form</w:t>
            </w:r>
          </w:p>
        </w:tc>
      </w:tr>
      <w:tr>
        <w:trPr>
          <w:cantSplit/>
        </w:trPr>
        <w:tc>
          <w:tcPr>
            <w:tcW w:type="dxa" w:w="2016"/>
            <w:tcMar>
              <w:top w:w="80" w:type="dxa"/>
              <w:start w:w="100" w:type="dxa"/>
              <w:bottom w:w="80" w:type="dxa"/>
              <w:end w:w="100" w:type="dxa"/>
            </w:tcMar>
            <w:vAlign w:val="top"/>
          </w:tcPr>
          <w:p>
            <w:pPr>
              <w:spacing w:after="0"/>
            </w:pPr>
            <w:r>
              <w:rPr>
                <w:sz w:val="17"/>
              </w:rPr>
              <w:t>Availability</w:t>
            </w:r>
          </w:p>
        </w:tc>
        <w:tc>
          <w:tcPr>
            <w:tcW w:type="dxa" w:w="2880"/>
            <w:tcMar>
              <w:top w:w="80" w:type="dxa"/>
              <w:start w:w="100" w:type="dxa"/>
              <w:bottom w:w="80" w:type="dxa"/>
              <w:end w:w="100" w:type="dxa"/>
            </w:tcMar>
            <w:vAlign w:val="top"/>
          </w:tcPr>
          <w:p>
            <w:pPr>
              <w:spacing w:after="0"/>
            </w:pPr>
            <w:r>
              <w:rPr>
                <w:sz w:val="17"/>
              </w:rPr>
              <w:t>Always online</w:t>
            </w:r>
          </w:p>
        </w:tc>
        <w:tc>
          <w:tcPr>
            <w:tcW w:type="dxa" w:w="5184"/>
            <w:tcMar>
              <w:top w:w="80" w:type="dxa"/>
              <w:start w:w="100" w:type="dxa"/>
              <w:bottom w:w="80" w:type="dxa"/>
              <w:end w:w="100" w:type="dxa"/>
            </w:tcMar>
            <w:vAlign w:val="top"/>
          </w:tcPr>
          <w:p>
            <w:pPr>
              <w:spacing w:after="0"/>
            </w:pPr>
            <w:r>
              <w:rPr>
                <w:sz w:val="17"/>
              </w:rPr>
              <w:t>99.95% monthly SLO; zonal fault tolerated; regional recovery within 60 minutes.</w:t>
            </w:r>
          </w:p>
        </w:tc>
      </w:tr>
      <w:tr>
        <w:trPr>
          <w:cantSplit/>
        </w:trPr>
        <w:tc>
          <w:tcPr>
            <w:tcW w:type="dxa" w:w="2016"/>
            <w:tcMar>
              <w:top w:w="80" w:type="dxa"/>
              <w:start w:w="100" w:type="dxa"/>
              <w:bottom w:w="80" w:type="dxa"/>
              <w:end w:w="100" w:type="dxa"/>
            </w:tcMar>
            <w:vAlign w:val="top"/>
          </w:tcPr>
          <w:p>
            <w:pPr>
              <w:spacing w:after="0"/>
            </w:pPr>
            <w:r>
              <w:rPr>
                <w:sz w:val="17"/>
              </w:rPr>
              <w:t>Security</w:t>
            </w:r>
          </w:p>
        </w:tc>
        <w:tc>
          <w:tcPr>
            <w:tcW w:type="dxa" w:w="2880"/>
            <w:tcMar>
              <w:top w:w="80" w:type="dxa"/>
              <w:start w:w="100" w:type="dxa"/>
              <w:bottom w:w="80" w:type="dxa"/>
              <w:end w:w="100" w:type="dxa"/>
            </w:tcMar>
            <w:vAlign w:val="top"/>
          </w:tcPr>
          <w:p>
            <w:pPr>
              <w:spacing w:after="0"/>
            </w:pPr>
            <w:r>
              <w:rPr>
                <w:sz w:val="17"/>
              </w:rPr>
              <w:t>Secure system</w:t>
            </w:r>
          </w:p>
        </w:tc>
        <w:tc>
          <w:tcPr>
            <w:tcW w:type="dxa" w:w="5184"/>
            <w:tcMar>
              <w:top w:w="80" w:type="dxa"/>
              <w:start w:w="100" w:type="dxa"/>
              <w:bottom w:w="80" w:type="dxa"/>
              <w:end w:w="100" w:type="dxa"/>
            </w:tcMar>
            <w:vAlign w:val="top"/>
          </w:tcPr>
          <w:p>
            <w:pPr>
              <w:spacing w:after="0"/>
            </w:pPr>
            <w:r>
              <w:rPr>
                <w:sz w:val="17"/>
              </w:rPr>
              <w:t>Phishing-resistant admin access; no public data plane; critical alerts triaged within 15 minutes.</w:t>
            </w:r>
          </w:p>
        </w:tc>
      </w:tr>
      <w:tr>
        <w:trPr>
          <w:cantSplit/>
        </w:trPr>
        <w:tc>
          <w:tcPr>
            <w:tcW w:type="dxa" w:w="2016"/>
            <w:tcMar>
              <w:top w:w="80" w:type="dxa"/>
              <w:start w:w="100" w:type="dxa"/>
              <w:bottom w:w="80" w:type="dxa"/>
              <w:end w:w="100" w:type="dxa"/>
            </w:tcMar>
            <w:vAlign w:val="top"/>
          </w:tcPr>
          <w:p>
            <w:pPr>
              <w:spacing w:after="0"/>
            </w:pPr>
            <w:r>
              <w:rPr>
                <w:sz w:val="17"/>
              </w:rPr>
              <w:t>Performance</w:t>
            </w:r>
          </w:p>
        </w:tc>
        <w:tc>
          <w:tcPr>
            <w:tcW w:type="dxa" w:w="2880"/>
            <w:tcMar>
              <w:top w:w="80" w:type="dxa"/>
              <w:start w:w="100" w:type="dxa"/>
              <w:bottom w:w="80" w:type="dxa"/>
              <w:end w:w="100" w:type="dxa"/>
            </w:tcMar>
            <w:vAlign w:val="top"/>
          </w:tcPr>
          <w:p>
            <w:pPr>
              <w:spacing w:after="0"/>
            </w:pPr>
            <w:r>
              <w:rPr>
                <w:sz w:val="17"/>
              </w:rPr>
              <w:t>Fast</w:t>
            </w:r>
          </w:p>
        </w:tc>
        <w:tc>
          <w:tcPr>
            <w:tcW w:type="dxa" w:w="5184"/>
            <w:tcMar>
              <w:top w:w="80" w:type="dxa"/>
              <w:start w:w="100" w:type="dxa"/>
              <w:bottom w:w="80" w:type="dxa"/>
              <w:end w:w="100" w:type="dxa"/>
            </w:tcMar>
            <w:vAlign w:val="top"/>
          </w:tcPr>
          <w:p>
            <w:pPr>
              <w:spacing w:after="0"/>
            </w:pPr>
            <w:r>
              <w:rPr>
                <w:sz w:val="17"/>
              </w:rPr>
              <w:t>P95 API latency below 300 ms at 2,000 requests/second with 30% headroom.</w:t>
            </w:r>
          </w:p>
        </w:tc>
      </w:tr>
      <w:tr>
        <w:trPr>
          <w:cantSplit/>
        </w:trPr>
        <w:tc>
          <w:tcPr>
            <w:tcW w:type="dxa" w:w="2016"/>
            <w:tcMar>
              <w:top w:w="80" w:type="dxa"/>
              <w:start w:w="100" w:type="dxa"/>
              <w:bottom w:w="80" w:type="dxa"/>
              <w:end w:w="100" w:type="dxa"/>
            </w:tcMar>
            <w:vAlign w:val="top"/>
          </w:tcPr>
          <w:p>
            <w:pPr>
              <w:spacing w:after="0"/>
            </w:pPr>
            <w:r>
              <w:rPr>
                <w:sz w:val="17"/>
              </w:rPr>
              <w:t>Cost</w:t>
            </w:r>
          </w:p>
        </w:tc>
        <w:tc>
          <w:tcPr>
            <w:tcW w:type="dxa" w:w="2880"/>
            <w:tcMar>
              <w:top w:w="80" w:type="dxa"/>
              <w:start w:w="100" w:type="dxa"/>
              <w:bottom w:w="80" w:type="dxa"/>
              <w:end w:w="100" w:type="dxa"/>
            </w:tcMar>
            <w:vAlign w:val="top"/>
          </w:tcPr>
          <w:p>
            <w:pPr>
              <w:spacing w:after="0"/>
            </w:pPr>
            <w:r>
              <w:rPr>
                <w:sz w:val="17"/>
              </w:rPr>
              <w:t>Affordable</w:t>
            </w:r>
          </w:p>
        </w:tc>
        <w:tc>
          <w:tcPr>
            <w:tcW w:type="dxa" w:w="5184"/>
            <w:tcMar>
              <w:top w:w="80" w:type="dxa"/>
              <w:start w:w="100" w:type="dxa"/>
              <w:bottom w:w="80" w:type="dxa"/>
              <w:end w:w="100" w:type="dxa"/>
            </w:tcMar>
            <w:vAlign w:val="top"/>
          </w:tcPr>
          <w:p>
            <w:pPr>
              <w:spacing w:after="0"/>
            </w:pPr>
            <w:r>
              <w:rPr>
                <w:sz w:val="17"/>
              </w:rPr>
              <w:t>Monthly unit cost and budget thresholds defined; idle resources removed within seven days.</w:t>
            </w:r>
          </w:p>
        </w:tc>
      </w:tr>
    </w:tbl>
    <w:p>
      <w:pPr>
        <w:spacing w:after="20"/>
      </w:pPr>
    </w:p>
    <w:p>
      <w:pPr>
        <w:pStyle w:val="Heading2"/>
      </w:pPr>
      <w:r>
        <w:t>56.2 Well-Architected Trade-offs</w:t>
      </w:r>
    </w:p>
    <w:p>
      <w:pPr>
        <w:spacing w:after="120"/>
      </w:pPr>
      <w:r>
        <w:rPr>
          <w:i w:val="0"/>
        </w:rPr>
        <w:t>The Azure Well-Architected Framework evaluates reliability, security, cost optimization, operational excellence, and performance efficiency. Improvements in one pillar can pressure another: duplicate regional capacity improves resilience but raises cost and operational complexity. Reviews should record the accepted risk, compensating control, owner, and review date.</w:t>
      </w:r>
    </w:p>
    <w:p>
      <w:pPr>
        <w:pStyle w:val="ListBullet"/>
        <w:spacing w:after="60"/>
      </w:pPr>
      <w:r>
        <w:t>Prioritize workload-specific risks rather than scoring every recommendation equally.</w:t>
      </w:r>
    </w:p>
    <w:p>
      <w:pPr>
        <w:pStyle w:val="ListBullet"/>
        <w:spacing w:after="60"/>
      </w:pPr>
      <w:r>
        <w:t>Use evidence: SLOs, policy results, deployment history, backup restores, threat detections, cost reports, and game-day outcomes.</w:t>
      </w:r>
    </w:p>
    <w:p>
      <w:pPr>
        <w:pStyle w:val="ListBullet"/>
        <w:spacing w:after="60"/>
      </w:pPr>
      <w:r>
        <w:t>Separate platform responsibilities from workload-team responsibilities.</w:t>
      </w:r>
    </w:p>
    <w:p>
      <w:pPr>
        <w:pStyle w:val="ListBullet"/>
        <w:spacing w:after="60"/>
      </w:pPr>
      <w:r>
        <w:t>Re-run reviews after major architecture, compliance, traffic, or dependency changes.</w:t>
      </w:r>
    </w:p>
    <w:p>
      <w:pPr>
        <w:pStyle w:val="Heading2"/>
      </w:pPr>
      <w:r>
        <w:t>56.3 Architecture Decision Records</w:t>
      </w:r>
    </w:p>
    <w:p>
      <w:pPr>
        <w:spacing w:after="120"/>
      </w:pPr>
      <w:r>
        <w:rPr>
          <w:i w:val="0"/>
        </w:rPr>
        <w:t>An ADR records context, decision, alternatives, consequences, and follow-up. It prevents teams from repeatedly debating old choices without understanding why they were made.</w:t>
      </w:r>
    </w:p>
    <w:p>
      <w:pPr>
        <w:pStyle w:val="CodeBlock"/>
        <w:keepLines/>
        <w:spacing w:after="120"/>
      </w:pPr>
      <w:r>
        <w:rPr>
          <w:rFonts w:ascii="Cascadia Mono" w:hAnsi="Cascadia Mono"/>
          <w:sz w:val="17"/>
        </w:rPr>
        <w:t># ADR-014: Global ingress</w:t>
        <w:br/>
        <w:t>Status: Accepted</w:t>
        <w:br/>
        <w:t>Context: Public API requires WAF, TLS termination, regional failover, and low-latency routing.</w:t>
        <w:br/>
        <w:t>Decision: Use Azure Front Door Premium with private origins.</w:t>
        <w:br/>
        <w:t>Alternatives: Traffic Manager + regional gateways; third-party CDN.</w:t>
        <w:br/>
        <w:t>Consequences: Additional cost; centralized WAF policy; private-link compatibility must be validated.</w:t>
        <w:br/>
        <w:t>Evidence: Load test, failover exercise, cost model, security review.</w:t>
      </w:r>
    </w:p>
    <w:p>
      <w:pPr>
        <w:pStyle w:val="Heading2"/>
      </w:pPr>
      <w:r>
        <w:t>56.4 Review Process and Decision Quality</w:t>
      </w:r>
    </w:p>
    <w:p>
      <w:pPr>
        <w:spacing w:after="120"/>
      </w:pPr>
      <w:r>
        <w:rPr>
          <w:i w:val="0"/>
        </w:rPr>
        <w:t>A review board should challenge assumptions, not merely approve diagrams. Invite operations, security, application, data, networking, finance, and business owners. Time-box decisions, identify unknowns, assign experiments, and close the loop with measured results.</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Review stalls</w:t>
            </w:r>
          </w:p>
        </w:tc>
        <w:tc>
          <w:tcPr>
            <w:tcW w:type="dxa" w:w="2592"/>
            <w:tcMar>
              <w:top w:w="80" w:type="dxa"/>
              <w:start w:w="100" w:type="dxa"/>
              <w:bottom w:w="80" w:type="dxa"/>
              <w:end w:w="100" w:type="dxa"/>
            </w:tcMar>
            <w:vAlign w:val="top"/>
          </w:tcPr>
          <w:p>
            <w:pPr>
              <w:spacing w:after="0"/>
            </w:pPr>
            <w:r>
              <w:rPr>
                <w:sz w:val="17"/>
              </w:rPr>
              <w:t>Requirements are vague or decision owner is unclear</w:t>
            </w:r>
          </w:p>
        </w:tc>
        <w:tc>
          <w:tcPr>
            <w:tcW w:type="dxa" w:w="5328"/>
            <w:tcMar>
              <w:top w:w="80" w:type="dxa"/>
              <w:start w:w="100" w:type="dxa"/>
              <w:bottom w:w="80" w:type="dxa"/>
              <w:end w:w="100" w:type="dxa"/>
            </w:tcMar>
            <w:vAlign w:val="top"/>
          </w:tcPr>
          <w:p>
            <w:pPr>
              <w:spacing w:after="0"/>
            </w:pPr>
            <w:r>
              <w:rPr>
                <w:sz w:val="17"/>
              </w:rPr>
              <w:t>Rewrite requirements as measurable scenarios, name the accountable owner, and time-box unresolved research.</w:t>
            </w:r>
          </w:p>
        </w:tc>
      </w:tr>
      <w:tr>
        <w:trPr>
          <w:cantSplit/>
        </w:trPr>
        <w:tc>
          <w:tcPr>
            <w:tcW w:type="dxa" w:w="2160"/>
            <w:tcMar>
              <w:top w:w="80" w:type="dxa"/>
              <w:start w:w="100" w:type="dxa"/>
              <w:bottom w:w="80" w:type="dxa"/>
              <w:end w:w="100" w:type="dxa"/>
            </w:tcMar>
            <w:vAlign w:val="top"/>
          </w:tcPr>
          <w:p>
            <w:pPr>
              <w:spacing w:after="0"/>
            </w:pPr>
            <w:r>
              <w:rPr>
                <w:sz w:val="17"/>
              </w:rPr>
              <w:t>Design passes on paper but fails in production</w:t>
            </w:r>
          </w:p>
        </w:tc>
        <w:tc>
          <w:tcPr>
            <w:tcW w:type="dxa" w:w="2592"/>
            <w:tcMar>
              <w:top w:w="80" w:type="dxa"/>
              <w:start w:w="100" w:type="dxa"/>
              <w:bottom w:w="80" w:type="dxa"/>
              <w:end w:w="100" w:type="dxa"/>
            </w:tcMar>
            <w:vAlign w:val="top"/>
          </w:tcPr>
          <w:p>
            <w:pPr>
              <w:spacing w:after="0"/>
            </w:pPr>
            <w:r>
              <w:rPr>
                <w:sz w:val="17"/>
              </w:rPr>
              <w:t>No operational evidence or failure testing</w:t>
            </w:r>
          </w:p>
        </w:tc>
        <w:tc>
          <w:tcPr>
            <w:tcW w:type="dxa" w:w="5328"/>
            <w:tcMar>
              <w:top w:w="80" w:type="dxa"/>
              <w:start w:w="100" w:type="dxa"/>
              <w:bottom w:w="80" w:type="dxa"/>
              <w:end w:w="100" w:type="dxa"/>
            </w:tcMar>
            <w:vAlign w:val="top"/>
          </w:tcPr>
          <w:p>
            <w:pPr>
              <w:spacing w:after="0"/>
            </w:pPr>
            <w:r>
              <w:rPr>
                <w:sz w:val="17"/>
              </w:rPr>
              <w:t>Require load tests, restore tests, chaos experiments, policy results, and deployment evidence before approval.</w:t>
            </w:r>
          </w:p>
        </w:tc>
      </w:tr>
      <w:tr>
        <w:trPr>
          <w:cantSplit/>
        </w:trPr>
        <w:tc>
          <w:tcPr>
            <w:tcW w:type="dxa" w:w="2160"/>
            <w:tcMar>
              <w:top w:w="80" w:type="dxa"/>
              <w:start w:w="100" w:type="dxa"/>
              <w:bottom w:w="80" w:type="dxa"/>
              <w:end w:w="100" w:type="dxa"/>
            </w:tcMar>
            <w:vAlign w:val="top"/>
          </w:tcPr>
          <w:p>
            <w:pPr>
              <w:spacing w:after="0"/>
            </w:pPr>
            <w:r>
              <w:rPr>
                <w:sz w:val="17"/>
              </w:rPr>
              <w:t>Architecture drifts from decision</w:t>
            </w:r>
          </w:p>
        </w:tc>
        <w:tc>
          <w:tcPr>
            <w:tcW w:type="dxa" w:w="2592"/>
            <w:tcMar>
              <w:top w:w="80" w:type="dxa"/>
              <w:start w:w="100" w:type="dxa"/>
              <w:bottom w:w="80" w:type="dxa"/>
              <w:end w:w="100" w:type="dxa"/>
            </w:tcMar>
            <w:vAlign w:val="top"/>
          </w:tcPr>
          <w:p>
            <w:pPr>
              <w:spacing w:after="0"/>
            </w:pPr>
            <w:r>
              <w:rPr>
                <w:sz w:val="17"/>
              </w:rPr>
              <w:t>ADR not linked to IaC, pipeline, or backlog</w:t>
            </w:r>
          </w:p>
        </w:tc>
        <w:tc>
          <w:tcPr>
            <w:tcW w:type="dxa" w:w="5328"/>
            <w:tcMar>
              <w:top w:w="80" w:type="dxa"/>
              <w:start w:w="100" w:type="dxa"/>
              <w:bottom w:w="80" w:type="dxa"/>
              <w:end w:w="100" w:type="dxa"/>
            </w:tcMar>
            <w:vAlign w:val="top"/>
          </w:tcPr>
          <w:p>
            <w:pPr>
              <w:spacing w:after="0"/>
            </w:pPr>
            <w:r>
              <w:rPr>
                <w:sz w:val="17"/>
              </w:rPr>
              <w:t>Link controls and implementation work to the ADR; create periodic conformance checks.</w:t>
            </w:r>
          </w:p>
        </w:tc>
      </w:tr>
    </w:tbl>
    <w:p>
      <w:pPr>
        <w:spacing w:after="20"/>
      </w:pPr>
    </w:p>
    <w:p>
      <w:pPr>
        <w:pStyle w:val="Heading2"/>
      </w:pPr>
      <w:r>
        <w:t>Hands-on Lab 56: Run a Well-Architected Review</w:t>
      </w:r>
    </w:p>
    <w:p>
      <w:pPr>
        <w:pStyle w:val="Heading3"/>
      </w:pPr>
      <w:r>
        <w:t>Prerequisites</w:t>
      </w:r>
    </w:p>
    <w:p>
      <w:pPr>
        <w:pStyle w:val="ListBullet"/>
        <w:spacing w:after="60"/>
      </w:pPr>
      <w:r>
        <w:t>A nonproduction Azure workload with diagram, IaC, monitoring, cost data, and runbooks.</w:t>
      </w:r>
    </w:p>
    <w:p>
      <w:pPr>
        <w:pStyle w:val="Heading3"/>
      </w:pPr>
      <w:r>
        <w:t>Implementation</w:t>
      </w:r>
    </w:p>
    <w:p>
      <w:pPr>
        <w:spacing w:after="60"/>
        <w:ind w:left="360" w:hanging="259"/>
      </w:pPr>
      <w:r>
        <w:rPr>
          <w:b/>
        </w:rPr>
        <w:t xml:space="preserve">1. </w:t>
      </w:r>
      <w:r>
        <w:t>Define five business outcomes and measurable quality-attribute scenarios.</w:t>
      </w:r>
    </w:p>
    <w:p>
      <w:pPr>
        <w:spacing w:after="60"/>
        <w:ind w:left="360" w:hanging="259"/>
      </w:pPr>
      <w:r>
        <w:rPr>
          <w:b/>
        </w:rPr>
        <w:t xml:space="preserve">2. </w:t>
      </w:r>
      <w:r>
        <w:t>Map the design to the five Well-Architected pillars.</w:t>
      </w:r>
    </w:p>
    <w:p>
      <w:pPr>
        <w:spacing w:after="60"/>
        <w:ind w:left="360" w:hanging="259"/>
      </w:pPr>
      <w:r>
        <w:rPr>
          <w:b/>
        </w:rPr>
        <w:t xml:space="preserve">3. </w:t>
      </w:r>
      <w:r>
        <w:t>Identify the top ten risks by likelihood and impact.</w:t>
      </w:r>
    </w:p>
    <w:p>
      <w:pPr>
        <w:spacing w:after="60"/>
        <w:ind w:left="360" w:hanging="259"/>
      </w:pPr>
      <w:r>
        <w:rPr>
          <w:b/>
        </w:rPr>
        <w:t xml:space="preserve">4. </w:t>
      </w:r>
      <w:r>
        <w:t>Create three ADRs for high-consequence decisions.</w:t>
      </w:r>
    </w:p>
    <w:p>
      <w:pPr>
        <w:spacing w:after="60"/>
        <w:ind w:left="360" w:hanging="259"/>
      </w:pPr>
      <w:r>
        <w:rPr>
          <w:b/>
        </w:rPr>
        <w:t xml:space="preserve">5. </w:t>
      </w:r>
      <w:r>
        <w:t>Collect evidence for identity, networking, observability, deployment, backup, and cost.</w:t>
      </w:r>
    </w:p>
    <w:p>
      <w:pPr>
        <w:spacing w:after="60"/>
        <w:ind w:left="360" w:hanging="259"/>
      </w:pPr>
      <w:r>
        <w:rPr>
          <w:b/>
        </w:rPr>
        <w:t xml:space="preserve">6. </w:t>
      </w:r>
      <w:r>
        <w:t>Present findings with owners, due dates, and accepted-risk statements.</w:t>
      </w:r>
    </w:p>
    <w:p>
      <w:pPr>
        <w:pStyle w:val="Heading3"/>
      </w:pPr>
      <w:r>
        <w:t>Validation Evidence</w:t>
      </w:r>
    </w:p>
    <w:p>
      <w:pPr>
        <w:pStyle w:val="ListBullet"/>
        <w:spacing w:after="60"/>
      </w:pPr>
      <w:r>
        <w:t>Requirements are measurable.</w:t>
      </w:r>
    </w:p>
    <w:p>
      <w:pPr>
        <w:pStyle w:val="ListBullet"/>
        <w:spacing w:after="60"/>
      </w:pPr>
      <w:r>
        <w:t>Risks have owners and target dates.</w:t>
      </w:r>
    </w:p>
    <w:p>
      <w:pPr>
        <w:pStyle w:val="ListBullet"/>
        <w:spacing w:after="60"/>
      </w:pPr>
      <w:r>
        <w:t>ADRs include alternatives and consequences.</w:t>
      </w:r>
    </w:p>
    <w:p>
      <w:pPr>
        <w:pStyle w:val="ListBullet"/>
        <w:spacing w:after="60"/>
      </w:pPr>
      <w:r>
        <w:t>Evidence links are reproducible by another reviewer.</w:t>
      </w:r>
    </w:p>
    <w:p>
      <w:pPr>
        <w:pStyle w:val="Heading3"/>
      </w:pPr>
      <w:r>
        <w:t>Cleanup</w:t>
      </w:r>
    </w:p>
    <w:p>
      <w:pPr>
        <w:pStyle w:val="ListBullet"/>
        <w:spacing w:after="60"/>
      </w:pPr>
      <w:r>
        <w:t>Remove temporary review access and synthetic data.</w:t>
      </w:r>
    </w:p>
    <w:p>
      <w:pPr>
        <w:pStyle w:val="ListBullet"/>
        <w:spacing w:after="60"/>
      </w:pPr>
      <w:r>
        <w:t>Archive the review package in the approved evidence repository.</w:t>
      </w:r>
    </w:p>
    <w:p>
      <w:pPr>
        <w:pStyle w:val="Heading2"/>
      </w:pPr>
      <w:r>
        <w:t>Interview Questions and Model Answers</w:t>
      </w:r>
    </w:p>
    <w:p>
      <w:pPr>
        <w:spacing w:after="40"/>
      </w:pPr>
      <w:r>
        <w:rPr>
          <w:b/>
        </w:rPr>
        <w:t>1. What makes an architecture requirement testable?</w:t>
      </w:r>
    </w:p>
    <w:p>
      <w:pPr>
        <w:spacing w:after="120"/>
        <w:ind w:left="216"/>
      </w:pPr>
      <w:r>
        <w:t>A measurable response under a defined stimulus and operating condition.</w:t>
      </w:r>
    </w:p>
    <w:p>
      <w:pPr>
        <w:spacing w:after="40"/>
      </w:pPr>
      <w:r>
        <w:rPr>
          <w:b/>
        </w:rPr>
        <w:t>2. Why record rejected alternatives?</w:t>
      </w:r>
    </w:p>
    <w:p>
      <w:pPr>
        <w:spacing w:after="120"/>
        <w:ind w:left="216"/>
      </w:pPr>
      <w:r>
        <w:t>They explain the decision boundary and prevent old debates from restarting without new evidence.</w:t>
      </w:r>
    </w:p>
    <w:p>
      <w:pPr>
        <w:spacing w:after="40"/>
      </w:pPr>
      <w:r>
        <w:rPr>
          <w:b/>
        </w:rPr>
        <w:t>3. What is a reversible decision?</w:t>
      </w:r>
    </w:p>
    <w:p>
      <w:pPr>
        <w:spacing w:after="120"/>
        <w:ind w:left="216"/>
      </w:pPr>
      <w:r>
        <w:t>A choice that can be changed with limited cost, downtime, and data impact.</w:t>
      </w:r>
    </w:p>
    <w:p>
      <w:pPr>
        <w:spacing w:after="40"/>
      </w:pPr>
      <w:r>
        <w:rPr>
          <w:b/>
        </w:rPr>
        <w:t>4. How do you prioritize review findings?</w:t>
      </w:r>
    </w:p>
    <w:p>
      <w:pPr>
        <w:spacing w:after="120"/>
        <w:ind w:left="216"/>
      </w:pPr>
      <w:r>
        <w:t>By business impact, likelihood, detectability, recovery difficulty, and dependency breadth.</w:t>
      </w:r>
    </w:p>
    <w:p>
      <w:pPr>
        <w:pStyle w:val="Heading2"/>
      </w:pPr>
      <w:r>
        <w:t>Chapter Summary</w:t>
      </w:r>
    </w:p>
    <w:p>
      <w:pPr>
        <w:pStyle w:val="ListBullet"/>
        <w:spacing w:after="60"/>
      </w:pPr>
      <w:r>
        <w:t>Architecture is a decision system, not a product catalog.</w:t>
      </w:r>
    </w:p>
    <w:p>
      <w:pPr>
        <w:pStyle w:val="ListBullet"/>
        <w:spacing w:after="60"/>
      </w:pPr>
      <w:r>
        <w:t>Use measurable quality attributes and evidence.</w:t>
      </w:r>
    </w:p>
    <w:p>
      <w:pPr>
        <w:pStyle w:val="ListBullet"/>
        <w:spacing w:after="60"/>
      </w:pPr>
      <w:r>
        <w:t>Record trade-offs and accepted risk in ADRs.</w:t>
      </w:r>
    </w:p>
    <w:p>
      <w:pPr>
        <w:pStyle w:val="ListBullet"/>
        <w:spacing w:after="60"/>
      </w:pPr>
      <w:r>
        <w:t>Reassess after meaningful change.</w:t>
      </w:r>
    </w:p>
    <w:p>
      <w:pPr>
        <w:pStyle w:val="Heading1"/>
        <w:pageBreakBefore/>
      </w:pPr>
      <w:r>
        <w:t>Chapter 57 - Enterprise SaaS Architecture on Azure</w:t>
      </w:r>
    </w:p>
    <w:p>
      <w:pPr>
        <w:spacing w:after="120"/>
      </w:pPr>
      <w:r>
        <w:rPr>
          <w:i/>
          <w:color w:val="505050"/>
        </w:rPr>
        <w:t>Designing secure, scalable, tenant-aware software-as-a-service platforms</w:t>
      </w:r>
    </w:p>
    <w:p>
      <w:pPr>
        <w:pStyle w:val="Heading2"/>
      </w:pPr>
      <w:r>
        <w:t>Learning Objectives</w:t>
      </w:r>
    </w:p>
    <w:p>
      <w:pPr>
        <w:pStyle w:val="ListBullet"/>
        <w:spacing w:after="60"/>
      </w:pPr>
      <w:r>
        <w:t>Choose an isolation model based on risk, scale, customization, and cost.</w:t>
      </w:r>
    </w:p>
    <w:p>
      <w:pPr>
        <w:pStyle w:val="ListBullet"/>
        <w:spacing w:after="60"/>
      </w:pPr>
      <w:r>
        <w:t>Design tenant identity, routing, data partitioning, quotas, metering, and lifecycle automation.</w:t>
      </w:r>
    </w:p>
    <w:p>
      <w:pPr>
        <w:pStyle w:val="ListBullet"/>
        <w:spacing w:after="60"/>
      </w:pPr>
      <w:r>
        <w:t>Prevent noisy-neighbor and cross-tenant data exposure.</w:t>
      </w:r>
    </w:p>
    <w:p>
      <w:pPr>
        <w:pStyle w:val="ListBullet"/>
        <w:spacing w:after="60"/>
      </w:pPr>
      <w:r>
        <w:t>Operate SaaS through cells, rings, feature flags, and tenant-aware observability.</w:t>
      </w:r>
    </w:p>
    <w:p>
      <w:pPr>
        <w:pStyle w:val="Heading2"/>
      </w:pPr>
      <w:r>
        <w:t>57.1 Tenant Isolation Models</w:t>
      </w:r>
    </w:p>
    <w:p>
      <w:pPr>
        <w:spacing w:after="120"/>
      </w:pPr>
      <w:r>
        <w:rPr>
          <w:i w:val="0"/>
        </w:rPr>
        <w:t>SaaS isolation is a spectrum. Shared resources maximize efficiency; dedicated resources maximize isolation. Many enterprises combine models by tenant tier or regulatory profile.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0078D4"/>
            <w:tcMar>
              <w:top w:w="80" w:type="dxa"/>
              <w:start w:w="100" w:type="dxa"/>
              <w:bottom w:w="80" w:type="dxa"/>
              <w:end w:w="100" w:type="dxa"/>
            </w:tcMar>
            <w:vAlign w:val="center"/>
          </w:tcPr>
          <w:p>
            <w:pPr>
              <w:jc w:val="center"/>
            </w:pPr>
            <w:r>
              <w:rPr>
                <w:b/>
                <w:color w:val="FFFFFF"/>
                <w:sz w:val="17"/>
              </w:rPr>
              <w:t>Model</w:t>
            </w:r>
          </w:p>
        </w:tc>
        <w:tc>
          <w:tcPr>
            <w:tcW w:type="dxa" w:w="3600"/>
            <w:shd w:fill="0078D4"/>
            <w:tcMar>
              <w:top w:w="80" w:type="dxa"/>
              <w:start w:w="100" w:type="dxa"/>
              <w:bottom w:w="80" w:type="dxa"/>
              <w:end w:w="100" w:type="dxa"/>
            </w:tcMar>
            <w:vAlign w:val="center"/>
          </w:tcPr>
          <w:p>
            <w:pPr>
              <w:jc w:val="center"/>
            </w:pPr>
            <w:r>
              <w:rPr>
                <w:b/>
                <w:color w:val="FFFFFF"/>
                <w:sz w:val="17"/>
              </w:rPr>
              <w:t>Strength</w:t>
            </w:r>
          </w:p>
        </w:tc>
        <w:tc>
          <w:tcPr>
            <w:tcW w:type="dxa" w:w="3888"/>
            <w:shd w:fill="0078D4"/>
            <w:tcMar>
              <w:top w:w="80" w:type="dxa"/>
              <w:start w:w="100" w:type="dxa"/>
              <w:bottom w:w="80" w:type="dxa"/>
              <w:end w:w="100" w:type="dxa"/>
            </w:tcMar>
            <w:vAlign w:val="center"/>
          </w:tcPr>
          <w:p>
            <w:pPr>
              <w:jc w:val="center"/>
            </w:pPr>
            <w:r>
              <w:rPr>
                <w:b/>
                <w:color w:val="FFFFFF"/>
                <w:sz w:val="17"/>
              </w:rPr>
              <w:t>Risk / Cost</w:t>
            </w:r>
          </w:p>
        </w:tc>
      </w:tr>
      <w:tr>
        <w:trPr>
          <w:cantSplit/>
        </w:trPr>
        <w:tc>
          <w:tcPr>
            <w:tcW w:type="dxa" w:w="2592"/>
            <w:tcMar>
              <w:top w:w="80" w:type="dxa"/>
              <w:start w:w="100" w:type="dxa"/>
              <w:bottom w:w="80" w:type="dxa"/>
              <w:end w:w="100" w:type="dxa"/>
            </w:tcMar>
            <w:vAlign w:val="top"/>
          </w:tcPr>
          <w:p>
            <w:pPr>
              <w:spacing w:after="0"/>
            </w:pPr>
            <w:r>
              <w:rPr>
                <w:sz w:val="17"/>
              </w:rPr>
              <w:t>Shared application and database</w:t>
            </w:r>
          </w:p>
        </w:tc>
        <w:tc>
          <w:tcPr>
            <w:tcW w:type="dxa" w:w="3600"/>
            <w:tcMar>
              <w:top w:w="80" w:type="dxa"/>
              <w:start w:w="100" w:type="dxa"/>
              <w:bottom w:w="80" w:type="dxa"/>
              <w:end w:w="100" w:type="dxa"/>
            </w:tcMar>
            <w:vAlign w:val="top"/>
          </w:tcPr>
          <w:p>
            <w:pPr>
              <w:spacing w:after="0"/>
            </w:pPr>
            <w:r>
              <w:rPr>
                <w:sz w:val="17"/>
              </w:rPr>
              <w:t>Highest density and simplest fleet management</w:t>
            </w:r>
          </w:p>
        </w:tc>
        <w:tc>
          <w:tcPr>
            <w:tcW w:type="dxa" w:w="3888"/>
            <w:tcMar>
              <w:top w:w="80" w:type="dxa"/>
              <w:start w:w="100" w:type="dxa"/>
              <w:bottom w:w="80" w:type="dxa"/>
              <w:end w:w="100" w:type="dxa"/>
            </w:tcMar>
            <w:vAlign w:val="top"/>
          </w:tcPr>
          <w:p>
            <w:pPr>
              <w:spacing w:after="0"/>
            </w:pPr>
            <w:r>
              <w:rPr>
                <w:sz w:val="17"/>
              </w:rPr>
              <w:t>Requires flawless tenant authorization and partitioning.</w:t>
            </w:r>
          </w:p>
        </w:tc>
      </w:tr>
      <w:tr>
        <w:trPr>
          <w:cantSplit/>
        </w:trPr>
        <w:tc>
          <w:tcPr>
            <w:tcW w:type="dxa" w:w="2592"/>
            <w:tcMar>
              <w:top w:w="80" w:type="dxa"/>
              <w:start w:w="100" w:type="dxa"/>
              <w:bottom w:w="80" w:type="dxa"/>
              <w:end w:w="100" w:type="dxa"/>
            </w:tcMar>
            <w:vAlign w:val="top"/>
          </w:tcPr>
          <w:p>
            <w:pPr>
              <w:spacing w:after="0"/>
            </w:pPr>
            <w:r>
              <w:rPr>
                <w:sz w:val="17"/>
              </w:rPr>
              <w:t>Shared application, database per tenant</w:t>
            </w:r>
          </w:p>
        </w:tc>
        <w:tc>
          <w:tcPr>
            <w:tcW w:type="dxa" w:w="3600"/>
            <w:tcMar>
              <w:top w:w="80" w:type="dxa"/>
              <w:start w:w="100" w:type="dxa"/>
              <w:bottom w:w="80" w:type="dxa"/>
              <w:end w:w="100" w:type="dxa"/>
            </w:tcMar>
            <w:vAlign w:val="top"/>
          </w:tcPr>
          <w:p>
            <w:pPr>
              <w:spacing w:after="0"/>
            </w:pPr>
            <w:r>
              <w:rPr>
                <w:sz w:val="17"/>
              </w:rPr>
              <w:t>Stronger data isolation and restore flexibility</w:t>
            </w:r>
          </w:p>
        </w:tc>
        <w:tc>
          <w:tcPr>
            <w:tcW w:type="dxa" w:w="3888"/>
            <w:tcMar>
              <w:top w:w="80" w:type="dxa"/>
              <w:start w:w="100" w:type="dxa"/>
              <w:bottom w:w="80" w:type="dxa"/>
              <w:end w:w="100" w:type="dxa"/>
            </w:tcMar>
            <w:vAlign w:val="top"/>
          </w:tcPr>
          <w:p>
            <w:pPr>
              <w:spacing w:after="0"/>
            </w:pPr>
            <w:r>
              <w:rPr>
                <w:sz w:val="17"/>
              </w:rPr>
              <w:t>Connection, schema, and migration fleet complexity.</w:t>
            </w:r>
          </w:p>
        </w:tc>
      </w:tr>
      <w:tr>
        <w:trPr>
          <w:cantSplit/>
        </w:trPr>
        <w:tc>
          <w:tcPr>
            <w:tcW w:type="dxa" w:w="2592"/>
            <w:tcMar>
              <w:top w:w="80" w:type="dxa"/>
              <w:start w:w="100" w:type="dxa"/>
              <w:bottom w:w="80" w:type="dxa"/>
              <w:end w:w="100" w:type="dxa"/>
            </w:tcMar>
            <w:vAlign w:val="top"/>
          </w:tcPr>
          <w:p>
            <w:pPr>
              <w:spacing w:after="0"/>
            </w:pPr>
            <w:r>
              <w:rPr>
                <w:sz w:val="17"/>
              </w:rPr>
              <w:t>Dedicated stamp or subscription</w:t>
            </w:r>
          </w:p>
        </w:tc>
        <w:tc>
          <w:tcPr>
            <w:tcW w:type="dxa" w:w="3600"/>
            <w:tcMar>
              <w:top w:w="80" w:type="dxa"/>
              <w:start w:w="100" w:type="dxa"/>
              <w:bottom w:w="80" w:type="dxa"/>
              <w:end w:w="100" w:type="dxa"/>
            </w:tcMar>
            <w:vAlign w:val="top"/>
          </w:tcPr>
          <w:p>
            <w:pPr>
              <w:spacing w:after="0"/>
            </w:pPr>
            <w:r>
              <w:rPr>
                <w:sz w:val="17"/>
              </w:rPr>
              <w:t>Strong blast-radius and compliance isolation</w:t>
            </w:r>
          </w:p>
        </w:tc>
        <w:tc>
          <w:tcPr>
            <w:tcW w:type="dxa" w:w="3888"/>
            <w:tcMar>
              <w:top w:w="80" w:type="dxa"/>
              <w:start w:w="100" w:type="dxa"/>
              <w:bottom w:w="80" w:type="dxa"/>
              <w:end w:w="100" w:type="dxa"/>
            </w:tcMar>
            <w:vAlign w:val="top"/>
          </w:tcPr>
          <w:p>
            <w:pPr>
              <w:spacing w:after="0"/>
            </w:pPr>
            <w:r>
              <w:rPr>
                <w:sz w:val="17"/>
              </w:rPr>
              <w:t>Higher cost and slower provisioning.</w:t>
            </w:r>
          </w:p>
        </w:tc>
      </w:tr>
      <w:tr>
        <w:trPr>
          <w:cantSplit/>
        </w:trPr>
        <w:tc>
          <w:tcPr>
            <w:tcW w:type="dxa" w:w="2592"/>
            <w:tcMar>
              <w:top w:w="80" w:type="dxa"/>
              <w:start w:w="100" w:type="dxa"/>
              <w:bottom w:w="80" w:type="dxa"/>
              <w:end w:w="100" w:type="dxa"/>
            </w:tcMar>
            <w:vAlign w:val="top"/>
          </w:tcPr>
          <w:p>
            <w:pPr>
              <w:spacing w:after="0"/>
            </w:pPr>
            <w:r>
              <w:rPr>
                <w:sz w:val="17"/>
              </w:rPr>
              <w:t>Cell-based multi-tenant</w:t>
            </w:r>
          </w:p>
        </w:tc>
        <w:tc>
          <w:tcPr>
            <w:tcW w:type="dxa" w:w="3600"/>
            <w:tcMar>
              <w:top w:w="80" w:type="dxa"/>
              <w:start w:w="100" w:type="dxa"/>
              <w:bottom w:w="80" w:type="dxa"/>
              <w:end w:w="100" w:type="dxa"/>
            </w:tcMar>
            <w:vAlign w:val="top"/>
          </w:tcPr>
          <w:p>
            <w:pPr>
              <w:spacing w:after="0"/>
            </w:pPr>
            <w:r>
              <w:rPr>
                <w:sz w:val="17"/>
              </w:rPr>
              <w:t>Bounded blast radius with repeatable scale units</w:t>
            </w:r>
          </w:p>
        </w:tc>
        <w:tc>
          <w:tcPr>
            <w:tcW w:type="dxa" w:w="3888"/>
            <w:tcMar>
              <w:top w:w="80" w:type="dxa"/>
              <w:start w:w="100" w:type="dxa"/>
              <w:bottom w:w="80" w:type="dxa"/>
              <w:end w:w="100" w:type="dxa"/>
            </w:tcMar>
            <w:vAlign w:val="top"/>
          </w:tcPr>
          <w:p>
            <w:pPr>
              <w:spacing w:after="0"/>
            </w:pPr>
            <w:r>
              <w:rPr>
                <w:sz w:val="17"/>
              </w:rPr>
              <w:t>Requires routing, placement, and cell lifecycle automation.</w:t>
            </w:r>
          </w:p>
        </w:tc>
      </w:tr>
    </w:tbl>
    <w:p>
      <w:pPr>
        <w:spacing w:after="20"/>
      </w:pPr>
    </w:p>
    <w:p>
      <w:pPr>
        <w:pStyle w:val="Heading2"/>
      </w:pPr>
      <w:r>
        <w:t>57.2 Identity, Data, and Routing</w:t>
      </w:r>
    </w:p>
    <w:p>
      <w:pPr>
        <w:spacing w:after="120"/>
      </w:pPr>
      <w:r>
        <w:rPr>
          <w:i w:val="0"/>
        </w:rPr>
        <w:t>Use Microsoft Entra ID or an external customer identity solution appropriate to the product. Tenant identity must be present in every request context and authorization decision. Never trust a tenant identifier supplied only by the client. Enforce tenant scoping in APIs, data access, cache keys, events, logs, and backups.</w:t>
      </w:r>
    </w:p>
    <w:p>
      <w:pPr>
        <w:pStyle w:val="ListBullet"/>
        <w:spacing w:after="60"/>
      </w:pPr>
      <w:r>
        <w:t>Use Front Door or API Management for controlled ingress and tenant routing.</w:t>
      </w:r>
    </w:p>
    <w:p>
      <w:pPr>
        <w:pStyle w:val="ListBullet"/>
        <w:spacing w:after="60"/>
      </w:pPr>
      <w:r>
        <w:t>Partition Cosmos DB or relational data using explicit tenant-aware keys and indexes.</w:t>
      </w:r>
    </w:p>
    <w:p>
      <w:pPr>
        <w:pStyle w:val="ListBullet"/>
        <w:spacing w:after="60"/>
      </w:pPr>
      <w:r>
        <w:t>Use per-tenant encryption keys or dedicated stores for high-assurance tiers when justified.</w:t>
      </w:r>
    </w:p>
    <w:p>
      <w:pPr>
        <w:pStyle w:val="ListBullet"/>
        <w:spacing w:after="60"/>
      </w:pPr>
      <w:r>
        <w:t>Create tenant-aware quotas, rate limits, feature entitlements, and audit trails.</w:t>
      </w:r>
    </w:p>
    <w:p>
      <w:pPr>
        <w:pStyle w:val="Heading2"/>
      </w:pPr>
      <w:r>
        <w:t>57.3 Provisioning, Metering, and Lifecycle</w:t>
      </w:r>
    </w:p>
    <w:p>
      <w:pPr>
        <w:spacing w:after="120"/>
      </w:pPr>
      <w:r>
        <w:rPr>
          <w:i w:val="0"/>
        </w:rPr>
        <w:t>Tenant onboarding should be an idempotent workflow: identity, configuration, data placement, secrets, quotas, monitoring, billing metadata, validation, and rollback. Offboarding must cover legal retention, export, cryptographic erasure where applicable, and removal from routing.</w:t>
      </w:r>
    </w:p>
    <w:p>
      <w:pPr>
        <w:spacing w:after="60"/>
        <w:ind w:left="360" w:hanging="259"/>
      </w:pPr>
      <w:r>
        <w:rPr>
          <w:b/>
        </w:rPr>
        <w:t xml:space="preserve">1. </w:t>
      </w:r>
      <w:r>
        <w:t>Validate commercial entitlement and tenant identity.</w:t>
      </w:r>
    </w:p>
    <w:p>
      <w:pPr>
        <w:spacing w:after="60"/>
        <w:ind w:left="360" w:hanging="259"/>
      </w:pPr>
      <w:r>
        <w:rPr>
          <w:b/>
        </w:rPr>
        <w:t xml:space="preserve">2. </w:t>
      </w:r>
      <w:r>
        <w:t>Select region, cell, and isolation tier.</w:t>
      </w:r>
    </w:p>
    <w:p>
      <w:pPr>
        <w:spacing w:after="60"/>
        <w:ind w:left="360" w:hanging="259"/>
      </w:pPr>
      <w:r>
        <w:rPr>
          <w:b/>
        </w:rPr>
        <w:t xml:space="preserve">3. </w:t>
      </w:r>
      <w:r>
        <w:t>Provision through versioned IaC and workflow orchestration.</w:t>
      </w:r>
    </w:p>
    <w:p>
      <w:pPr>
        <w:spacing w:after="60"/>
        <w:ind w:left="360" w:hanging="259"/>
      </w:pPr>
      <w:r>
        <w:rPr>
          <w:b/>
        </w:rPr>
        <w:t xml:space="preserve">4. </w:t>
      </w:r>
      <w:r>
        <w:t>Run synthetic tenant tests and policy checks.</w:t>
      </w:r>
    </w:p>
    <w:p>
      <w:pPr>
        <w:spacing w:after="60"/>
        <w:ind w:left="360" w:hanging="259"/>
      </w:pPr>
      <w:r>
        <w:rPr>
          <w:b/>
        </w:rPr>
        <w:t xml:space="preserve">5. </w:t>
      </w:r>
      <w:r>
        <w:t>Emit metering events with idempotency and reconciliation.</w:t>
      </w:r>
    </w:p>
    <w:p>
      <w:pPr>
        <w:spacing w:after="60"/>
        <w:ind w:left="360" w:hanging="259"/>
      </w:pPr>
      <w:r>
        <w:rPr>
          <w:b/>
        </w:rPr>
        <w:t xml:space="preserve">6. </w:t>
      </w:r>
      <w:r>
        <w:t>Support suspend, restore, export, and deletion states.</w:t>
      </w:r>
    </w:p>
    <w:p>
      <w:pPr>
        <w:pStyle w:val="Heading2"/>
      </w:pPr>
      <w:r>
        <w:t>57.4 SaaS Operations</w:t>
      </w:r>
    </w:p>
    <w:p>
      <w:pPr>
        <w:spacing w:after="120"/>
      </w:pPr>
      <w:r>
        <w:rPr>
          <w:i w:val="0"/>
        </w:rPr>
        <w:t>Operate by rings and cells rather than one global deployment. Track SLOs by tenant tier, cell, and dependency. Maintain a control plane for placement and lifecycle, but keep tenant request paths independent of control-plane availability where possible.</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Tenant sees another tenant data</w:t>
            </w:r>
          </w:p>
        </w:tc>
        <w:tc>
          <w:tcPr>
            <w:tcW w:type="dxa" w:w="2592"/>
            <w:tcMar>
              <w:top w:w="80" w:type="dxa"/>
              <w:start w:w="100" w:type="dxa"/>
              <w:bottom w:w="80" w:type="dxa"/>
              <w:end w:w="100" w:type="dxa"/>
            </w:tcMar>
            <w:vAlign w:val="top"/>
          </w:tcPr>
          <w:p>
            <w:pPr>
              <w:spacing w:after="0"/>
            </w:pPr>
            <w:r>
              <w:rPr>
                <w:sz w:val="17"/>
              </w:rPr>
              <w:t>Missing authorization filter, cache-key collision, or event consumer bug</w:t>
            </w:r>
          </w:p>
        </w:tc>
        <w:tc>
          <w:tcPr>
            <w:tcW w:type="dxa" w:w="5328"/>
            <w:tcMar>
              <w:top w:w="80" w:type="dxa"/>
              <w:start w:w="100" w:type="dxa"/>
              <w:bottom w:w="80" w:type="dxa"/>
              <w:end w:w="100" w:type="dxa"/>
            </w:tcMar>
            <w:vAlign w:val="top"/>
          </w:tcPr>
          <w:p>
            <w:pPr>
              <w:spacing w:after="0"/>
            </w:pPr>
            <w:r>
              <w:rPr>
                <w:sz w:val="17"/>
              </w:rPr>
              <w:t>Disable affected path, preserve evidence, validate tenant context at every boundary, and run cross-tenant negative tests.</w:t>
            </w:r>
          </w:p>
        </w:tc>
      </w:tr>
      <w:tr>
        <w:trPr>
          <w:cantSplit/>
        </w:trPr>
        <w:tc>
          <w:tcPr>
            <w:tcW w:type="dxa" w:w="2160"/>
            <w:tcMar>
              <w:top w:w="80" w:type="dxa"/>
              <w:start w:w="100" w:type="dxa"/>
              <w:bottom w:w="80" w:type="dxa"/>
              <w:end w:w="100" w:type="dxa"/>
            </w:tcMar>
            <w:vAlign w:val="top"/>
          </w:tcPr>
          <w:p>
            <w:pPr>
              <w:spacing w:after="0"/>
            </w:pPr>
            <w:r>
              <w:rPr>
                <w:sz w:val="17"/>
              </w:rPr>
              <w:t>One tenant degrades all users</w:t>
            </w:r>
          </w:p>
        </w:tc>
        <w:tc>
          <w:tcPr>
            <w:tcW w:type="dxa" w:w="2592"/>
            <w:tcMar>
              <w:top w:w="80" w:type="dxa"/>
              <w:start w:w="100" w:type="dxa"/>
              <w:bottom w:w="80" w:type="dxa"/>
              <w:end w:w="100" w:type="dxa"/>
            </w:tcMar>
            <w:vAlign w:val="top"/>
          </w:tcPr>
          <w:p>
            <w:pPr>
              <w:spacing w:after="0"/>
            </w:pPr>
            <w:r>
              <w:rPr>
                <w:sz w:val="17"/>
              </w:rPr>
              <w:t>Unbounded concurrency, shared partition hotspot, or expensive query</w:t>
            </w:r>
          </w:p>
        </w:tc>
        <w:tc>
          <w:tcPr>
            <w:tcW w:type="dxa" w:w="5328"/>
            <w:tcMar>
              <w:top w:w="80" w:type="dxa"/>
              <w:start w:w="100" w:type="dxa"/>
              <w:bottom w:w="80" w:type="dxa"/>
              <w:end w:w="100" w:type="dxa"/>
            </w:tcMar>
            <w:vAlign w:val="top"/>
          </w:tcPr>
          <w:p>
            <w:pPr>
              <w:spacing w:after="0"/>
            </w:pPr>
            <w:r>
              <w:rPr>
                <w:sz w:val="17"/>
              </w:rPr>
              <w:t>Apply per-tenant quotas, partitioning, admission control, and workload isolation.</w:t>
            </w:r>
          </w:p>
        </w:tc>
      </w:tr>
      <w:tr>
        <w:trPr>
          <w:cantSplit/>
        </w:trPr>
        <w:tc>
          <w:tcPr>
            <w:tcW w:type="dxa" w:w="2160"/>
            <w:tcMar>
              <w:top w:w="80" w:type="dxa"/>
              <w:start w:w="100" w:type="dxa"/>
              <w:bottom w:w="80" w:type="dxa"/>
              <w:end w:w="100" w:type="dxa"/>
            </w:tcMar>
            <w:vAlign w:val="top"/>
          </w:tcPr>
          <w:p>
            <w:pPr>
              <w:spacing w:after="0"/>
            </w:pPr>
            <w:r>
              <w:rPr>
                <w:sz w:val="17"/>
              </w:rPr>
              <w:t>Provisioning partially succeeds</w:t>
            </w:r>
          </w:p>
        </w:tc>
        <w:tc>
          <w:tcPr>
            <w:tcW w:type="dxa" w:w="2592"/>
            <w:tcMar>
              <w:top w:w="80" w:type="dxa"/>
              <w:start w:w="100" w:type="dxa"/>
              <w:bottom w:w="80" w:type="dxa"/>
              <w:end w:w="100" w:type="dxa"/>
            </w:tcMar>
            <w:vAlign w:val="top"/>
          </w:tcPr>
          <w:p>
            <w:pPr>
              <w:spacing w:after="0"/>
            </w:pPr>
            <w:r>
              <w:rPr>
                <w:sz w:val="17"/>
              </w:rPr>
              <w:t>Non-idempotent workflow or missing compensation</w:t>
            </w:r>
          </w:p>
        </w:tc>
        <w:tc>
          <w:tcPr>
            <w:tcW w:type="dxa" w:w="5328"/>
            <w:tcMar>
              <w:top w:w="80" w:type="dxa"/>
              <w:start w:w="100" w:type="dxa"/>
              <w:bottom w:w="80" w:type="dxa"/>
              <w:end w:w="100" w:type="dxa"/>
            </w:tcMar>
            <w:vAlign w:val="top"/>
          </w:tcPr>
          <w:p>
            <w:pPr>
              <w:spacing w:after="0"/>
            </w:pPr>
            <w:r>
              <w:rPr>
                <w:sz w:val="17"/>
              </w:rPr>
              <w:t>Use durable orchestration, state transitions, retry-safe steps, and reconciliation.</w:t>
            </w:r>
          </w:p>
        </w:tc>
      </w:tr>
    </w:tbl>
    <w:p>
      <w:pPr>
        <w:spacing w:after="20"/>
      </w:pPr>
    </w:p>
    <w:p>
      <w:pPr>
        <w:pStyle w:val="Heading2"/>
      </w:pPr>
      <w:r>
        <w:t>Hands-on Lab 57: Design a Cell-Based SaaS Platform</w:t>
      </w:r>
    </w:p>
    <w:p>
      <w:pPr>
        <w:pStyle w:val="Heading3"/>
      </w:pPr>
      <w:r>
        <w:t>Prerequisites</w:t>
      </w:r>
    </w:p>
    <w:p>
      <w:pPr>
        <w:pStyle w:val="ListBullet"/>
        <w:spacing w:after="60"/>
      </w:pPr>
      <w:r>
        <w:t>A synthetic B2B application requirement and Azure sandbox.</w:t>
      </w:r>
    </w:p>
    <w:p>
      <w:pPr>
        <w:pStyle w:val="Heading3"/>
      </w:pPr>
      <w:r>
        <w:t>Implementation</w:t>
      </w:r>
    </w:p>
    <w:p>
      <w:pPr>
        <w:spacing w:after="60"/>
        <w:ind w:left="360" w:hanging="259"/>
      </w:pPr>
      <w:r>
        <w:rPr>
          <w:b/>
        </w:rPr>
        <w:t xml:space="preserve">1. </w:t>
      </w:r>
      <w:r>
        <w:t>Define tenant tiers, data classes, SLOs, and regulatory constraints.</w:t>
      </w:r>
    </w:p>
    <w:p>
      <w:pPr>
        <w:spacing w:after="60"/>
        <w:ind w:left="360" w:hanging="259"/>
      </w:pPr>
      <w:r>
        <w:rPr>
          <w:b/>
        </w:rPr>
        <w:t xml:space="preserve">2. </w:t>
      </w:r>
      <w:r>
        <w:t>Choose shared, dedicated, or cell-based isolation per tier.</w:t>
      </w:r>
    </w:p>
    <w:p>
      <w:pPr>
        <w:spacing w:after="60"/>
        <w:ind w:left="360" w:hanging="259"/>
      </w:pPr>
      <w:r>
        <w:rPr>
          <w:b/>
        </w:rPr>
        <w:t xml:space="preserve">3. </w:t>
      </w:r>
      <w:r>
        <w:t>Design tenant routing, identity propagation, data partitioning, cache keys, and event schemas.</w:t>
      </w:r>
    </w:p>
    <w:p>
      <w:pPr>
        <w:spacing w:after="60"/>
        <w:ind w:left="360" w:hanging="259"/>
      </w:pPr>
      <w:r>
        <w:rPr>
          <w:b/>
        </w:rPr>
        <w:t xml:space="preserve">4. </w:t>
      </w:r>
      <w:r>
        <w:t>Create an onboarding workflow with compensation and reconciliation.</w:t>
      </w:r>
    </w:p>
    <w:p>
      <w:pPr>
        <w:spacing w:after="60"/>
        <w:ind w:left="360" w:hanging="259"/>
      </w:pPr>
      <w:r>
        <w:rPr>
          <w:b/>
        </w:rPr>
        <w:t xml:space="preserve">5. </w:t>
      </w:r>
      <w:r>
        <w:t>Define tenant-aware dashboards, budgets, quotas, and alerting.</w:t>
      </w:r>
    </w:p>
    <w:p>
      <w:pPr>
        <w:spacing w:after="60"/>
        <w:ind w:left="360" w:hanging="259"/>
      </w:pPr>
      <w:r>
        <w:rPr>
          <w:b/>
        </w:rPr>
        <w:t xml:space="preserve">6. </w:t>
      </w:r>
      <w:r>
        <w:t>Run a noisy-neighbor and cross-tenant authorization test.</w:t>
      </w:r>
    </w:p>
    <w:p>
      <w:pPr>
        <w:pStyle w:val="Heading3"/>
      </w:pPr>
      <w:r>
        <w:t>Validation Evidence</w:t>
      </w:r>
    </w:p>
    <w:p>
      <w:pPr>
        <w:pStyle w:val="ListBullet"/>
        <w:spacing w:after="60"/>
      </w:pPr>
      <w:r>
        <w:t>No request can change tenant context after authentication.</w:t>
      </w:r>
    </w:p>
    <w:p>
      <w:pPr>
        <w:pStyle w:val="ListBullet"/>
        <w:spacing w:after="60"/>
      </w:pPr>
      <w:r>
        <w:t>A single cell failure has bounded impact.</w:t>
      </w:r>
    </w:p>
    <w:p>
      <w:pPr>
        <w:pStyle w:val="ListBullet"/>
        <w:spacing w:after="60"/>
      </w:pPr>
      <w:r>
        <w:t>Provisioning is retry safe.</w:t>
      </w:r>
    </w:p>
    <w:p>
      <w:pPr>
        <w:pStyle w:val="ListBullet"/>
        <w:spacing w:after="60"/>
      </w:pPr>
      <w:r>
        <w:t>Metering can be reconciled to source events.</w:t>
      </w:r>
    </w:p>
    <w:p>
      <w:pPr>
        <w:pStyle w:val="Heading3"/>
      </w:pPr>
      <w:r>
        <w:t>Cleanup</w:t>
      </w:r>
    </w:p>
    <w:p>
      <w:pPr>
        <w:pStyle w:val="ListBullet"/>
        <w:spacing w:after="60"/>
      </w:pPr>
      <w:r>
        <w:t>Delete synthetic tenants, cells, identities, and test data.</w:t>
      </w:r>
    </w:p>
    <w:p>
      <w:pPr>
        <w:pStyle w:val="ListBullet"/>
        <w:spacing w:after="60"/>
      </w:pPr>
      <w:r>
        <w:t>Remove temporary policies and budget alerts.</w:t>
      </w:r>
    </w:p>
    <w:p>
      <w:pPr>
        <w:pStyle w:val="Heading2"/>
      </w:pPr>
      <w:r>
        <w:t>Interview Questions and Model Answers</w:t>
      </w:r>
    </w:p>
    <w:p>
      <w:pPr>
        <w:spacing w:after="40"/>
      </w:pPr>
      <w:r>
        <w:rPr>
          <w:b/>
        </w:rPr>
        <w:t>1. How do you choose tenant isolation?</w:t>
      </w:r>
    </w:p>
    <w:p>
      <w:pPr>
        <w:spacing w:after="120"/>
        <w:ind w:left="216"/>
      </w:pPr>
      <w:r>
        <w:t>Balance regulatory risk, data sensitivity, workload variability, customization, operational scale, and cost.</w:t>
      </w:r>
    </w:p>
    <w:p>
      <w:pPr>
        <w:spacing w:after="40"/>
      </w:pPr>
      <w:r>
        <w:rPr>
          <w:b/>
        </w:rPr>
        <w:t>2. What is a SaaS cell?</w:t>
      </w:r>
    </w:p>
    <w:p>
      <w:pPr>
        <w:spacing w:after="120"/>
        <w:ind w:left="216"/>
      </w:pPr>
      <w:r>
        <w:t>A repeatable deployment unit serving a bounded tenant set to limit blast radius and scale horizontally.</w:t>
      </w:r>
    </w:p>
    <w:p>
      <w:pPr>
        <w:spacing w:after="40"/>
      </w:pPr>
      <w:r>
        <w:rPr>
          <w:b/>
        </w:rPr>
        <w:t>3. How do you prevent cross-tenant leakage?</w:t>
      </w:r>
    </w:p>
    <w:p>
      <w:pPr>
        <w:spacing w:after="120"/>
        <w:ind w:left="216"/>
      </w:pPr>
      <w:r>
        <w:t>Trusted tenant context, centralized authorization, partition-aware data access, negative tests, and tenant-aware caches/events.</w:t>
      </w:r>
    </w:p>
    <w:p>
      <w:pPr>
        <w:spacing w:after="40"/>
      </w:pPr>
      <w:r>
        <w:rPr>
          <w:b/>
        </w:rPr>
        <w:t>4. Why separate control plane and data plane?</w:t>
      </w:r>
    </w:p>
    <w:p>
      <w:pPr>
        <w:spacing w:after="120"/>
        <w:ind w:left="216"/>
      </w:pPr>
      <w:r>
        <w:t>Tenant traffic should continue even when lifecycle and administrative services are impaired.</w:t>
      </w:r>
    </w:p>
    <w:p>
      <w:pPr>
        <w:pStyle w:val="Heading2"/>
      </w:pPr>
      <w:r>
        <w:t>Chapter Summary</w:t>
      </w:r>
    </w:p>
    <w:p>
      <w:pPr>
        <w:pStyle w:val="ListBullet"/>
        <w:spacing w:after="60"/>
      </w:pPr>
      <w:r>
        <w:t>Isolation is a business and security decision.</w:t>
      </w:r>
    </w:p>
    <w:p>
      <w:pPr>
        <w:pStyle w:val="ListBullet"/>
        <w:spacing w:after="60"/>
      </w:pPr>
      <w:r>
        <w:t>Propagate trusted tenant context end to end.</w:t>
      </w:r>
    </w:p>
    <w:p>
      <w:pPr>
        <w:pStyle w:val="ListBullet"/>
        <w:spacing w:after="60"/>
      </w:pPr>
      <w:r>
        <w:t>Automate lifecycle with idempotent workflows.</w:t>
      </w:r>
    </w:p>
    <w:p>
      <w:pPr>
        <w:pStyle w:val="ListBullet"/>
        <w:spacing w:after="60"/>
      </w:pPr>
      <w:r>
        <w:t>Operate by cells, rings, quotas, and tenant-aware telemetry.</w:t>
      </w:r>
    </w:p>
    <w:p>
      <w:pPr>
        <w:pStyle w:val="Heading1"/>
        <w:pageBreakBefore/>
      </w:pPr>
      <w:r>
        <w:t>Chapter 58 - Hybrid Cloud, Azure Arc, and Migration Factories</w:t>
      </w:r>
    </w:p>
    <w:p>
      <w:pPr>
        <w:spacing w:after="120"/>
      </w:pPr>
      <w:r>
        <w:rPr>
          <w:i/>
          <w:color w:val="505050"/>
        </w:rPr>
        <w:t>Building repeatable discovery, assessment, migration, modernization, and governance across datacenters and clouds</w:t>
      </w:r>
    </w:p>
    <w:p>
      <w:pPr>
        <w:pStyle w:val="Heading2"/>
      </w:pPr>
      <w:r>
        <w:t>Learning Objectives</w:t>
      </w:r>
    </w:p>
    <w:p>
      <w:pPr>
        <w:pStyle w:val="ListBullet"/>
        <w:spacing w:after="60"/>
      </w:pPr>
      <w:r>
        <w:t>Use the Cloud Adoption Framework to organize migration outcomes and responsibilities.</w:t>
      </w:r>
    </w:p>
    <w:p>
      <w:pPr>
        <w:pStyle w:val="ListBullet"/>
        <w:spacing w:after="60"/>
      </w:pPr>
      <w:r>
        <w:t>Design discovery, dependency mapping, assessment, wave planning, cutover, and rollback.</w:t>
      </w:r>
    </w:p>
    <w:p>
      <w:pPr>
        <w:pStyle w:val="ListBullet"/>
        <w:spacing w:after="60"/>
      </w:pPr>
      <w:r>
        <w:t>Use Azure Arc to extend governance and operations to hybrid resources.</w:t>
      </w:r>
    </w:p>
    <w:p>
      <w:pPr>
        <w:pStyle w:val="ListBullet"/>
        <w:spacing w:after="60"/>
      </w:pPr>
      <w:r>
        <w:t>Create a migration factory with reusable landing zones, pipelines, evidence, and governance.</w:t>
      </w:r>
    </w:p>
    <w:p>
      <w:pPr>
        <w:pStyle w:val="Heading2"/>
      </w:pPr>
      <w:r>
        <w:t>58.1 Migration Strategy and Rationalization</w:t>
      </w:r>
    </w:p>
    <w:p>
      <w:pPr>
        <w:spacing w:after="120"/>
      </w:pPr>
      <w:r>
        <w:rPr>
          <w:i w:val="0"/>
        </w:rPr>
        <w:t>Classify workloads using rationalization choices such as rehost, replatform, refactor, rearchitect, rebuild, replace, retire, or retain. The correct choice depends on business value, technical debt, supportability, dependency complexity, compliance, and time.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Decision</w:t>
            </w:r>
          </w:p>
        </w:tc>
        <w:tc>
          <w:tcPr>
            <w:tcW w:type="dxa" w:w="3744"/>
            <w:shd w:fill="0078D4"/>
            <w:tcMar>
              <w:top w:w="80" w:type="dxa"/>
              <w:start w:w="100" w:type="dxa"/>
              <w:bottom w:w="80" w:type="dxa"/>
              <w:end w:w="100" w:type="dxa"/>
            </w:tcMar>
            <w:vAlign w:val="center"/>
          </w:tcPr>
          <w:p>
            <w:pPr>
              <w:jc w:val="center"/>
            </w:pPr>
            <w:r>
              <w:rPr>
                <w:b/>
                <w:color w:val="FFFFFF"/>
                <w:sz w:val="17"/>
              </w:rPr>
              <w:t>Use When</w:t>
            </w:r>
          </w:p>
        </w:tc>
        <w:tc>
          <w:tcPr>
            <w:tcW w:type="dxa" w:w="4320"/>
            <w:shd w:fill="0078D4"/>
            <w:tcMar>
              <w:top w:w="80" w:type="dxa"/>
              <w:start w:w="100" w:type="dxa"/>
              <w:bottom w:w="80" w:type="dxa"/>
              <w:end w:w="100" w:type="dxa"/>
            </w:tcMar>
            <w:vAlign w:val="center"/>
          </w:tcPr>
          <w:p>
            <w:pPr>
              <w:jc w:val="center"/>
            </w:pPr>
            <w:r>
              <w:rPr>
                <w:b/>
                <w:color w:val="FFFFFF"/>
                <w:sz w:val="17"/>
              </w:rPr>
              <w:t>Hidden Risk</w:t>
            </w:r>
          </w:p>
        </w:tc>
      </w:tr>
      <w:tr>
        <w:trPr>
          <w:cantSplit/>
        </w:trPr>
        <w:tc>
          <w:tcPr>
            <w:tcW w:type="dxa" w:w="2016"/>
            <w:tcMar>
              <w:top w:w="80" w:type="dxa"/>
              <w:start w:w="100" w:type="dxa"/>
              <w:bottom w:w="80" w:type="dxa"/>
              <w:end w:w="100" w:type="dxa"/>
            </w:tcMar>
            <w:vAlign w:val="top"/>
          </w:tcPr>
          <w:p>
            <w:pPr>
              <w:spacing w:after="0"/>
            </w:pPr>
            <w:r>
              <w:rPr>
                <w:sz w:val="17"/>
              </w:rPr>
              <w:t>Rehost</w:t>
            </w:r>
          </w:p>
        </w:tc>
        <w:tc>
          <w:tcPr>
            <w:tcW w:type="dxa" w:w="3744"/>
            <w:tcMar>
              <w:top w:w="80" w:type="dxa"/>
              <w:start w:w="100" w:type="dxa"/>
              <w:bottom w:w="80" w:type="dxa"/>
              <w:end w:w="100" w:type="dxa"/>
            </w:tcMar>
            <w:vAlign w:val="top"/>
          </w:tcPr>
          <w:p>
            <w:pPr>
              <w:spacing w:after="0"/>
            </w:pPr>
            <w:r>
              <w:rPr>
                <w:sz w:val="17"/>
              </w:rPr>
              <w:t>Urgent datacenter exit and low change tolerance</w:t>
            </w:r>
          </w:p>
        </w:tc>
        <w:tc>
          <w:tcPr>
            <w:tcW w:type="dxa" w:w="4320"/>
            <w:tcMar>
              <w:top w:w="80" w:type="dxa"/>
              <w:start w:w="100" w:type="dxa"/>
              <w:bottom w:w="80" w:type="dxa"/>
              <w:end w:w="100" w:type="dxa"/>
            </w:tcMar>
            <w:vAlign w:val="top"/>
          </w:tcPr>
          <w:p>
            <w:pPr>
              <w:spacing w:after="0"/>
            </w:pPr>
            <w:r>
              <w:rPr>
                <w:sz w:val="17"/>
              </w:rPr>
              <w:t>Carries technical debt and inefficient sizing.</w:t>
            </w:r>
          </w:p>
        </w:tc>
      </w:tr>
      <w:tr>
        <w:trPr>
          <w:cantSplit/>
        </w:trPr>
        <w:tc>
          <w:tcPr>
            <w:tcW w:type="dxa" w:w="2016"/>
            <w:tcMar>
              <w:top w:w="80" w:type="dxa"/>
              <w:start w:w="100" w:type="dxa"/>
              <w:bottom w:w="80" w:type="dxa"/>
              <w:end w:w="100" w:type="dxa"/>
            </w:tcMar>
            <w:vAlign w:val="top"/>
          </w:tcPr>
          <w:p>
            <w:pPr>
              <w:spacing w:after="0"/>
            </w:pPr>
            <w:r>
              <w:rPr>
                <w:sz w:val="17"/>
              </w:rPr>
              <w:t>Replatform</w:t>
            </w:r>
          </w:p>
        </w:tc>
        <w:tc>
          <w:tcPr>
            <w:tcW w:type="dxa" w:w="3744"/>
            <w:tcMar>
              <w:top w:w="80" w:type="dxa"/>
              <w:start w:w="100" w:type="dxa"/>
              <w:bottom w:w="80" w:type="dxa"/>
              <w:end w:w="100" w:type="dxa"/>
            </w:tcMar>
            <w:vAlign w:val="top"/>
          </w:tcPr>
          <w:p>
            <w:pPr>
              <w:spacing w:after="0"/>
            </w:pPr>
            <w:r>
              <w:rPr>
                <w:sz w:val="17"/>
              </w:rPr>
              <w:t>Managed service offers clear operational benefit</w:t>
            </w:r>
          </w:p>
        </w:tc>
        <w:tc>
          <w:tcPr>
            <w:tcW w:type="dxa" w:w="4320"/>
            <w:tcMar>
              <w:top w:w="80" w:type="dxa"/>
              <w:start w:w="100" w:type="dxa"/>
              <w:bottom w:w="80" w:type="dxa"/>
              <w:end w:w="100" w:type="dxa"/>
            </w:tcMar>
            <w:vAlign w:val="top"/>
          </w:tcPr>
          <w:p>
            <w:pPr>
              <w:spacing w:after="0"/>
            </w:pPr>
            <w:r>
              <w:rPr>
                <w:sz w:val="17"/>
              </w:rPr>
              <w:t>Compatibility and performance assumptions.</w:t>
            </w:r>
          </w:p>
        </w:tc>
      </w:tr>
      <w:tr>
        <w:trPr>
          <w:cantSplit/>
        </w:trPr>
        <w:tc>
          <w:tcPr>
            <w:tcW w:type="dxa" w:w="2016"/>
            <w:tcMar>
              <w:top w:w="80" w:type="dxa"/>
              <w:start w:w="100" w:type="dxa"/>
              <w:bottom w:w="80" w:type="dxa"/>
              <w:end w:w="100" w:type="dxa"/>
            </w:tcMar>
            <w:vAlign w:val="top"/>
          </w:tcPr>
          <w:p>
            <w:pPr>
              <w:spacing w:after="0"/>
            </w:pPr>
            <w:r>
              <w:rPr>
                <w:sz w:val="17"/>
              </w:rPr>
              <w:t>Refactor / rearchitect</w:t>
            </w:r>
          </w:p>
        </w:tc>
        <w:tc>
          <w:tcPr>
            <w:tcW w:type="dxa" w:w="3744"/>
            <w:tcMar>
              <w:top w:w="80" w:type="dxa"/>
              <w:start w:w="100" w:type="dxa"/>
              <w:bottom w:w="80" w:type="dxa"/>
              <w:end w:w="100" w:type="dxa"/>
            </w:tcMar>
            <w:vAlign w:val="top"/>
          </w:tcPr>
          <w:p>
            <w:pPr>
              <w:spacing w:after="0"/>
            </w:pPr>
            <w:r>
              <w:rPr>
                <w:sz w:val="17"/>
              </w:rPr>
              <w:t>Business change and scalability justify investment</w:t>
            </w:r>
          </w:p>
        </w:tc>
        <w:tc>
          <w:tcPr>
            <w:tcW w:type="dxa" w:w="4320"/>
            <w:tcMar>
              <w:top w:w="80" w:type="dxa"/>
              <w:start w:w="100" w:type="dxa"/>
              <w:bottom w:w="80" w:type="dxa"/>
              <w:end w:w="100" w:type="dxa"/>
            </w:tcMar>
            <w:vAlign w:val="top"/>
          </w:tcPr>
          <w:p>
            <w:pPr>
              <w:spacing w:after="0"/>
            </w:pPr>
            <w:r>
              <w:rPr>
                <w:sz w:val="17"/>
              </w:rPr>
              <w:t>Longer delivery and dual-running complexity.</w:t>
            </w:r>
          </w:p>
        </w:tc>
      </w:tr>
      <w:tr>
        <w:trPr>
          <w:cantSplit/>
        </w:trPr>
        <w:tc>
          <w:tcPr>
            <w:tcW w:type="dxa" w:w="2016"/>
            <w:tcMar>
              <w:top w:w="80" w:type="dxa"/>
              <w:start w:w="100" w:type="dxa"/>
              <w:bottom w:w="80" w:type="dxa"/>
              <w:end w:w="100" w:type="dxa"/>
            </w:tcMar>
            <w:vAlign w:val="top"/>
          </w:tcPr>
          <w:p>
            <w:pPr>
              <w:spacing w:after="0"/>
            </w:pPr>
            <w:r>
              <w:rPr>
                <w:sz w:val="17"/>
              </w:rPr>
              <w:t>Retire / replace</w:t>
            </w:r>
          </w:p>
        </w:tc>
        <w:tc>
          <w:tcPr>
            <w:tcW w:type="dxa" w:w="3744"/>
            <w:tcMar>
              <w:top w:w="80" w:type="dxa"/>
              <w:start w:w="100" w:type="dxa"/>
              <w:bottom w:w="80" w:type="dxa"/>
              <w:end w:w="100" w:type="dxa"/>
            </w:tcMar>
            <w:vAlign w:val="top"/>
          </w:tcPr>
          <w:p>
            <w:pPr>
              <w:spacing w:after="0"/>
            </w:pPr>
            <w:r>
              <w:rPr>
                <w:sz w:val="17"/>
              </w:rPr>
              <w:t>Low value or commodity capability</w:t>
            </w:r>
          </w:p>
        </w:tc>
        <w:tc>
          <w:tcPr>
            <w:tcW w:type="dxa" w:w="4320"/>
            <w:tcMar>
              <w:top w:w="80" w:type="dxa"/>
              <w:start w:w="100" w:type="dxa"/>
              <w:bottom w:w="80" w:type="dxa"/>
              <w:end w:w="100" w:type="dxa"/>
            </w:tcMar>
            <w:vAlign w:val="top"/>
          </w:tcPr>
          <w:p>
            <w:pPr>
              <w:spacing w:after="0"/>
            </w:pPr>
            <w:r>
              <w:rPr>
                <w:sz w:val="17"/>
              </w:rPr>
              <w:t>Data retention, integration, and user transition.</w:t>
            </w:r>
          </w:p>
        </w:tc>
      </w:tr>
    </w:tbl>
    <w:p>
      <w:pPr>
        <w:spacing w:after="20"/>
      </w:pPr>
    </w:p>
    <w:p>
      <w:pPr>
        <w:pStyle w:val="Heading2"/>
      </w:pPr>
      <w:r>
        <w:t>58.2 Discovery and Wave Planning</w:t>
      </w:r>
    </w:p>
    <w:p>
      <w:pPr>
        <w:spacing w:after="120"/>
      </w:pPr>
      <w:r>
        <w:rPr>
          <w:i w:val="0"/>
        </w:rPr>
        <w:t>Inventory servers, databases, applications, identities, certificates, network flows, data volumes, maintenance windows, owners, and compliance requirements. Dependency mapping is critical: a “simple” VM may rely on DNS, legacy authentication, file shares, batch jobs, firewall rules, and undocumented manual processes.</w:t>
      </w:r>
    </w:p>
    <w:p>
      <w:pPr>
        <w:pStyle w:val="ListBullet"/>
        <w:spacing w:after="60"/>
      </w:pPr>
      <w:r>
        <w:t>Group waves by dependency, business calendar, owner readiness, and rollback feasibility.</w:t>
      </w:r>
    </w:p>
    <w:p>
      <w:pPr>
        <w:pStyle w:val="ListBullet"/>
        <w:spacing w:after="60"/>
      </w:pPr>
      <w:r>
        <w:t>Establish landing-zone capacity, network connectivity, DNS, identity, logging, backup, and policy before migration.</w:t>
      </w:r>
    </w:p>
    <w:p>
      <w:pPr>
        <w:pStyle w:val="ListBullet"/>
        <w:spacing w:after="60"/>
      </w:pPr>
      <w:r>
        <w:t>Define data-transfer method and synchronization window.</w:t>
      </w:r>
    </w:p>
    <w:p>
      <w:pPr>
        <w:pStyle w:val="ListBullet"/>
        <w:spacing w:after="60"/>
      </w:pPr>
      <w:r>
        <w:t>Set acceptance criteria and business validation for each wave.</w:t>
      </w:r>
    </w:p>
    <w:p>
      <w:pPr>
        <w:pStyle w:val="Heading2"/>
      </w:pPr>
      <w:r>
        <w:t>58.3 Azure Arc and Hybrid Operations</w:t>
      </w:r>
    </w:p>
    <w:p>
      <w:pPr>
        <w:spacing w:after="120"/>
      </w:pPr>
      <w:r>
        <w:rPr>
          <w:i w:val="0"/>
        </w:rPr>
        <w:t>Azure Arc projects Azure management capabilities onto supported non-Azure resources. Use it for inventory, policy, configuration, monitoring, security posture, and controlled operations where supported. Arc does not eliminate underlying platform ownership; patching, networking, identity, and lifecycle boundaries remain explicit.</w:t>
      </w:r>
    </w:p>
    <w:p>
      <w:pPr>
        <w:pStyle w:val="Heading2"/>
      </w:pPr>
      <w:r>
        <w:t>58.4 Migration Factory Operating Model</w:t>
      </w:r>
    </w:p>
    <w:p>
      <w:pPr>
        <w:spacing w:after="120"/>
      </w:pPr>
      <w:r>
        <w:rPr>
          <w:i w:val="0"/>
        </w:rPr>
        <w:t>A migration factory standardizes assessment templates, landing zones, patterns, pipelines, runbooks, test evidence, cost models, and exception handling. Central teams provide paved roads while workload teams remain accountable for application validation and data correctness.</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Assessment underestimates dependencies</w:t>
            </w:r>
          </w:p>
        </w:tc>
        <w:tc>
          <w:tcPr>
            <w:tcW w:type="dxa" w:w="2592"/>
            <w:tcMar>
              <w:top w:w="80" w:type="dxa"/>
              <w:start w:w="100" w:type="dxa"/>
              <w:bottom w:w="80" w:type="dxa"/>
              <w:end w:w="100" w:type="dxa"/>
            </w:tcMar>
            <w:vAlign w:val="top"/>
          </w:tcPr>
          <w:p>
            <w:pPr>
              <w:spacing w:after="0"/>
            </w:pPr>
            <w:r>
              <w:rPr>
                <w:sz w:val="17"/>
              </w:rPr>
              <w:t>Incomplete discovery window or encrypted/blocked telemetry</w:t>
            </w:r>
          </w:p>
        </w:tc>
        <w:tc>
          <w:tcPr>
            <w:tcW w:type="dxa" w:w="5328"/>
            <w:tcMar>
              <w:top w:w="80" w:type="dxa"/>
              <w:start w:w="100" w:type="dxa"/>
              <w:bottom w:w="80" w:type="dxa"/>
              <w:end w:w="100" w:type="dxa"/>
            </w:tcMar>
            <w:vAlign w:val="top"/>
          </w:tcPr>
          <w:p>
            <w:pPr>
              <w:spacing w:after="0"/>
            </w:pPr>
            <w:r>
              <w:rPr>
                <w:sz w:val="17"/>
              </w:rPr>
              <w:t>Extend observation period, interview owners, inspect DNS/firewall logs, and validate dependency map during rehearsal.</w:t>
            </w:r>
          </w:p>
        </w:tc>
      </w:tr>
      <w:tr>
        <w:trPr>
          <w:cantSplit/>
        </w:trPr>
        <w:tc>
          <w:tcPr>
            <w:tcW w:type="dxa" w:w="2160"/>
            <w:tcMar>
              <w:top w:w="80" w:type="dxa"/>
              <w:start w:w="100" w:type="dxa"/>
              <w:bottom w:w="80" w:type="dxa"/>
              <w:end w:w="100" w:type="dxa"/>
            </w:tcMar>
            <w:vAlign w:val="top"/>
          </w:tcPr>
          <w:p>
            <w:pPr>
              <w:spacing w:after="0"/>
            </w:pPr>
            <w:r>
              <w:rPr>
                <w:sz w:val="17"/>
              </w:rPr>
              <w:t>Cutover exceeds window</w:t>
            </w:r>
          </w:p>
        </w:tc>
        <w:tc>
          <w:tcPr>
            <w:tcW w:type="dxa" w:w="2592"/>
            <w:tcMar>
              <w:top w:w="80" w:type="dxa"/>
              <w:start w:w="100" w:type="dxa"/>
              <w:bottom w:w="80" w:type="dxa"/>
              <w:end w:w="100" w:type="dxa"/>
            </w:tcMar>
            <w:vAlign w:val="top"/>
          </w:tcPr>
          <w:p>
            <w:pPr>
              <w:spacing w:after="0"/>
            </w:pPr>
            <w:r>
              <w:rPr>
                <w:sz w:val="17"/>
              </w:rPr>
              <w:t>Data sync slower than modeled or manual steps dominate</w:t>
            </w:r>
          </w:p>
        </w:tc>
        <w:tc>
          <w:tcPr>
            <w:tcW w:type="dxa" w:w="5328"/>
            <w:tcMar>
              <w:top w:w="80" w:type="dxa"/>
              <w:start w:w="100" w:type="dxa"/>
              <w:bottom w:w="80" w:type="dxa"/>
              <w:end w:w="100" w:type="dxa"/>
            </w:tcMar>
            <w:vAlign w:val="top"/>
          </w:tcPr>
          <w:p>
            <w:pPr>
              <w:spacing w:after="0"/>
            </w:pPr>
            <w:r>
              <w:rPr>
                <w:sz w:val="17"/>
              </w:rPr>
              <w:t>Benchmark transfer, automate runbook, pre-stage data, and rehearse rollback.</w:t>
            </w:r>
          </w:p>
        </w:tc>
      </w:tr>
      <w:tr>
        <w:trPr>
          <w:cantSplit/>
        </w:trPr>
        <w:tc>
          <w:tcPr>
            <w:tcW w:type="dxa" w:w="2160"/>
            <w:tcMar>
              <w:top w:w="80" w:type="dxa"/>
              <w:start w:w="100" w:type="dxa"/>
              <w:bottom w:w="80" w:type="dxa"/>
              <w:end w:w="100" w:type="dxa"/>
            </w:tcMar>
            <w:vAlign w:val="top"/>
          </w:tcPr>
          <w:p>
            <w:pPr>
              <w:spacing w:after="0"/>
            </w:pPr>
            <w:r>
              <w:rPr>
                <w:sz w:val="17"/>
              </w:rPr>
              <w:t>Arc resource noncompliant</w:t>
            </w:r>
          </w:p>
        </w:tc>
        <w:tc>
          <w:tcPr>
            <w:tcW w:type="dxa" w:w="2592"/>
            <w:tcMar>
              <w:top w:w="80" w:type="dxa"/>
              <w:start w:w="100" w:type="dxa"/>
              <w:bottom w:w="80" w:type="dxa"/>
              <w:end w:w="100" w:type="dxa"/>
            </w:tcMar>
            <w:vAlign w:val="top"/>
          </w:tcPr>
          <w:p>
            <w:pPr>
              <w:spacing w:after="0"/>
            </w:pPr>
            <w:r>
              <w:rPr>
                <w:sz w:val="17"/>
              </w:rPr>
              <w:t>Agent connectivity, identity, policy assignment, or unsupported feature</w:t>
            </w:r>
          </w:p>
        </w:tc>
        <w:tc>
          <w:tcPr>
            <w:tcW w:type="dxa" w:w="5328"/>
            <w:tcMar>
              <w:top w:w="80" w:type="dxa"/>
              <w:start w:w="100" w:type="dxa"/>
              <w:bottom w:w="80" w:type="dxa"/>
              <w:end w:w="100" w:type="dxa"/>
            </w:tcMar>
            <w:vAlign w:val="top"/>
          </w:tcPr>
          <w:p>
            <w:pPr>
              <w:spacing w:after="0"/>
            </w:pPr>
            <w:r>
              <w:rPr>
                <w:sz w:val="17"/>
              </w:rPr>
              <w:t>Validate agent status, proxy/firewall, scope, guest configuration, and feature support.</w:t>
            </w:r>
          </w:p>
        </w:tc>
      </w:tr>
    </w:tbl>
    <w:p>
      <w:pPr>
        <w:spacing w:after="20"/>
      </w:pPr>
    </w:p>
    <w:p>
      <w:pPr>
        <w:pStyle w:val="Heading2"/>
      </w:pPr>
      <w:r>
        <w:t>Hands-on Lab 58: Build a Migration Wave Plan</w:t>
      </w:r>
    </w:p>
    <w:p>
      <w:pPr>
        <w:pStyle w:val="Heading3"/>
      </w:pPr>
      <w:r>
        <w:t>Prerequisites</w:t>
      </w:r>
    </w:p>
    <w:p>
      <w:pPr>
        <w:pStyle w:val="ListBullet"/>
        <w:spacing w:after="60"/>
      </w:pPr>
      <w:r>
        <w:t>A synthetic portfolio of at least ten workloads with owners, dependencies, and business criticality.</w:t>
      </w:r>
    </w:p>
    <w:p>
      <w:pPr>
        <w:pStyle w:val="Heading3"/>
      </w:pPr>
      <w:r>
        <w:t>Implementation</w:t>
      </w:r>
    </w:p>
    <w:p>
      <w:pPr>
        <w:spacing w:after="60"/>
        <w:ind w:left="360" w:hanging="259"/>
      </w:pPr>
      <w:r>
        <w:rPr>
          <w:b/>
        </w:rPr>
        <w:t xml:space="preserve">1. </w:t>
      </w:r>
      <w:r>
        <w:t>Create an inventory and dependency matrix.</w:t>
      </w:r>
    </w:p>
    <w:p>
      <w:pPr>
        <w:spacing w:after="60"/>
        <w:ind w:left="360" w:hanging="259"/>
      </w:pPr>
      <w:r>
        <w:rPr>
          <w:b/>
        </w:rPr>
        <w:t xml:space="preserve">2. </w:t>
      </w:r>
      <w:r>
        <w:t>Assign rationalization decisions with evidence.</w:t>
      </w:r>
    </w:p>
    <w:p>
      <w:pPr>
        <w:spacing w:after="60"/>
        <w:ind w:left="360" w:hanging="259"/>
      </w:pPr>
      <w:r>
        <w:rPr>
          <w:b/>
        </w:rPr>
        <w:t xml:space="preserve">3. </w:t>
      </w:r>
      <w:r>
        <w:t>Design the target landing-zone, identity, connectivity, logging, and backup prerequisites.</w:t>
      </w:r>
    </w:p>
    <w:p>
      <w:pPr>
        <w:spacing w:after="60"/>
        <w:ind w:left="360" w:hanging="259"/>
      </w:pPr>
      <w:r>
        <w:rPr>
          <w:b/>
        </w:rPr>
        <w:t xml:space="preserve">4. </w:t>
      </w:r>
      <w:r>
        <w:t>Group workloads into waves and define entry/exit criteria.</w:t>
      </w:r>
    </w:p>
    <w:p>
      <w:pPr>
        <w:spacing w:after="60"/>
        <w:ind w:left="360" w:hanging="259"/>
      </w:pPr>
      <w:r>
        <w:rPr>
          <w:b/>
        </w:rPr>
        <w:t xml:space="preserve">5. </w:t>
      </w:r>
      <w:r>
        <w:t>Create cutover, validation, rollback, and communication runbooks for one wave.</w:t>
      </w:r>
    </w:p>
    <w:p>
      <w:pPr>
        <w:spacing w:after="60"/>
        <w:ind w:left="360" w:hanging="259"/>
      </w:pPr>
      <w:r>
        <w:rPr>
          <w:b/>
        </w:rPr>
        <w:t xml:space="preserve">6. </w:t>
      </w:r>
      <w:r>
        <w:t>Estimate cost, downtime, data-transfer time, and resource capacity.</w:t>
      </w:r>
    </w:p>
    <w:p>
      <w:pPr>
        <w:pStyle w:val="Heading3"/>
      </w:pPr>
      <w:r>
        <w:t>Validation Evidence</w:t>
      </w:r>
    </w:p>
    <w:p>
      <w:pPr>
        <w:pStyle w:val="ListBullet"/>
        <w:spacing w:after="60"/>
      </w:pPr>
      <w:r>
        <w:t>Every workload has an owner and decision.</w:t>
      </w:r>
    </w:p>
    <w:p>
      <w:pPr>
        <w:pStyle w:val="ListBullet"/>
        <w:spacing w:after="60"/>
      </w:pPr>
      <w:r>
        <w:t>Dependencies are represented in wave order.</w:t>
      </w:r>
    </w:p>
    <w:p>
      <w:pPr>
        <w:pStyle w:val="ListBullet"/>
        <w:spacing w:after="60"/>
      </w:pPr>
      <w:r>
        <w:t>Rollback is executable within the business window.</w:t>
      </w:r>
    </w:p>
    <w:p>
      <w:pPr>
        <w:pStyle w:val="ListBullet"/>
        <w:spacing w:after="60"/>
      </w:pPr>
      <w:r>
        <w:t>The target environment passes policy and security checks.</w:t>
      </w:r>
    </w:p>
    <w:p>
      <w:pPr>
        <w:pStyle w:val="Heading3"/>
      </w:pPr>
      <w:r>
        <w:t>Cleanup</w:t>
      </w:r>
    </w:p>
    <w:p>
      <w:pPr>
        <w:pStyle w:val="ListBullet"/>
        <w:spacing w:after="60"/>
      </w:pPr>
      <w:r>
        <w:t>Delete temporary assessment resources and synthetic inventory exports.</w:t>
      </w:r>
    </w:p>
    <w:p>
      <w:pPr>
        <w:pStyle w:val="ListBullet"/>
        <w:spacing w:after="60"/>
      </w:pPr>
      <w:r>
        <w:t>Archive decisions and lessons learned.</w:t>
      </w:r>
    </w:p>
    <w:p>
      <w:pPr>
        <w:pStyle w:val="Heading2"/>
      </w:pPr>
      <w:r>
        <w:t>Interview Questions and Model Answers</w:t>
      </w:r>
    </w:p>
    <w:p>
      <w:pPr>
        <w:spacing w:after="40"/>
      </w:pPr>
      <w:r>
        <w:rPr>
          <w:b/>
        </w:rPr>
        <w:t>1. What is the purpose of a migration wave?</w:t>
      </w:r>
    </w:p>
    <w:p>
      <w:pPr>
        <w:spacing w:after="120"/>
        <w:ind w:left="216"/>
      </w:pPr>
      <w:r>
        <w:t>To move a dependency-aware group through a repeatable, governed cutover and validation process.</w:t>
      </w:r>
    </w:p>
    <w:p>
      <w:pPr>
        <w:spacing w:after="40"/>
      </w:pPr>
      <w:r>
        <w:rPr>
          <w:b/>
        </w:rPr>
        <w:t>2. Why is discovery insufficient without owner interviews?</w:t>
      </w:r>
    </w:p>
    <w:p>
      <w:pPr>
        <w:spacing w:after="120"/>
        <w:ind w:left="216"/>
      </w:pPr>
      <w:r>
        <w:t>Automated tools miss business processes, manual jobs, support constraints, and undocumented integrations.</w:t>
      </w:r>
    </w:p>
    <w:p>
      <w:pPr>
        <w:spacing w:after="40"/>
      </w:pPr>
      <w:r>
        <w:rPr>
          <w:b/>
        </w:rPr>
        <w:t>3. What does Azure Arc provide?</w:t>
      </w:r>
    </w:p>
    <w:p>
      <w:pPr>
        <w:spacing w:after="120"/>
        <w:ind w:left="216"/>
      </w:pPr>
      <w:r>
        <w:t>A consistent Azure control-plane experience for supported hybrid and multicloud resources.</w:t>
      </w:r>
    </w:p>
    <w:p>
      <w:pPr>
        <w:spacing w:after="40"/>
      </w:pPr>
      <w:r>
        <w:rPr>
          <w:b/>
        </w:rPr>
        <w:t>4. How do you reduce migration risk?</w:t>
      </w:r>
    </w:p>
    <w:p>
      <w:pPr>
        <w:spacing w:after="120"/>
        <w:ind w:left="216"/>
      </w:pPr>
      <w:r>
        <w:t>Rehearsal, pre-staging, measurable acceptance, rollback, dependency validation, and small early waves.</w:t>
      </w:r>
    </w:p>
    <w:p>
      <w:pPr>
        <w:pStyle w:val="Heading2"/>
      </w:pPr>
      <w:r>
        <w:t>Chapter Summary</w:t>
      </w:r>
    </w:p>
    <w:p>
      <w:pPr>
        <w:pStyle w:val="ListBullet"/>
        <w:spacing w:after="60"/>
      </w:pPr>
      <w:r>
        <w:t>Migrations are operating-model transformations, not data-copy projects.</w:t>
      </w:r>
    </w:p>
    <w:p>
      <w:pPr>
        <w:pStyle w:val="ListBullet"/>
        <w:spacing w:after="60"/>
      </w:pPr>
      <w:r>
        <w:t>Rationalize before moving.</w:t>
      </w:r>
    </w:p>
    <w:p>
      <w:pPr>
        <w:pStyle w:val="ListBullet"/>
        <w:spacing w:after="60"/>
      </w:pPr>
      <w:r>
        <w:t>Build landing-zone prerequisites first.</w:t>
      </w:r>
    </w:p>
    <w:p>
      <w:pPr>
        <w:pStyle w:val="ListBullet"/>
        <w:spacing w:after="60"/>
      </w:pPr>
      <w:r>
        <w:t>Use factories, waves, rehearsals, and evidence.</w:t>
      </w:r>
    </w:p>
    <w:p>
      <w:pPr>
        <w:pStyle w:val="Heading1"/>
        <w:pageBreakBefore/>
      </w:pPr>
      <w:r>
        <w:t>Chapter 59 - Application Modernization and Monolith Decomposition</w:t>
      </w:r>
    </w:p>
    <w:p>
      <w:pPr>
        <w:spacing w:after="120"/>
      </w:pPr>
      <w:r>
        <w:rPr>
          <w:i/>
          <w:color w:val="505050"/>
        </w:rPr>
        <w:t>Evolving legacy applications through measured modernization rather than uncontrolled rewrites</w:t>
      </w:r>
    </w:p>
    <w:p>
      <w:pPr>
        <w:pStyle w:val="Heading2"/>
      </w:pPr>
      <w:r>
        <w:t>Learning Objectives</w:t>
      </w:r>
    </w:p>
    <w:p>
      <w:pPr>
        <w:pStyle w:val="ListBullet"/>
        <w:spacing w:after="60"/>
      </w:pPr>
      <w:r>
        <w:t>Assess modernization drivers, constraints, and domain boundaries.</w:t>
      </w:r>
    </w:p>
    <w:p>
      <w:pPr>
        <w:pStyle w:val="ListBullet"/>
        <w:spacing w:after="60"/>
      </w:pPr>
      <w:r>
        <w:t>Apply strangler, branch-by-abstraction, and anti-corruption patterns.</w:t>
      </w:r>
    </w:p>
    <w:p>
      <w:pPr>
        <w:pStyle w:val="ListBullet"/>
        <w:spacing w:after="60"/>
      </w:pPr>
      <w:r>
        <w:t>Choose between App Service, Container Apps, AKS, Functions, and managed data services.</w:t>
      </w:r>
    </w:p>
    <w:p>
      <w:pPr>
        <w:pStyle w:val="ListBullet"/>
        <w:spacing w:after="60"/>
      </w:pPr>
      <w:r>
        <w:t>Control data migration, compatibility, observability, and rollback.</w:t>
      </w:r>
    </w:p>
    <w:p>
      <w:pPr>
        <w:pStyle w:val="Heading2"/>
      </w:pPr>
      <w:r>
        <w:t>59.1 Modernization Decision Framework</w:t>
      </w:r>
    </w:p>
    <w:p>
      <w:pPr>
        <w:spacing w:after="120"/>
      </w:pPr>
      <w:r>
        <w:rPr>
          <w:i w:val="0"/>
        </w:rPr>
        <w:t>Modernization must solve a business or operational problem: release lead time, scalability, reliability, supportability, licensing, security, or cost. A rewrite without measurable outcomes often recreates the same problems in a new stack.</w:t>
      </w:r>
    </w:p>
    <w:p>
      <w:pPr>
        <w:pStyle w:val="ListBullet"/>
        <w:spacing w:after="60"/>
      </w:pPr>
      <w:r>
        <w:t>Measure baseline deployment frequency, lead time, change failure rate, recovery time, availability, performance, and cost.</w:t>
      </w:r>
    </w:p>
    <w:p>
      <w:pPr>
        <w:pStyle w:val="ListBullet"/>
        <w:spacing w:after="60"/>
      </w:pPr>
      <w:r>
        <w:t>Identify bounded contexts, data ownership, high-change modules, and operational pain.</w:t>
      </w:r>
    </w:p>
    <w:p>
      <w:pPr>
        <w:pStyle w:val="ListBullet"/>
        <w:spacing w:after="60"/>
      </w:pPr>
      <w:r>
        <w:t>Prefer incremental extraction when the business cannot tolerate a long replacement program.</w:t>
      </w:r>
    </w:p>
    <w:p>
      <w:pPr>
        <w:pStyle w:val="ListBullet"/>
        <w:spacing w:after="60"/>
      </w:pPr>
      <w:r>
        <w:t>Use managed services where they remove undifferentiated operations without creating unacceptable lock-in or constraints.</w:t>
      </w:r>
    </w:p>
    <w:p>
      <w:pPr>
        <w:pStyle w:val="Heading2"/>
      </w:pPr>
      <w:r>
        <w:t>59.2 Decomposition Patterns</w:t>
      </w:r>
    </w:p>
    <w:p>
      <w:pPr>
        <w:spacing w:after="120"/>
      </w:pPr>
      <w:r>
        <w:rPr>
          <w:i w:val="0"/>
        </w:rPr>
        <w:t>The strangler pattern routes selected capabilities to new components while the monolith continues to serve the rest. Branch by abstraction replaces an internal implementation behind a stable interface. An anti-corruption layer prevents legacy concepts from leaking into the new domain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Pattern</w:t>
            </w:r>
          </w:p>
        </w:tc>
        <w:tc>
          <w:tcPr>
            <w:tcW w:type="dxa" w:w="3312"/>
            <w:shd w:fill="0078D4"/>
            <w:tcMar>
              <w:top w:w="80" w:type="dxa"/>
              <w:start w:w="100" w:type="dxa"/>
              <w:bottom w:w="80" w:type="dxa"/>
              <w:end w:w="100" w:type="dxa"/>
            </w:tcMar>
            <w:vAlign w:val="center"/>
          </w:tcPr>
          <w:p>
            <w:pPr>
              <w:jc w:val="center"/>
            </w:pPr>
            <w:r>
              <w:rPr>
                <w:b/>
                <w:color w:val="FFFFFF"/>
                <w:sz w:val="17"/>
              </w:rPr>
              <w:t>Best Use</w:t>
            </w:r>
          </w:p>
        </w:tc>
        <w:tc>
          <w:tcPr>
            <w:tcW w:type="dxa" w:w="4464"/>
            <w:shd w:fill="0078D4"/>
            <w:tcMar>
              <w:top w:w="80" w:type="dxa"/>
              <w:start w:w="100" w:type="dxa"/>
              <w:bottom w:w="80" w:type="dxa"/>
              <w:end w:w="100" w:type="dxa"/>
            </w:tcMar>
            <w:vAlign w:val="center"/>
          </w:tcPr>
          <w:p>
            <w:pPr>
              <w:jc w:val="center"/>
            </w:pPr>
            <w:r>
              <w:rPr>
                <w:b/>
                <w:color w:val="FFFFFF"/>
                <w:sz w:val="17"/>
              </w:rPr>
              <w:t>Risk</w:t>
            </w:r>
          </w:p>
        </w:tc>
      </w:tr>
      <w:tr>
        <w:trPr>
          <w:cantSplit/>
        </w:trPr>
        <w:tc>
          <w:tcPr>
            <w:tcW w:type="dxa" w:w="2304"/>
            <w:tcMar>
              <w:top w:w="80" w:type="dxa"/>
              <w:start w:w="100" w:type="dxa"/>
              <w:bottom w:w="80" w:type="dxa"/>
              <w:end w:w="100" w:type="dxa"/>
            </w:tcMar>
            <w:vAlign w:val="top"/>
          </w:tcPr>
          <w:p>
            <w:pPr>
              <w:spacing w:after="0"/>
            </w:pPr>
            <w:r>
              <w:rPr>
                <w:sz w:val="17"/>
              </w:rPr>
              <w:t>Strangler</w:t>
            </w:r>
          </w:p>
        </w:tc>
        <w:tc>
          <w:tcPr>
            <w:tcW w:type="dxa" w:w="3312"/>
            <w:tcMar>
              <w:top w:w="80" w:type="dxa"/>
              <w:start w:w="100" w:type="dxa"/>
              <w:bottom w:w="80" w:type="dxa"/>
              <w:end w:w="100" w:type="dxa"/>
            </w:tcMar>
            <w:vAlign w:val="top"/>
          </w:tcPr>
          <w:p>
            <w:pPr>
              <w:spacing w:after="0"/>
            </w:pPr>
            <w:r>
              <w:rPr>
                <w:sz w:val="17"/>
              </w:rPr>
              <w:t>Incremental edge/API extraction</w:t>
            </w:r>
          </w:p>
        </w:tc>
        <w:tc>
          <w:tcPr>
            <w:tcW w:type="dxa" w:w="4464"/>
            <w:tcMar>
              <w:top w:w="80" w:type="dxa"/>
              <w:start w:w="100" w:type="dxa"/>
              <w:bottom w:w="80" w:type="dxa"/>
              <w:end w:w="100" w:type="dxa"/>
            </w:tcMar>
            <w:vAlign w:val="top"/>
          </w:tcPr>
          <w:p>
            <w:pPr>
              <w:spacing w:after="0"/>
            </w:pPr>
            <w:r>
              <w:rPr>
                <w:sz w:val="17"/>
              </w:rPr>
              <w:t>Routing, duplicated logic, and long transition.</w:t>
            </w:r>
          </w:p>
        </w:tc>
      </w:tr>
      <w:tr>
        <w:trPr>
          <w:cantSplit/>
        </w:trPr>
        <w:tc>
          <w:tcPr>
            <w:tcW w:type="dxa" w:w="2304"/>
            <w:tcMar>
              <w:top w:w="80" w:type="dxa"/>
              <w:start w:w="100" w:type="dxa"/>
              <w:bottom w:w="80" w:type="dxa"/>
              <w:end w:w="100" w:type="dxa"/>
            </w:tcMar>
            <w:vAlign w:val="top"/>
          </w:tcPr>
          <w:p>
            <w:pPr>
              <w:spacing w:after="0"/>
            </w:pPr>
            <w:r>
              <w:rPr>
                <w:sz w:val="17"/>
              </w:rPr>
              <w:t>Branch by abstraction</w:t>
            </w:r>
          </w:p>
        </w:tc>
        <w:tc>
          <w:tcPr>
            <w:tcW w:type="dxa" w:w="3312"/>
            <w:tcMar>
              <w:top w:w="80" w:type="dxa"/>
              <w:start w:w="100" w:type="dxa"/>
              <w:bottom w:w="80" w:type="dxa"/>
              <w:end w:w="100" w:type="dxa"/>
            </w:tcMar>
            <w:vAlign w:val="top"/>
          </w:tcPr>
          <w:p>
            <w:pPr>
              <w:spacing w:after="0"/>
            </w:pPr>
            <w:r>
              <w:rPr>
                <w:sz w:val="17"/>
              </w:rPr>
              <w:t>Internal component replacement</w:t>
            </w:r>
          </w:p>
        </w:tc>
        <w:tc>
          <w:tcPr>
            <w:tcW w:type="dxa" w:w="4464"/>
            <w:tcMar>
              <w:top w:w="80" w:type="dxa"/>
              <w:start w:w="100" w:type="dxa"/>
              <w:bottom w:w="80" w:type="dxa"/>
              <w:end w:w="100" w:type="dxa"/>
            </w:tcMar>
            <w:vAlign w:val="top"/>
          </w:tcPr>
          <w:p>
            <w:pPr>
              <w:spacing w:after="0"/>
            </w:pPr>
            <w:r>
              <w:rPr>
                <w:sz w:val="17"/>
              </w:rPr>
              <w:t>Hidden coupling and insufficient contract tests.</w:t>
            </w:r>
          </w:p>
        </w:tc>
      </w:tr>
      <w:tr>
        <w:trPr>
          <w:cantSplit/>
        </w:trPr>
        <w:tc>
          <w:tcPr>
            <w:tcW w:type="dxa" w:w="2304"/>
            <w:tcMar>
              <w:top w:w="80" w:type="dxa"/>
              <w:start w:w="100" w:type="dxa"/>
              <w:bottom w:w="80" w:type="dxa"/>
              <w:end w:w="100" w:type="dxa"/>
            </w:tcMar>
            <w:vAlign w:val="top"/>
          </w:tcPr>
          <w:p>
            <w:pPr>
              <w:spacing w:after="0"/>
            </w:pPr>
            <w:r>
              <w:rPr>
                <w:sz w:val="17"/>
              </w:rPr>
              <w:t>Event interception</w:t>
            </w:r>
          </w:p>
        </w:tc>
        <w:tc>
          <w:tcPr>
            <w:tcW w:type="dxa" w:w="3312"/>
            <w:tcMar>
              <w:top w:w="80" w:type="dxa"/>
              <w:start w:w="100" w:type="dxa"/>
              <w:bottom w:w="80" w:type="dxa"/>
              <w:end w:w="100" w:type="dxa"/>
            </w:tcMar>
            <w:vAlign w:val="top"/>
          </w:tcPr>
          <w:p>
            <w:pPr>
              <w:spacing w:after="0"/>
            </w:pPr>
            <w:r>
              <w:rPr>
                <w:sz w:val="17"/>
              </w:rPr>
              <w:t>Create downstream capabilities from existing events</w:t>
            </w:r>
          </w:p>
        </w:tc>
        <w:tc>
          <w:tcPr>
            <w:tcW w:type="dxa" w:w="4464"/>
            <w:tcMar>
              <w:top w:w="80" w:type="dxa"/>
              <w:start w:w="100" w:type="dxa"/>
              <w:bottom w:w="80" w:type="dxa"/>
              <w:end w:w="100" w:type="dxa"/>
            </w:tcMar>
            <w:vAlign w:val="top"/>
          </w:tcPr>
          <w:p>
            <w:pPr>
              <w:spacing w:after="0"/>
            </w:pPr>
            <w:r>
              <w:rPr>
                <w:sz w:val="17"/>
              </w:rPr>
              <w:t>Ordering, duplication, and eventual consistency.</w:t>
            </w:r>
          </w:p>
        </w:tc>
      </w:tr>
      <w:tr>
        <w:trPr>
          <w:cantSplit/>
        </w:trPr>
        <w:tc>
          <w:tcPr>
            <w:tcW w:type="dxa" w:w="2304"/>
            <w:tcMar>
              <w:top w:w="80" w:type="dxa"/>
              <w:start w:w="100" w:type="dxa"/>
              <w:bottom w:w="80" w:type="dxa"/>
              <w:end w:w="100" w:type="dxa"/>
            </w:tcMar>
            <w:vAlign w:val="top"/>
          </w:tcPr>
          <w:p>
            <w:pPr>
              <w:spacing w:after="0"/>
            </w:pPr>
            <w:r>
              <w:rPr>
                <w:sz w:val="17"/>
              </w:rPr>
              <w:t>Database decomposition</w:t>
            </w:r>
          </w:p>
        </w:tc>
        <w:tc>
          <w:tcPr>
            <w:tcW w:type="dxa" w:w="3312"/>
            <w:tcMar>
              <w:top w:w="80" w:type="dxa"/>
              <w:start w:w="100" w:type="dxa"/>
              <w:bottom w:w="80" w:type="dxa"/>
              <w:end w:w="100" w:type="dxa"/>
            </w:tcMar>
            <w:vAlign w:val="top"/>
          </w:tcPr>
          <w:p>
            <w:pPr>
              <w:spacing w:after="0"/>
            </w:pPr>
            <w:r>
              <w:rPr>
                <w:sz w:val="17"/>
              </w:rPr>
              <w:t>Establish domain data ownership</w:t>
            </w:r>
          </w:p>
        </w:tc>
        <w:tc>
          <w:tcPr>
            <w:tcW w:type="dxa" w:w="4464"/>
            <w:tcMar>
              <w:top w:w="80" w:type="dxa"/>
              <w:start w:w="100" w:type="dxa"/>
              <w:bottom w:w="80" w:type="dxa"/>
              <w:end w:w="100" w:type="dxa"/>
            </w:tcMar>
            <w:vAlign w:val="top"/>
          </w:tcPr>
          <w:p>
            <w:pPr>
              <w:spacing w:after="0"/>
            </w:pPr>
            <w:r>
              <w:rPr>
                <w:sz w:val="17"/>
              </w:rPr>
              <w:t>Dual writes, migration, reporting, and transaction boundaries.</w:t>
            </w:r>
          </w:p>
        </w:tc>
      </w:tr>
    </w:tbl>
    <w:p>
      <w:pPr>
        <w:spacing w:after="20"/>
      </w:pPr>
    </w:p>
    <w:p>
      <w:pPr>
        <w:pStyle w:val="Heading2"/>
      </w:pPr>
      <w:r>
        <w:t>59.3 Data and Compatibility</w:t>
      </w:r>
    </w:p>
    <w:p>
      <w:pPr>
        <w:spacing w:after="120"/>
      </w:pPr>
      <w:r>
        <w:rPr>
          <w:i w:val="0"/>
        </w:rPr>
        <w:t>Data is usually the hardest boundary. Use change-data-capture, outbox patterns, dual reads, backfills, and reconciliation carefully. Avoid uncontrolled dual writes. Design additive schema changes, versioned APIs and events, idempotent consumers, and explicit deprecation windows.</w:t>
      </w:r>
    </w:p>
    <w:p>
      <w:pPr>
        <w:pStyle w:val="Heading2"/>
      </w:pPr>
      <w:r>
        <w:t>59.4 Platform Selection</w:t>
      </w:r>
    </w:p>
    <w:p>
      <w:pPr>
        <w:spacing w:after="120"/>
      </w:pPr>
      <w:r>
        <w:rPr>
          <w:i w:val="0"/>
        </w:rPr>
        <w:t>Use App Service for straightforward web applications, Container Apps for managed containerized applications and event-driven scaling, AKS when Kubernetes control and ecosystem needs justify complexity, and Functions for short-lived event-driven code. The smallest platform that meets the requirements is often the safest choice.</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New service diverges from monolith</w:t>
            </w:r>
          </w:p>
        </w:tc>
        <w:tc>
          <w:tcPr>
            <w:tcW w:type="dxa" w:w="2592"/>
            <w:tcMar>
              <w:top w:w="80" w:type="dxa"/>
              <w:start w:w="100" w:type="dxa"/>
              <w:bottom w:w="80" w:type="dxa"/>
              <w:end w:w="100" w:type="dxa"/>
            </w:tcMar>
            <w:vAlign w:val="top"/>
          </w:tcPr>
          <w:p>
            <w:pPr>
              <w:spacing w:after="0"/>
            </w:pPr>
            <w:r>
              <w:rPr>
                <w:sz w:val="17"/>
              </w:rPr>
              <w:t>Dual writes or asynchronous replication without reconciliation</w:t>
            </w:r>
          </w:p>
        </w:tc>
        <w:tc>
          <w:tcPr>
            <w:tcW w:type="dxa" w:w="5328"/>
            <w:tcMar>
              <w:top w:w="80" w:type="dxa"/>
              <w:start w:w="100" w:type="dxa"/>
              <w:bottom w:w="80" w:type="dxa"/>
              <w:end w:w="100" w:type="dxa"/>
            </w:tcMar>
            <w:vAlign w:val="top"/>
          </w:tcPr>
          <w:p>
            <w:pPr>
              <w:spacing w:after="0"/>
            </w:pPr>
            <w:r>
              <w:rPr>
                <w:sz w:val="17"/>
              </w:rPr>
              <w:t>Define source of truth, idempotency, replay, and scheduled reconciliation.</w:t>
            </w:r>
          </w:p>
        </w:tc>
      </w:tr>
      <w:tr>
        <w:trPr>
          <w:cantSplit/>
        </w:trPr>
        <w:tc>
          <w:tcPr>
            <w:tcW w:type="dxa" w:w="2160"/>
            <w:tcMar>
              <w:top w:w="80" w:type="dxa"/>
              <w:start w:w="100" w:type="dxa"/>
              <w:bottom w:w="80" w:type="dxa"/>
              <w:end w:w="100" w:type="dxa"/>
            </w:tcMar>
            <w:vAlign w:val="top"/>
          </w:tcPr>
          <w:p>
            <w:pPr>
              <w:spacing w:after="0"/>
            </w:pPr>
            <w:r>
              <w:rPr>
                <w:sz w:val="17"/>
              </w:rPr>
              <w:t>Latency increases after decomposition</w:t>
            </w:r>
          </w:p>
        </w:tc>
        <w:tc>
          <w:tcPr>
            <w:tcW w:type="dxa" w:w="2592"/>
            <w:tcMar>
              <w:top w:w="80" w:type="dxa"/>
              <w:start w:w="100" w:type="dxa"/>
              <w:bottom w:w="80" w:type="dxa"/>
              <w:end w:w="100" w:type="dxa"/>
            </w:tcMar>
            <w:vAlign w:val="top"/>
          </w:tcPr>
          <w:p>
            <w:pPr>
              <w:spacing w:after="0"/>
            </w:pPr>
            <w:r>
              <w:rPr>
                <w:sz w:val="17"/>
              </w:rPr>
              <w:t>Chatty synchronous calls or cross-region dependencies</w:t>
            </w:r>
          </w:p>
        </w:tc>
        <w:tc>
          <w:tcPr>
            <w:tcW w:type="dxa" w:w="5328"/>
            <w:tcMar>
              <w:top w:w="80" w:type="dxa"/>
              <w:start w:w="100" w:type="dxa"/>
              <w:bottom w:w="80" w:type="dxa"/>
              <w:end w:w="100" w:type="dxa"/>
            </w:tcMar>
            <w:vAlign w:val="top"/>
          </w:tcPr>
          <w:p>
            <w:pPr>
              <w:spacing w:after="0"/>
            </w:pPr>
            <w:r>
              <w:rPr>
                <w:sz w:val="17"/>
              </w:rPr>
              <w:t>Coarsen APIs, cache, colocate, use events, and trace end-to-end latency.</w:t>
            </w:r>
          </w:p>
        </w:tc>
      </w:tr>
      <w:tr>
        <w:trPr>
          <w:cantSplit/>
        </w:trPr>
        <w:tc>
          <w:tcPr>
            <w:tcW w:type="dxa" w:w="2160"/>
            <w:tcMar>
              <w:top w:w="80" w:type="dxa"/>
              <w:start w:w="100" w:type="dxa"/>
              <w:bottom w:w="80" w:type="dxa"/>
              <w:end w:w="100" w:type="dxa"/>
            </w:tcMar>
            <w:vAlign w:val="top"/>
          </w:tcPr>
          <w:p>
            <w:pPr>
              <w:spacing w:after="0"/>
            </w:pPr>
            <w:r>
              <w:rPr>
                <w:sz w:val="17"/>
              </w:rPr>
              <w:t>Extraction never finishes</w:t>
            </w:r>
          </w:p>
        </w:tc>
        <w:tc>
          <w:tcPr>
            <w:tcW w:type="dxa" w:w="2592"/>
            <w:tcMar>
              <w:top w:w="80" w:type="dxa"/>
              <w:start w:w="100" w:type="dxa"/>
              <w:bottom w:w="80" w:type="dxa"/>
              <w:end w:w="100" w:type="dxa"/>
            </w:tcMar>
            <w:vAlign w:val="top"/>
          </w:tcPr>
          <w:p>
            <w:pPr>
              <w:spacing w:after="0"/>
            </w:pPr>
            <w:r>
              <w:rPr>
                <w:sz w:val="17"/>
              </w:rPr>
              <w:t>No decommission milestone or legacy ownership</w:t>
            </w:r>
          </w:p>
        </w:tc>
        <w:tc>
          <w:tcPr>
            <w:tcW w:type="dxa" w:w="5328"/>
            <w:tcMar>
              <w:top w:w="80" w:type="dxa"/>
              <w:start w:w="100" w:type="dxa"/>
              <w:bottom w:w="80" w:type="dxa"/>
              <w:end w:w="100" w:type="dxa"/>
            </w:tcMar>
            <w:vAlign w:val="top"/>
          </w:tcPr>
          <w:p>
            <w:pPr>
              <w:spacing w:after="0"/>
            </w:pPr>
            <w:r>
              <w:rPr>
                <w:sz w:val="17"/>
              </w:rPr>
              <w:t>Set capability exit criteria, removal backlog, and executive accountability.</w:t>
            </w:r>
          </w:p>
        </w:tc>
      </w:tr>
    </w:tbl>
    <w:p>
      <w:pPr>
        <w:spacing w:after="20"/>
      </w:pPr>
    </w:p>
    <w:p>
      <w:pPr>
        <w:pStyle w:val="Heading2"/>
      </w:pPr>
      <w:r>
        <w:t>Hands-on Lab 59: Extract a Capability from a Monolith</w:t>
      </w:r>
    </w:p>
    <w:p>
      <w:pPr>
        <w:pStyle w:val="Heading3"/>
      </w:pPr>
      <w:r>
        <w:t>Prerequisites</w:t>
      </w:r>
    </w:p>
    <w:p>
      <w:pPr>
        <w:pStyle w:val="ListBullet"/>
        <w:spacing w:after="60"/>
      </w:pPr>
      <w:r>
        <w:t>A sample monolith, API gateway or Front Door route, and nonproduction data.</w:t>
      </w:r>
    </w:p>
    <w:p>
      <w:pPr>
        <w:pStyle w:val="Heading3"/>
      </w:pPr>
      <w:r>
        <w:t>Implementation</w:t>
      </w:r>
    </w:p>
    <w:p>
      <w:pPr>
        <w:spacing w:after="60"/>
        <w:ind w:left="360" w:hanging="259"/>
      </w:pPr>
      <w:r>
        <w:rPr>
          <w:b/>
        </w:rPr>
        <w:t xml:space="preserve">1. </w:t>
      </w:r>
      <w:r>
        <w:t>Select a bounded capability with measurable value and low initial coupling.</w:t>
      </w:r>
    </w:p>
    <w:p>
      <w:pPr>
        <w:spacing w:after="60"/>
        <w:ind w:left="360" w:hanging="259"/>
      </w:pPr>
      <w:r>
        <w:rPr>
          <w:b/>
        </w:rPr>
        <w:t xml:space="preserve">2. </w:t>
      </w:r>
      <w:r>
        <w:t>Define API/event contracts and source-of-truth ownership.</w:t>
      </w:r>
    </w:p>
    <w:p>
      <w:pPr>
        <w:spacing w:after="60"/>
        <w:ind w:left="360" w:hanging="259"/>
      </w:pPr>
      <w:r>
        <w:rPr>
          <w:b/>
        </w:rPr>
        <w:t xml:space="preserve">3. </w:t>
      </w:r>
      <w:r>
        <w:t>Create the new component on an appropriate Azure platform.</w:t>
      </w:r>
    </w:p>
    <w:p>
      <w:pPr>
        <w:spacing w:after="60"/>
        <w:ind w:left="360" w:hanging="259"/>
      </w:pPr>
      <w:r>
        <w:rPr>
          <w:b/>
        </w:rPr>
        <w:t xml:space="preserve">4. </w:t>
      </w:r>
      <w:r>
        <w:t>Implement routing or abstraction with feature-flagged rollback.</w:t>
      </w:r>
    </w:p>
    <w:p>
      <w:pPr>
        <w:spacing w:after="60"/>
        <w:ind w:left="360" w:hanging="259"/>
      </w:pPr>
      <w:r>
        <w:rPr>
          <w:b/>
        </w:rPr>
        <w:t xml:space="preserve">5. </w:t>
      </w:r>
      <w:r>
        <w:t>Backfill or synchronize data and build reconciliation.</w:t>
      </w:r>
    </w:p>
    <w:p>
      <w:pPr>
        <w:spacing w:after="60"/>
        <w:ind w:left="360" w:hanging="259"/>
      </w:pPr>
      <w:r>
        <w:rPr>
          <w:b/>
        </w:rPr>
        <w:t xml:space="preserve">6. </w:t>
      </w:r>
      <w:r>
        <w:t>Run compatibility, load, failure, and rollback tests.</w:t>
      </w:r>
    </w:p>
    <w:p>
      <w:pPr>
        <w:pStyle w:val="Heading3"/>
      </w:pPr>
      <w:r>
        <w:t>Validation Evidence</w:t>
      </w:r>
    </w:p>
    <w:p>
      <w:pPr>
        <w:pStyle w:val="ListBullet"/>
        <w:spacing w:after="60"/>
      </w:pPr>
      <w:r>
        <w:t>Old and new paths produce equivalent results.</w:t>
      </w:r>
    </w:p>
    <w:p>
      <w:pPr>
        <w:pStyle w:val="ListBullet"/>
        <w:spacing w:after="60"/>
      </w:pPr>
      <w:r>
        <w:t>Rollback does not lose accepted writes.</w:t>
      </w:r>
    </w:p>
    <w:p>
      <w:pPr>
        <w:pStyle w:val="ListBullet"/>
        <w:spacing w:after="60"/>
      </w:pPr>
      <w:r>
        <w:t>Telemetry distinguishes both implementations.</w:t>
      </w:r>
    </w:p>
    <w:p>
      <w:pPr>
        <w:pStyle w:val="ListBullet"/>
        <w:spacing w:after="60"/>
      </w:pPr>
      <w:r>
        <w:t>A decommission plan exists for legacy code and data.</w:t>
      </w:r>
    </w:p>
    <w:p>
      <w:pPr>
        <w:pStyle w:val="Heading3"/>
      </w:pPr>
      <w:r>
        <w:t>Cleanup</w:t>
      </w:r>
    </w:p>
    <w:p>
      <w:pPr>
        <w:pStyle w:val="ListBullet"/>
        <w:spacing w:after="60"/>
      </w:pPr>
      <w:r>
        <w:t>Remove experimental routes and data copies.</w:t>
      </w:r>
    </w:p>
    <w:p>
      <w:pPr>
        <w:pStyle w:val="ListBullet"/>
        <w:spacing w:after="60"/>
      </w:pPr>
      <w:r>
        <w:t>Retain only approved artifacts and decision records.</w:t>
      </w:r>
    </w:p>
    <w:p>
      <w:pPr>
        <w:pStyle w:val="Heading2"/>
      </w:pPr>
      <w:r>
        <w:t>Interview Questions and Model Answers</w:t>
      </w:r>
    </w:p>
    <w:p>
      <w:pPr>
        <w:spacing w:after="40"/>
      </w:pPr>
      <w:r>
        <w:rPr>
          <w:b/>
        </w:rPr>
        <w:t>1. Why do rewrites fail?</w:t>
      </w:r>
    </w:p>
    <w:p>
      <w:pPr>
        <w:spacing w:after="120"/>
        <w:ind w:left="216"/>
      </w:pPr>
      <w:r>
        <w:t>They delay value, underestimate hidden behavior, and remove production feedback for too long.</w:t>
      </w:r>
    </w:p>
    <w:p>
      <w:pPr>
        <w:spacing w:after="40"/>
      </w:pPr>
      <w:r>
        <w:rPr>
          <w:b/>
        </w:rPr>
        <w:t>2. What is the strangler pattern?</w:t>
      </w:r>
    </w:p>
    <w:p>
      <w:pPr>
        <w:spacing w:after="120"/>
        <w:ind w:left="216"/>
      </w:pPr>
      <w:r>
        <w:t>Incrementally replace legacy capabilities by routing selected behavior to new components.</w:t>
      </w:r>
    </w:p>
    <w:p>
      <w:pPr>
        <w:spacing w:after="40"/>
      </w:pPr>
      <w:r>
        <w:rPr>
          <w:b/>
        </w:rPr>
        <w:t>3. How do you manage dual writes?</w:t>
      </w:r>
    </w:p>
    <w:p>
      <w:pPr>
        <w:spacing w:after="120"/>
        <w:ind w:left="216"/>
      </w:pPr>
      <w:r>
        <w:t>Prefer a single source of truth with outbox/CDC, idempotent replication, and reconciliation.</w:t>
      </w:r>
    </w:p>
    <w:p>
      <w:pPr>
        <w:spacing w:after="40"/>
      </w:pPr>
      <w:r>
        <w:rPr>
          <w:b/>
        </w:rPr>
        <w:t>4. When is AKS justified?</w:t>
      </w:r>
    </w:p>
    <w:p>
      <w:pPr>
        <w:spacing w:after="120"/>
        <w:ind w:left="216"/>
      </w:pPr>
      <w:r>
        <w:t>When Kubernetes ecosystem, portability, scheduling, or platform-control needs outweigh operational complexity.</w:t>
      </w:r>
    </w:p>
    <w:p>
      <w:pPr>
        <w:pStyle w:val="Heading2"/>
      </w:pPr>
      <w:r>
        <w:t>Chapter Summary</w:t>
      </w:r>
    </w:p>
    <w:p>
      <w:pPr>
        <w:pStyle w:val="ListBullet"/>
        <w:spacing w:after="60"/>
      </w:pPr>
      <w:r>
        <w:t>Modernize for measurable outcomes.</w:t>
      </w:r>
    </w:p>
    <w:p>
      <w:pPr>
        <w:pStyle w:val="ListBullet"/>
        <w:spacing w:after="60"/>
      </w:pPr>
      <w:r>
        <w:t>Decompose incrementally around business boundaries.</w:t>
      </w:r>
    </w:p>
    <w:p>
      <w:pPr>
        <w:pStyle w:val="ListBullet"/>
        <w:spacing w:after="60"/>
      </w:pPr>
      <w:r>
        <w:t>Treat data ownership and compatibility as first-class concerns.</w:t>
      </w:r>
    </w:p>
    <w:p>
      <w:pPr>
        <w:pStyle w:val="ListBullet"/>
        <w:spacing w:after="60"/>
      </w:pPr>
      <w:r>
        <w:t>Design removal, not permanent coexistence.</w:t>
      </w:r>
    </w:p>
    <w:p>
      <w:pPr>
        <w:pStyle w:val="Heading1"/>
        <w:pageBreakBefore/>
      </w:pPr>
      <w:r>
        <w:t>Chapter 60 - Multi-Region and Global Application Design</w:t>
      </w:r>
    </w:p>
    <w:p>
      <w:pPr>
        <w:spacing w:after="120"/>
      </w:pPr>
      <w:r>
        <w:rPr>
          <w:i/>
          <w:color w:val="505050"/>
        </w:rPr>
        <w:t>Engineering global ingress, data consistency, failover, recovery, and operational readiness</w:t>
      </w:r>
    </w:p>
    <w:p>
      <w:pPr>
        <w:pStyle w:val="Heading2"/>
      </w:pPr>
      <w:r>
        <w:t>Learning Objectives</w:t>
      </w:r>
    </w:p>
    <w:p>
      <w:pPr>
        <w:pStyle w:val="ListBullet"/>
        <w:spacing w:after="60"/>
      </w:pPr>
      <w:r>
        <w:t>Choose active-active, active-passive, and regional-cell patterns.</w:t>
      </w:r>
    </w:p>
    <w:p>
      <w:pPr>
        <w:pStyle w:val="ListBullet"/>
        <w:spacing w:after="60"/>
      </w:pPr>
      <w:r>
        <w:t>Design global routing with Azure Front Door, Traffic Manager, and regional ingress.</w:t>
      </w:r>
    </w:p>
    <w:p>
      <w:pPr>
        <w:pStyle w:val="ListBullet"/>
        <w:spacing w:after="60"/>
      </w:pPr>
      <w:r>
        <w:t>Select data replication and consistency based on business semantics.</w:t>
      </w:r>
    </w:p>
    <w:p>
      <w:pPr>
        <w:pStyle w:val="ListBullet"/>
        <w:spacing w:after="60"/>
      </w:pPr>
      <w:r>
        <w:t>Prove regional recovery through regular exercises.</w:t>
      </w:r>
    </w:p>
    <w:p>
      <w:pPr>
        <w:pStyle w:val="Heading2"/>
      </w:pPr>
      <w:r>
        <w:t>60.1 Global Topologies</w:t>
      </w:r>
    </w:p>
    <w:p>
      <w:pPr>
        <w:spacing w:after="120"/>
      </w:pPr>
      <w:r>
        <w:rPr>
          <w:i w:val="0"/>
        </w:rPr>
        <w:t>Multi-region architecture is justified by business continuity, latency, data sovereignty, or scale - not prestige. Active-passive is simpler and cheaper but requires reliable activation. Active-active offers lower failover time but multiplies data, concurrency, deployment, and operational complexity.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Topology</w:t>
            </w:r>
          </w:p>
        </w:tc>
        <w:tc>
          <w:tcPr>
            <w:tcW w:type="dxa" w:w="3312"/>
            <w:shd w:fill="0078D4"/>
            <w:tcMar>
              <w:top w:w="80" w:type="dxa"/>
              <w:start w:w="100" w:type="dxa"/>
              <w:bottom w:w="80" w:type="dxa"/>
              <w:end w:w="100" w:type="dxa"/>
            </w:tcMar>
            <w:vAlign w:val="center"/>
          </w:tcPr>
          <w:p>
            <w:pPr>
              <w:jc w:val="center"/>
            </w:pPr>
            <w:r>
              <w:rPr>
                <w:b/>
                <w:color w:val="FFFFFF"/>
                <w:sz w:val="17"/>
              </w:rPr>
              <w:t>Benefit</w:t>
            </w:r>
          </w:p>
        </w:tc>
        <w:tc>
          <w:tcPr>
            <w:tcW w:type="dxa" w:w="4608"/>
            <w:shd w:fill="0078D4"/>
            <w:tcMar>
              <w:top w:w="80" w:type="dxa"/>
              <w:start w:w="100" w:type="dxa"/>
              <w:bottom w:w="80" w:type="dxa"/>
              <w:end w:w="100" w:type="dxa"/>
            </w:tcMar>
            <w:vAlign w:val="center"/>
          </w:tcPr>
          <w:p>
            <w:pPr>
              <w:jc w:val="center"/>
            </w:pPr>
            <w:r>
              <w:rPr>
                <w:b/>
                <w:color w:val="FFFFFF"/>
                <w:sz w:val="17"/>
              </w:rPr>
              <w:t>Critical Challenge</w:t>
            </w:r>
          </w:p>
        </w:tc>
      </w:tr>
      <w:tr>
        <w:trPr>
          <w:cantSplit/>
        </w:trPr>
        <w:tc>
          <w:tcPr>
            <w:tcW w:type="dxa" w:w="2160"/>
            <w:tcMar>
              <w:top w:w="80" w:type="dxa"/>
              <w:start w:w="100" w:type="dxa"/>
              <w:bottom w:w="80" w:type="dxa"/>
              <w:end w:w="100" w:type="dxa"/>
            </w:tcMar>
            <w:vAlign w:val="top"/>
          </w:tcPr>
          <w:p>
            <w:pPr>
              <w:spacing w:after="0"/>
            </w:pPr>
            <w:r>
              <w:rPr>
                <w:sz w:val="17"/>
              </w:rPr>
              <w:t>Active-passive</w:t>
            </w:r>
          </w:p>
        </w:tc>
        <w:tc>
          <w:tcPr>
            <w:tcW w:type="dxa" w:w="3312"/>
            <w:tcMar>
              <w:top w:w="80" w:type="dxa"/>
              <w:start w:w="100" w:type="dxa"/>
              <w:bottom w:w="80" w:type="dxa"/>
              <w:end w:w="100" w:type="dxa"/>
            </w:tcMar>
            <w:vAlign w:val="top"/>
          </w:tcPr>
          <w:p>
            <w:pPr>
              <w:spacing w:after="0"/>
            </w:pPr>
            <w:r>
              <w:rPr>
                <w:sz w:val="17"/>
              </w:rPr>
              <w:t>Simpler data ownership and lower standing cost</w:t>
            </w:r>
          </w:p>
        </w:tc>
        <w:tc>
          <w:tcPr>
            <w:tcW w:type="dxa" w:w="4608"/>
            <w:tcMar>
              <w:top w:w="80" w:type="dxa"/>
              <w:start w:w="100" w:type="dxa"/>
              <w:bottom w:w="80" w:type="dxa"/>
              <w:end w:w="100" w:type="dxa"/>
            </w:tcMar>
            <w:vAlign w:val="top"/>
          </w:tcPr>
          <w:p>
            <w:pPr>
              <w:spacing w:after="0"/>
            </w:pPr>
            <w:r>
              <w:rPr>
                <w:sz w:val="17"/>
              </w:rPr>
              <w:t>Cold capacity, DNS/routing, data freshness, and rehearsed activation.</w:t>
            </w:r>
          </w:p>
        </w:tc>
      </w:tr>
      <w:tr>
        <w:trPr>
          <w:cantSplit/>
        </w:trPr>
        <w:tc>
          <w:tcPr>
            <w:tcW w:type="dxa" w:w="2160"/>
            <w:tcMar>
              <w:top w:w="80" w:type="dxa"/>
              <w:start w:w="100" w:type="dxa"/>
              <w:bottom w:w="80" w:type="dxa"/>
              <w:end w:w="100" w:type="dxa"/>
            </w:tcMar>
            <w:vAlign w:val="top"/>
          </w:tcPr>
          <w:p>
            <w:pPr>
              <w:spacing w:after="0"/>
            </w:pPr>
            <w:r>
              <w:rPr>
                <w:sz w:val="17"/>
              </w:rPr>
              <w:t>Active-active</w:t>
            </w:r>
          </w:p>
        </w:tc>
        <w:tc>
          <w:tcPr>
            <w:tcW w:type="dxa" w:w="3312"/>
            <w:tcMar>
              <w:top w:w="80" w:type="dxa"/>
              <w:start w:w="100" w:type="dxa"/>
              <w:bottom w:w="80" w:type="dxa"/>
              <w:end w:w="100" w:type="dxa"/>
            </w:tcMar>
            <w:vAlign w:val="top"/>
          </w:tcPr>
          <w:p>
            <w:pPr>
              <w:spacing w:after="0"/>
            </w:pPr>
            <w:r>
              <w:rPr>
                <w:sz w:val="17"/>
              </w:rPr>
              <w:t>Low latency and regional fault tolerance</w:t>
            </w:r>
          </w:p>
        </w:tc>
        <w:tc>
          <w:tcPr>
            <w:tcW w:type="dxa" w:w="4608"/>
            <w:tcMar>
              <w:top w:w="80" w:type="dxa"/>
              <w:start w:w="100" w:type="dxa"/>
              <w:bottom w:w="80" w:type="dxa"/>
              <w:end w:w="100" w:type="dxa"/>
            </w:tcMar>
            <w:vAlign w:val="top"/>
          </w:tcPr>
          <w:p>
            <w:pPr>
              <w:spacing w:after="0"/>
            </w:pPr>
            <w:r>
              <w:rPr>
                <w:sz w:val="17"/>
              </w:rPr>
              <w:t>Conflict resolution, global quotas, dependency asymmetry, cost.</w:t>
            </w:r>
          </w:p>
        </w:tc>
      </w:tr>
      <w:tr>
        <w:trPr>
          <w:cantSplit/>
        </w:trPr>
        <w:tc>
          <w:tcPr>
            <w:tcW w:type="dxa" w:w="2160"/>
            <w:tcMar>
              <w:top w:w="80" w:type="dxa"/>
              <w:start w:w="100" w:type="dxa"/>
              <w:bottom w:w="80" w:type="dxa"/>
              <w:end w:w="100" w:type="dxa"/>
            </w:tcMar>
            <w:vAlign w:val="top"/>
          </w:tcPr>
          <w:p>
            <w:pPr>
              <w:spacing w:after="0"/>
            </w:pPr>
            <w:r>
              <w:rPr>
                <w:sz w:val="17"/>
              </w:rPr>
              <w:t>Cell per region</w:t>
            </w:r>
          </w:p>
        </w:tc>
        <w:tc>
          <w:tcPr>
            <w:tcW w:type="dxa" w:w="3312"/>
            <w:tcMar>
              <w:top w:w="80" w:type="dxa"/>
              <w:start w:w="100" w:type="dxa"/>
              <w:bottom w:w="80" w:type="dxa"/>
              <w:end w:w="100" w:type="dxa"/>
            </w:tcMar>
            <w:vAlign w:val="top"/>
          </w:tcPr>
          <w:p>
            <w:pPr>
              <w:spacing w:after="0"/>
            </w:pPr>
            <w:r>
              <w:rPr>
                <w:sz w:val="17"/>
              </w:rPr>
              <w:t>Bounded blast radius and predictable scaling</w:t>
            </w:r>
          </w:p>
        </w:tc>
        <w:tc>
          <w:tcPr>
            <w:tcW w:type="dxa" w:w="4608"/>
            <w:tcMar>
              <w:top w:w="80" w:type="dxa"/>
              <w:start w:w="100" w:type="dxa"/>
              <w:bottom w:w="80" w:type="dxa"/>
              <w:end w:w="100" w:type="dxa"/>
            </w:tcMar>
            <w:vAlign w:val="top"/>
          </w:tcPr>
          <w:p>
            <w:pPr>
              <w:spacing w:after="0"/>
            </w:pPr>
            <w:r>
              <w:rPr>
                <w:sz w:val="17"/>
              </w:rPr>
              <w:t>Placement, tenant mobility, fleet consistency, control plane.</w:t>
            </w:r>
          </w:p>
        </w:tc>
      </w:tr>
    </w:tbl>
    <w:p>
      <w:pPr>
        <w:spacing w:after="20"/>
      </w:pPr>
    </w:p>
    <w:p>
      <w:pPr>
        <w:pStyle w:val="Heading2"/>
      </w:pPr>
      <w:r>
        <w:t>60.2 Global Ingress and Dependency Design</w:t>
      </w:r>
    </w:p>
    <w:p>
      <w:pPr>
        <w:spacing w:after="120"/>
      </w:pPr>
      <w:r>
        <w:rPr>
          <w:i w:val="0"/>
        </w:rPr>
        <w:t>Azure Front Door provides global HTTP(S) entry, acceleration, health-based routing, and WAF capabilities. Traffic Manager provides DNS-based routing for supported scenarios. Keep regional origins independently operable. Avoid a global dependency that can disable every region.</w:t>
      </w:r>
    </w:p>
    <w:p>
      <w:pPr>
        <w:pStyle w:val="ListBullet"/>
        <w:spacing w:after="60"/>
      </w:pPr>
      <w:r>
        <w:t>Use private origins where supported and validate end-to-end certificate and DNS behavior.</w:t>
      </w:r>
    </w:p>
    <w:p>
      <w:pPr>
        <w:pStyle w:val="ListBullet"/>
        <w:spacing w:after="60"/>
      </w:pPr>
      <w:r>
        <w:t>Health probes must test meaningful readiness without causing load.</w:t>
      </w:r>
    </w:p>
    <w:p>
      <w:pPr>
        <w:pStyle w:val="ListBullet"/>
        <w:spacing w:after="60"/>
      </w:pPr>
      <w:r>
        <w:t>Define regional capacity headroom for failover.</w:t>
      </w:r>
    </w:p>
    <w:p>
      <w:pPr>
        <w:pStyle w:val="ListBullet"/>
        <w:spacing w:after="60"/>
      </w:pPr>
      <w:r>
        <w:t>Include identity, DNS, secrets, messaging, data, observability, and third-party dependencies in recovery plans.</w:t>
      </w:r>
    </w:p>
    <w:p>
      <w:pPr>
        <w:pStyle w:val="Heading2"/>
      </w:pPr>
      <w:r>
        <w:t>60.3 Data Consistency and Failover</w:t>
      </w:r>
    </w:p>
    <w:p>
      <w:pPr>
        <w:spacing w:after="120"/>
      </w:pPr>
      <w:r>
        <w:rPr>
          <w:i w:val="0"/>
        </w:rPr>
        <w:t>Cosmos DB offers configurable consistency and multi-region capabilities. Azure SQL failover groups and other data services provide different replication and failover models. Choose based on write topology, conflict semantics, recovery point, recovery time, and transaction requirements. A global application can be available while serving incorrect or stale data; correctness is part of reliability.</w:t>
      </w:r>
    </w:p>
    <w:p>
      <w:pPr>
        <w:pStyle w:val="Heading2"/>
      </w:pPr>
      <w:r>
        <w:t>60.4 Recovery Orchestration</w:t>
      </w:r>
    </w:p>
    <w:p>
      <w:pPr>
        <w:spacing w:after="120"/>
      </w:pPr>
      <w:r>
        <w:rPr>
          <w:i w:val="0"/>
        </w:rPr>
        <w:t>Automate detection, decision, routing, capacity, data-role changes, secret/config verification, validation, and communication. Use explicit authority for failover because automation can amplify a partial fault. Document failback and reconciliation, not only failover.</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Traffic remains on failed region</w:t>
            </w:r>
          </w:p>
        </w:tc>
        <w:tc>
          <w:tcPr>
            <w:tcW w:type="dxa" w:w="2592"/>
            <w:tcMar>
              <w:top w:w="80" w:type="dxa"/>
              <w:start w:w="100" w:type="dxa"/>
              <w:bottom w:w="80" w:type="dxa"/>
              <w:end w:w="100" w:type="dxa"/>
            </w:tcMar>
            <w:vAlign w:val="top"/>
          </w:tcPr>
          <w:p>
            <w:pPr>
              <w:spacing w:after="0"/>
            </w:pPr>
            <w:r>
              <w:rPr>
                <w:sz w:val="17"/>
              </w:rPr>
              <w:t>Health probe too shallow, cache/DNS behavior, or routing weight</w:t>
            </w:r>
          </w:p>
        </w:tc>
        <w:tc>
          <w:tcPr>
            <w:tcW w:type="dxa" w:w="5328"/>
            <w:tcMar>
              <w:top w:w="80" w:type="dxa"/>
              <w:start w:w="100" w:type="dxa"/>
              <w:bottom w:w="80" w:type="dxa"/>
              <w:end w:w="100" w:type="dxa"/>
            </w:tcMar>
            <w:vAlign w:val="top"/>
          </w:tcPr>
          <w:p>
            <w:pPr>
              <w:spacing w:after="0"/>
            </w:pPr>
            <w:r>
              <w:rPr>
                <w:sz w:val="17"/>
              </w:rPr>
              <w:t>Test application dependency health, inspect probe status, TTL, origin configuration, and client caching.</w:t>
            </w:r>
          </w:p>
        </w:tc>
      </w:tr>
      <w:tr>
        <w:trPr>
          <w:cantSplit/>
        </w:trPr>
        <w:tc>
          <w:tcPr>
            <w:tcW w:type="dxa" w:w="2160"/>
            <w:tcMar>
              <w:top w:w="80" w:type="dxa"/>
              <w:start w:w="100" w:type="dxa"/>
              <w:bottom w:w="80" w:type="dxa"/>
              <w:end w:w="100" w:type="dxa"/>
            </w:tcMar>
            <w:vAlign w:val="top"/>
          </w:tcPr>
          <w:p>
            <w:pPr>
              <w:spacing w:after="0"/>
            </w:pPr>
            <w:r>
              <w:rPr>
                <w:sz w:val="17"/>
              </w:rPr>
              <w:t>Secondary region overloads</w:t>
            </w:r>
          </w:p>
        </w:tc>
        <w:tc>
          <w:tcPr>
            <w:tcW w:type="dxa" w:w="2592"/>
            <w:tcMar>
              <w:top w:w="80" w:type="dxa"/>
              <w:start w:w="100" w:type="dxa"/>
              <w:bottom w:w="80" w:type="dxa"/>
              <w:end w:w="100" w:type="dxa"/>
            </w:tcMar>
            <w:vAlign w:val="top"/>
          </w:tcPr>
          <w:p>
            <w:pPr>
              <w:spacing w:after="0"/>
            </w:pPr>
            <w:r>
              <w:rPr>
                <w:sz w:val="17"/>
              </w:rPr>
              <w:t>Insufficient warm capacity or quota</w:t>
            </w:r>
          </w:p>
        </w:tc>
        <w:tc>
          <w:tcPr>
            <w:tcW w:type="dxa" w:w="5328"/>
            <w:tcMar>
              <w:top w:w="80" w:type="dxa"/>
              <w:start w:w="100" w:type="dxa"/>
              <w:bottom w:w="80" w:type="dxa"/>
              <w:end w:w="100" w:type="dxa"/>
            </w:tcMar>
            <w:vAlign w:val="top"/>
          </w:tcPr>
          <w:p>
            <w:pPr>
              <w:spacing w:after="0"/>
            </w:pPr>
            <w:r>
              <w:rPr>
                <w:sz w:val="17"/>
              </w:rPr>
              <w:t>Maintain capacity plan, reservations/quota, autoscale limits, and load-shed policy.</w:t>
            </w:r>
          </w:p>
        </w:tc>
      </w:tr>
      <w:tr>
        <w:trPr>
          <w:cantSplit/>
        </w:trPr>
        <w:tc>
          <w:tcPr>
            <w:tcW w:type="dxa" w:w="2160"/>
            <w:tcMar>
              <w:top w:w="80" w:type="dxa"/>
              <w:start w:w="100" w:type="dxa"/>
              <w:bottom w:w="80" w:type="dxa"/>
              <w:end w:w="100" w:type="dxa"/>
            </w:tcMar>
            <w:vAlign w:val="top"/>
          </w:tcPr>
          <w:p>
            <w:pPr>
              <w:spacing w:after="0"/>
            </w:pPr>
            <w:r>
              <w:rPr>
                <w:sz w:val="17"/>
              </w:rPr>
              <w:t>Data conflicts after recovery</w:t>
            </w:r>
          </w:p>
        </w:tc>
        <w:tc>
          <w:tcPr>
            <w:tcW w:type="dxa" w:w="2592"/>
            <w:tcMar>
              <w:top w:w="80" w:type="dxa"/>
              <w:start w:w="100" w:type="dxa"/>
              <w:bottom w:w="80" w:type="dxa"/>
              <w:end w:w="100" w:type="dxa"/>
            </w:tcMar>
            <w:vAlign w:val="top"/>
          </w:tcPr>
          <w:p>
            <w:pPr>
              <w:spacing w:after="0"/>
            </w:pPr>
            <w:r>
              <w:rPr>
                <w:sz w:val="17"/>
              </w:rPr>
              <w:t>Multi-write without deterministic conflict handling</w:t>
            </w:r>
          </w:p>
        </w:tc>
        <w:tc>
          <w:tcPr>
            <w:tcW w:type="dxa" w:w="5328"/>
            <w:tcMar>
              <w:top w:w="80" w:type="dxa"/>
              <w:start w:w="100" w:type="dxa"/>
              <w:bottom w:w="80" w:type="dxa"/>
              <w:end w:w="100" w:type="dxa"/>
            </w:tcMar>
            <w:vAlign w:val="top"/>
          </w:tcPr>
          <w:p>
            <w:pPr>
              <w:spacing w:after="0"/>
            </w:pPr>
            <w:r>
              <w:rPr>
                <w:sz w:val="17"/>
              </w:rPr>
              <w:t>Apply domain conflict policy, preserve audit, reconcile, and avoid unsafe automatic overwrite.</w:t>
            </w:r>
          </w:p>
        </w:tc>
      </w:tr>
    </w:tbl>
    <w:p>
      <w:pPr>
        <w:spacing w:after="20"/>
      </w:pPr>
    </w:p>
    <w:p>
      <w:pPr>
        <w:pStyle w:val="Heading2"/>
      </w:pPr>
      <w:r>
        <w:t>Hands-on Lab 60: Run a Regional Failover Exercise</w:t>
      </w:r>
    </w:p>
    <w:p>
      <w:pPr>
        <w:pStyle w:val="Heading3"/>
      </w:pPr>
      <w:r>
        <w:t>Prerequisites</w:t>
      </w:r>
    </w:p>
    <w:p>
      <w:pPr>
        <w:pStyle w:val="ListBullet"/>
        <w:spacing w:after="60"/>
      </w:pPr>
      <w:r>
        <w:t>A two-region nonproduction application with global routing and replicated data.</w:t>
      </w:r>
    </w:p>
    <w:p>
      <w:pPr>
        <w:pStyle w:val="Heading3"/>
      </w:pPr>
      <w:r>
        <w:t>Implementation</w:t>
      </w:r>
    </w:p>
    <w:p>
      <w:pPr>
        <w:spacing w:after="60"/>
        <w:ind w:left="360" w:hanging="259"/>
      </w:pPr>
      <w:r>
        <w:rPr>
          <w:b/>
        </w:rPr>
        <w:t xml:space="preserve">1. </w:t>
      </w:r>
      <w:r>
        <w:t>Define RTO, RPO, failover authority, stop conditions, and communication plan.</w:t>
      </w:r>
    </w:p>
    <w:p>
      <w:pPr>
        <w:spacing w:after="60"/>
        <w:ind w:left="360" w:hanging="259"/>
      </w:pPr>
      <w:r>
        <w:rPr>
          <w:b/>
        </w:rPr>
        <w:t xml:space="preserve">2. </w:t>
      </w:r>
      <w:r>
        <w:t>Verify secondary quotas, secrets, configuration, certificates, and capacity.</w:t>
      </w:r>
    </w:p>
    <w:p>
      <w:pPr>
        <w:spacing w:after="60"/>
        <w:ind w:left="360" w:hanging="259"/>
      </w:pPr>
      <w:r>
        <w:rPr>
          <w:b/>
        </w:rPr>
        <w:t xml:space="preserve">3. </w:t>
      </w:r>
      <w:r>
        <w:t>Inject a regional or dependency failure in a controlled manner.</w:t>
      </w:r>
    </w:p>
    <w:p>
      <w:pPr>
        <w:spacing w:after="60"/>
        <w:ind w:left="360" w:hanging="259"/>
      </w:pPr>
      <w:r>
        <w:rPr>
          <w:b/>
        </w:rPr>
        <w:t xml:space="preserve">4. </w:t>
      </w:r>
      <w:r>
        <w:t>Execute routing and data failover.</w:t>
      </w:r>
    </w:p>
    <w:p>
      <w:pPr>
        <w:spacing w:after="60"/>
        <w:ind w:left="360" w:hanging="259"/>
      </w:pPr>
      <w:r>
        <w:rPr>
          <w:b/>
        </w:rPr>
        <w:t xml:space="preserve">5. </w:t>
      </w:r>
      <w:r>
        <w:t>Run synthetic journeys, data-correctness checks, and business validation.</w:t>
      </w:r>
    </w:p>
    <w:p>
      <w:pPr>
        <w:spacing w:after="60"/>
        <w:ind w:left="360" w:hanging="259"/>
      </w:pPr>
      <w:r>
        <w:rPr>
          <w:b/>
        </w:rPr>
        <w:t xml:space="preserve">6. </w:t>
      </w:r>
      <w:r>
        <w:t>Fail back or stabilize in the alternate region and reconcile data.</w:t>
      </w:r>
    </w:p>
    <w:p>
      <w:pPr>
        <w:pStyle w:val="Heading3"/>
      </w:pPr>
      <w:r>
        <w:t>Validation Evidence</w:t>
      </w:r>
    </w:p>
    <w:p>
      <w:pPr>
        <w:pStyle w:val="ListBullet"/>
        <w:spacing w:after="60"/>
      </w:pPr>
      <w:r>
        <w:t>Measured RTO and RPO are recorded.</w:t>
      </w:r>
    </w:p>
    <w:p>
      <w:pPr>
        <w:pStyle w:val="ListBullet"/>
        <w:spacing w:after="60"/>
      </w:pPr>
      <w:r>
        <w:t>Global routing changes are observable.</w:t>
      </w:r>
    </w:p>
    <w:p>
      <w:pPr>
        <w:pStyle w:val="ListBullet"/>
        <w:spacing w:after="60"/>
      </w:pPr>
      <w:r>
        <w:t>No accepted transaction is silently lost.</w:t>
      </w:r>
    </w:p>
    <w:p>
      <w:pPr>
        <w:pStyle w:val="ListBullet"/>
        <w:spacing w:after="60"/>
      </w:pPr>
      <w:r>
        <w:t>Runbook gaps have owners and due dates.</w:t>
      </w:r>
    </w:p>
    <w:p>
      <w:pPr>
        <w:pStyle w:val="Heading3"/>
      </w:pPr>
      <w:r>
        <w:t>Cleanup</w:t>
      </w:r>
    </w:p>
    <w:p>
      <w:pPr>
        <w:pStyle w:val="ListBullet"/>
        <w:spacing w:after="60"/>
      </w:pPr>
      <w:r>
        <w:t>Restore normal routing and capacity.</w:t>
      </w:r>
    </w:p>
    <w:p>
      <w:pPr>
        <w:pStyle w:val="ListBullet"/>
        <w:spacing w:after="60"/>
      </w:pPr>
      <w:r>
        <w:t>Remove synthetic faults, temporary rules, and test records.</w:t>
      </w:r>
    </w:p>
    <w:p>
      <w:pPr>
        <w:pStyle w:val="Heading2"/>
      </w:pPr>
      <w:r>
        <w:t>Interview Questions and Model Answers</w:t>
      </w:r>
    </w:p>
    <w:p>
      <w:pPr>
        <w:spacing w:after="40"/>
      </w:pPr>
      <w:r>
        <w:rPr>
          <w:b/>
        </w:rPr>
        <w:t>1. Active-active versus active-passive?</w:t>
      </w:r>
    </w:p>
    <w:p>
      <w:pPr>
        <w:spacing w:after="120"/>
        <w:ind w:left="216"/>
      </w:pPr>
      <w:r>
        <w:t>Active-active reduces failover delay but requires multi-writer data, conflict, capacity, and deployment complexity.</w:t>
      </w:r>
    </w:p>
    <w:p>
      <w:pPr>
        <w:spacing w:after="40"/>
      </w:pPr>
      <w:r>
        <w:rPr>
          <w:b/>
        </w:rPr>
        <w:t>2. What is a meaningful health probe?</w:t>
      </w:r>
    </w:p>
    <w:p>
      <w:pPr>
        <w:spacing w:after="120"/>
        <w:ind w:left="216"/>
      </w:pPr>
      <w:r>
        <w:t>A low-cost check that reflects the ability to serve required dependencies, not just process liveness.</w:t>
      </w:r>
    </w:p>
    <w:p>
      <w:pPr>
        <w:spacing w:after="40"/>
      </w:pPr>
      <w:r>
        <w:rPr>
          <w:b/>
        </w:rPr>
        <w:t>3. Why plan failback?</w:t>
      </w:r>
    </w:p>
    <w:p>
      <w:pPr>
        <w:spacing w:after="120"/>
        <w:ind w:left="216"/>
      </w:pPr>
      <w:r>
        <w:t>Returning to normal topology introduces routing, data, and capacity risks equal to failover.</w:t>
      </w:r>
    </w:p>
    <w:p>
      <w:pPr>
        <w:spacing w:after="40"/>
      </w:pPr>
      <w:r>
        <w:rPr>
          <w:b/>
        </w:rPr>
        <w:t>4. How do RTO and RPO differ?</w:t>
      </w:r>
    </w:p>
    <w:p>
      <w:pPr>
        <w:spacing w:after="120"/>
        <w:ind w:left="216"/>
      </w:pPr>
      <w:r>
        <w:t>RTO is time to restore service; RPO is acceptable data-loss window.</w:t>
      </w:r>
    </w:p>
    <w:p>
      <w:pPr>
        <w:pStyle w:val="Heading2"/>
      </w:pPr>
      <w:r>
        <w:t>Chapter Summary</w:t>
      </w:r>
    </w:p>
    <w:p>
      <w:pPr>
        <w:pStyle w:val="ListBullet"/>
        <w:spacing w:after="60"/>
      </w:pPr>
      <w:r>
        <w:t>Multi-region requires business justification and operational proof.</w:t>
      </w:r>
    </w:p>
    <w:p>
      <w:pPr>
        <w:pStyle w:val="ListBullet"/>
        <w:spacing w:after="60"/>
      </w:pPr>
      <w:r>
        <w:t>Design routing, capacity, and dependencies together.</w:t>
      </w:r>
    </w:p>
    <w:p>
      <w:pPr>
        <w:pStyle w:val="ListBullet"/>
        <w:spacing w:after="60"/>
      </w:pPr>
      <w:r>
        <w:t>Treat data correctness as reliability.</w:t>
      </w:r>
    </w:p>
    <w:p>
      <w:pPr>
        <w:pStyle w:val="ListBullet"/>
        <w:spacing w:after="60"/>
      </w:pPr>
      <w:r>
        <w:t>Exercise failover and failback regularly.</w:t>
      </w:r>
    </w:p>
    <w:p>
      <w:pPr>
        <w:pStyle w:val="Heading1"/>
        <w:pageBreakBefore/>
      </w:pPr>
      <w:r>
        <w:t>Chapter 61 - Security Incident Response and Cloud Forensics</w:t>
      </w:r>
    </w:p>
    <w:p>
      <w:pPr>
        <w:spacing w:after="120"/>
      </w:pPr>
      <w:r>
        <w:rPr>
          <w:i/>
          <w:color w:val="505050"/>
        </w:rPr>
        <w:t>Containing, investigating, eradicating, recovering, and learning from Azure security incidents</w:t>
      </w:r>
    </w:p>
    <w:p>
      <w:pPr>
        <w:pStyle w:val="Heading2"/>
      </w:pPr>
      <w:r>
        <w:t>Learning Objectives</w:t>
      </w:r>
    </w:p>
    <w:p>
      <w:pPr>
        <w:pStyle w:val="ListBullet"/>
        <w:spacing w:after="60"/>
      </w:pPr>
      <w:r>
        <w:t>Establish cloud-specific incident roles, evidence sources, and containment authority.</w:t>
      </w:r>
    </w:p>
    <w:p>
      <w:pPr>
        <w:pStyle w:val="ListBullet"/>
        <w:spacing w:after="60"/>
      </w:pPr>
      <w:r>
        <w:t>Use Microsoft Sentinel, Defender for Cloud, Entra logs, Activity Log, and workload telemetry.</w:t>
      </w:r>
    </w:p>
    <w:p>
      <w:pPr>
        <w:pStyle w:val="ListBullet"/>
        <w:spacing w:after="60"/>
      </w:pPr>
      <w:r>
        <w:t>Preserve evidence while applying least-destructive containment.</w:t>
      </w:r>
    </w:p>
    <w:p>
      <w:pPr>
        <w:pStyle w:val="ListBullet"/>
        <w:spacing w:after="60"/>
      </w:pPr>
      <w:r>
        <w:t>Create recovery and post-incident improvement plans.</w:t>
      </w:r>
    </w:p>
    <w:p>
      <w:pPr>
        <w:pStyle w:val="Heading2"/>
      </w:pPr>
      <w:r>
        <w:t>61.1 Incident Lifecycle and Command</w:t>
      </w:r>
    </w:p>
    <w:p>
      <w:pPr>
        <w:spacing w:after="120"/>
      </w:pPr>
      <w:r>
        <w:rPr>
          <w:i w:val="0"/>
        </w:rPr>
        <w:t>Use a defined lifecycle: prepare, detect, triage, contain, investigate, eradicate, recover, and learn. Assign incident commander, security lead, operations lead, communications lead, scribe, and business owner. Protect the timeline and decision log.</w:t>
      </w:r>
    </w:p>
    <w:p>
      <w:pPr>
        <w:pStyle w:val="Heading2"/>
      </w:pPr>
      <w:r>
        <w:t>61.2 Evidence Sources</w:t>
      </w:r>
    </w:p>
    <w:p>
      <w:pPr>
        <w:spacing w:after="120"/>
      </w:pPr>
      <w:r>
        <w:rPr>
          <w:i w:val="0"/>
        </w:rPr>
        <w:t>Useful Azure evidence includes Entra sign-in and audit logs, Azure Activity Log, resource logs, Defender alerts, Sentinel incidents, NSG flow logs where available, application traces, Key Vault logs, pipeline history, resource changes, snapshots, and endpoint telemetry. Retention and export must be planned before an incident.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Question</w:t>
            </w:r>
          </w:p>
        </w:tc>
        <w:tc>
          <w:tcPr>
            <w:tcW w:type="dxa" w:w="7632"/>
            <w:shd w:fill="0078D4"/>
            <w:tcMar>
              <w:top w:w="80" w:type="dxa"/>
              <w:start w:w="100" w:type="dxa"/>
              <w:bottom w:w="80" w:type="dxa"/>
              <w:end w:w="100" w:type="dxa"/>
            </w:tcMar>
            <w:vAlign w:val="center"/>
          </w:tcPr>
          <w:p>
            <w:pPr>
              <w:jc w:val="center"/>
            </w:pPr>
            <w:r>
              <w:rPr>
                <w:b/>
                <w:color w:val="FFFFFF"/>
                <w:sz w:val="17"/>
              </w:rPr>
              <w:t>Evidence</w:t>
            </w:r>
          </w:p>
        </w:tc>
      </w:tr>
      <w:tr>
        <w:trPr>
          <w:cantSplit/>
        </w:trPr>
        <w:tc>
          <w:tcPr>
            <w:tcW w:type="dxa" w:w="2448"/>
            <w:tcMar>
              <w:top w:w="80" w:type="dxa"/>
              <w:start w:w="100" w:type="dxa"/>
              <w:bottom w:w="80" w:type="dxa"/>
              <w:end w:w="100" w:type="dxa"/>
            </w:tcMar>
            <w:vAlign w:val="top"/>
          </w:tcPr>
          <w:p>
            <w:pPr>
              <w:spacing w:after="0"/>
            </w:pPr>
            <w:r>
              <w:rPr>
                <w:sz w:val="17"/>
              </w:rPr>
              <w:t>Who authenticated?</w:t>
            </w:r>
          </w:p>
        </w:tc>
        <w:tc>
          <w:tcPr>
            <w:tcW w:type="dxa" w:w="7632"/>
            <w:tcMar>
              <w:top w:w="80" w:type="dxa"/>
              <w:start w:w="100" w:type="dxa"/>
              <w:bottom w:w="80" w:type="dxa"/>
              <w:end w:w="100" w:type="dxa"/>
            </w:tcMar>
            <w:vAlign w:val="top"/>
          </w:tcPr>
          <w:p>
            <w:pPr>
              <w:spacing w:after="0"/>
            </w:pPr>
            <w:r>
              <w:rPr>
                <w:sz w:val="17"/>
              </w:rPr>
              <w:t>Entra sign-in, conditional access, PIM, workload identity logs.</w:t>
            </w:r>
          </w:p>
        </w:tc>
      </w:tr>
      <w:tr>
        <w:trPr>
          <w:cantSplit/>
        </w:trPr>
        <w:tc>
          <w:tcPr>
            <w:tcW w:type="dxa" w:w="2448"/>
            <w:tcMar>
              <w:top w:w="80" w:type="dxa"/>
              <w:start w:w="100" w:type="dxa"/>
              <w:bottom w:w="80" w:type="dxa"/>
              <w:end w:w="100" w:type="dxa"/>
            </w:tcMar>
            <w:vAlign w:val="top"/>
          </w:tcPr>
          <w:p>
            <w:pPr>
              <w:spacing w:after="0"/>
            </w:pPr>
            <w:r>
              <w:rPr>
                <w:sz w:val="17"/>
              </w:rPr>
              <w:t>What changed?</w:t>
            </w:r>
          </w:p>
        </w:tc>
        <w:tc>
          <w:tcPr>
            <w:tcW w:type="dxa" w:w="7632"/>
            <w:tcMar>
              <w:top w:w="80" w:type="dxa"/>
              <w:start w:w="100" w:type="dxa"/>
              <w:bottom w:w="80" w:type="dxa"/>
              <w:end w:w="100" w:type="dxa"/>
            </w:tcMar>
            <w:vAlign w:val="top"/>
          </w:tcPr>
          <w:p>
            <w:pPr>
              <w:spacing w:after="0"/>
            </w:pPr>
            <w:r>
              <w:rPr>
                <w:sz w:val="17"/>
              </w:rPr>
              <w:t>Activity Log, resource change data, policy, deployment and pipeline history.</w:t>
            </w:r>
          </w:p>
        </w:tc>
      </w:tr>
      <w:tr>
        <w:trPr>
          <w:cantSplit/>
        </w:trPr>
        <w:tc>
          <w:tcPr>
            <w:tcW w:type="dxa" w:w="2448"/>
            <w:tcMar>
              <w:top w:w="80" w:type="dxa"/>
              <w:start w:w="100" w:type="dxa"/>
              <w:bottom w:w="80" w:type="dxa"/>
              <w:end w:w="100" w:type="dxa"/>
            </w:tcMar>
            <w:vAlign w:val="top"/>
          </w:tcPr>
          <w:p>
            <w:pPr>
              <w:spacing w:after="0"/>
            </w:pPr>
            <w:r>
              <w:rPr>
                <w:sz w:val="17"/>
              </w:rPr>
              <w:t>What was accessed?</w:t>
            </w:r>
          </w:p>
        </w:tc>
        <w:tc>
          <w:tcPr>
            <w:tcW w:type="dxa" w:w="7632"/>
            <w:tcMar>
              <w:top w:w="80" w:type="dxa"/>
              <w:start w:w="100" w:type="dxa"/>
              <w:bottom w:w="80" w:type="dxa"/>
              <w:end w:w="100" w:type="dxa"/>
            </w:tcMar>
            <w:vAlign w:val="top"/>
          </w:tcPr>
          <w:p>
            <w:pPr>
              <w:spacing w:after="0"/>
            </w:pPr>
            <w:r>
              <w:rPr>
                <w:sz w:val="17"/>
              </w:rPr>
              <w:t>Data-plane diagnostics, application audit, storage/database logs.</w:t>
            </w:r>
          </w:p>
        </w:tc>
      </w:tr>
      <w:tr>
        <w:trPr>
          <w:cantSplit/>
        </w:trPr>
        <w:tc>
          <w:tcPr>
            <w:tcW w:type="dxa" w:w="2448"/>
            <w:tcMar>
              <w:top w:w="80" w:type="dxa"/>
              <w:start w:w="100" w:type="dxa"/>
              <w:bottom w:w="80" w:type="dxa"/>
              <w:end w:w="100" w:type="dxa"/>
            </w:tcMar>
            <w:vAlign w:val="top"/>
          </w:tcPr>
          <w:p>
            <w:pPr>
              <w:spacing w:after="0"/>
            </w:pPr>
            <w:r>
              <w:rPr>
                <w:sz w:val="17"/>
              </w:rPr>
              <w:t>Where did traffic flow?</w:t>
            </w:r>
          </w:p>
        </w:tc>
        <w:tc>
          <w:tcPr>
            <w:tcW w:type="dxa" w:w="7632"/>
            <w:tcMar>
              <w:top w:w="80" w:type="dxa"/>
              <w:start w:w="100" w:type="dxa"/>
              <w:bottom w:w="80" w:type="dxa"/>
              <w:end w:w="100" w:type="dxa"/>
            </w:tcMar>
            <w:vAlign w:val="top"/>
          </w:tcPr>
          <w:p>
            <w:pPr>
              <w:spacing w:after="0"/>
            </w:pPr>
            <w:r>
              <w:rPr>
                <w:sz w:val="17"/>
              </w:rPr>
              <w:t>Firewall/WAF/load balancer/network logs and endpoint telemetry.</w:t>
            </w:r>
          </w:p>
        </w:tc>
      </w:tr>
    </w:tbl>
    <w:p>
      <w:pPr>
        <w:spacing w:after="20"/>
      </w:pPr>
    </w:p>
    <w:p>
      <w:pPr>
        <w:pStyle w:val="Heading2"/>
      </w:pPr>
      <w:r>
        <w:t>61.3 Containment and Forensics</w:t>
      </w:r>
    </w:p>
    <w:p>
      <w:pPr>
        <w:spacing w:after="120"/>
      </w:pPr>
      <w:r>
        <w:rPr>
          <w:i w:val="0"/>
        </w:rPr>
        <w:t>Containment must balance evidence preservation and business impact. Options include revoking sessions, disabling identities, removing role assignments, isolating networks, rotating credentials, blocking indicators, stopping automation, and creating snapshots. Avoid making broad changes without recording who authorized them and why.</w:t>
      </w:r>
    </w:p>
    <w:p>
      <w:pPr>
        <w:pStyle w:val="ListBullet"/>
        <w:spacing w:after="60"/>
      </w:pPr>
      <w:r>
        <w:t>Use clean administrative workstations and break-glass procedures.</w:t>
      </w:r>
    </w:p>
    <w:p>
      <w:pPr>
        <w:pStyle w:val="ListBullet"/>
        <w:spacing w:after="60"/>
      </w:pPr>
      <w:r>
        <w:t>Hash and securely store exported evidence.</w:t>
      </w:r>
    </w:p>
    <w:p>
      <w:pPr>
        <w:pStyle w:val="ListBullet"/>
        <w:spacing w:after="60"/>
      </w:pPr>
      <w:r>
        <w:t>Capture timestamps in UTC and account for clock skew.</w:t>
      </w:r>
    </w:p>
    <w:p>
      <w:pPr>
        <w:pStyle w:val="ListBullet"/>
        <w:spacing w:after="60"/>
      </w:pPr>
      <w:r>
        <w:t>Do not rely on portal screenshots as primary evidence.</w:t>
      </w:r>
    </w:p>
    <w:p>
      <w:pPr>
        <w:pStyle w:val="Heading2"/>
      </w:pPr>
      <w:r>
        <w:t>61.4 Recovery and Learning</w:t>
      </w:r>
    </w:p>
    <w:p>
      <w:pPr>
        <w:spacing w:after="120"/>
      </w:pPr>
      <w:r>
        <w:rPr>
          <w:i w:val="0"/>
        </w:rPr>
        <w:t>Recovery uses trusted artifacts, verified identities, known-good configuration, and heightened monitoring. Complete root-cause and contributing-factor analysis without blaming individuals. Convert lessons into backlog items, controls, detection improvements, and exercises.</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Attacker activity continues after password reset</w:t>
            </w:r>
          </w:p>
        </w:tc>
        <w:tc>
          <w:tcPr>
            <w:tcW w:type="dxa" w:w="2592"/>
            <w:tcMar>
              <w:top w:w="80" w:type="dxa"/>
              <w:start w:w="100" w:type="dxa"/>
              <w:bottom w:w="80" w:type="dxa"/>
              <w:end w:w="100" w:type="dxa"/>
            </w:tcMar>
            <w:vAlign w:val="top"/>
          </w:tcPr>
          <w:p>
            <w:pPr>
              <w:spacing w:after="0"/>
            </w:pPr>
            <w:r>
              <w:rPr>
                <w:sz w:val="17"/>
              </w:rPr>
              <w:t>Tokens, service principals, federated credentials, managed identities, or automation remain active</w:t>
            </w:r>
          </w:p>
        </w:tc>
        <w:tc>
          <w:tcPr>
            <w:tcW w:type="dxa" w:w="5328"/>
            <w:tcMar>
              <w:top w:w="80" w:type="dxa"/>
              <w:start w:w="100" w:type="dxa"/>
              <w:bottom w:w="80" w:type="dxa"/>
              <w:end w:w="100" w:type="dxa"/>
            </w:tcMar>
            <w:vAlign w:val="top"/>
          </w:tcPr>
          <w:p>
            <w:pPr>
              <w:spacing w:after="0"/>
            </w:pPr>
            <w:r>
              <w:rPr>
                <w:sz w:val="17"/>
              </w:rPr>
              <w:t>Revoke sessions, inspect nonhuman identities, role assignments, credentials, and pipelines; rotate affected secrets.</w:t>
            </w:r>
          </w:p>
        </w:tc>
      </w:tr>
      <w:tr>
        <w:trPr>
          <w:cantSplit/>
        </w:trPr>
        <w:tc>
          <w:tcPr>
            <w:tcW w:type="dxa" w:w="2160"/>
            <w:tcMar>
              <w:top w:w="80" w:type="dxa"/>
              <w:start w:w="100" w:type="dxa"/>
              <w:bottom w:w="80" w:type="dxa"/>
              <w:end w:w="100" w:type="dxa"/>
            </w:tcMar>
            <w:vAlign w:val="top"/>
          </w:tcPr>
          <w:p>
            <w:pPr>
              <w:spacing w:after="0"/>
            </w:pPr>
            <w:r>
              <w:rPr>
                <w:sz w:val="17"/>
              </w:rPr>
              <w:t>Evidence missing</w:t>
            </w:r>
          </w:p>
        </w:tc>
        <w:tc>
          <w:tcPr>
            <w:tcW w:type="dxa" w:w="2592"/>
            <w:tcMar>
              <w:top w:w="80" w:type="dxa"/>
              <w:start w:w="100" w:type="dxa"/>
              <w:bottom w:w="80" w:type="dxa"/>
              <w:end w:w="100" w:type="dxa"/>
            </w:tcMar>
            <w:vAlign w:val="top"/>
          </w:tcPr>
          <w:p>
            <w:pPr>
              <w:spacing w:after="0"/>
            </w:pPr>
            <w:r>
              <w:rPr>
                <w:sz w:val="17"/>
              </w:rPr>
              <w:t>Diagnostics not enabled or retention expired</w:t>
            </w:r>
          </w:p>
        </w:tc>
        <w:tc>
          <w:tcPr>
            <w:tcW w:type="dxa" w:w="5328"/>
            <w:tcMar>
              <w:top w:w="80" w:type="dxa"/>
              <w:start w:w="100" w:type="dxa"/>
              <w:bottom w:w="80" w:type="dxa"/>
              <w:end w:w="100" w:type="dxa"/>
            </w:tcMar>
            <w:vAlign w:val="top"/>
          </w:tcPr>
          <w:p>
            <w:pPr>
              <w:spacing w:after="0"/>
            </w:pPr>
            <w:r>
              <w:rPr>
                <w:sz w:val="17"/>
              </w:rPr>
              <w:t>Record gap, preserve remaining sources, improve baseline export and retention.</w:t>
            </w:r>
          </w:p>
        </w:tc>
      </w:tr>
      <w:tr>
        <w:trPr>
          <w:cantSplit/>
        </w:trPr>
        <w:tc>
          <w:tcPr>
            <w:tcW w:type="dxa" w:w="2160"/>
            <w:tcMar>
              <w:top w:w="80" w:type="dxa"/>
              <w:start w:w="100" w:type="dxa"/>
              <w:bottom w:w="80" w:type="dxa"/>
              <w:end w:w="100" w:type="dxa"/>
            </w:tcMar>
            <w:vAlign w:val="top"/>
          </w:tcPr>
          <w:p>
            <w:pPr>
              <w:spacing w:after="0"/>
            </w:pPr>
            <w:r>
              <w:rPr>
                <w:sz w:val="17"/>
              </w:rPr>
              <w:t>Containment breaks production</w:t>
            </w:r>
          </w:p>
        </w:tc>
        <w:tc>
          <w:tcPr>
            <w:tcW w:type="dxa" w:w="2592"/>
            <w:tcMar>
              <w:top w:w="80" w:type="dxa"/>
              <w:start w:w="100" w:type="dxa"/>
              <w:bottom w:w="80" w:type="dxa"/>
              <w:end w:w="100" w:type="dxa"/>
            </w:tcMar>
            <w:vAlign w:val="top"/>
          </w:tcPr>
          <w:p>
            <w:pPr>
              <w:spacing w:after="0"/>
            </w:pPr>
            <w:r>
              <w:rPr>
                <w:sz w:val="17"/>
              </w:rPr>
              <w:t>Shared identity or network control changed too broadly</w:t>
            </w:r>
          </w:p>
        </w:tc>
        <w:tc>
          <w:tcPr>
            <w:tcW w:type="dxa" w:w="5328"/>
            <w:tcMar>
              <w:top w:w="80" w:type="dxa"/>
              <w:start w:w="100" w:type="dxa"/>
              <w:bottom w:w="80" w:type="dxa"/>
              <w:end w:w="100" w:type="dxa"/>
            </w:tcMar>
            <w:vAlign w:val="top"/>
          </w:tcPr>
          <w:p>
            <w:pPr>
              <w:spacing w:after="0"/>
            </w:pPr>
            <w:r>
              <w:rPr>
                <w:sz w:val="17"/>
              </w:rPr>
              <w:t>Use scoped containment, dependency map, change authority, and staged validation.</w:t>
            </w:r>
          </w:p>
        </w:tc>
      </w:tr>
    </w:tbl>
    <w:p>
      <w:pPr>
        <w:spacing w:after="20"/>
      </w:pPr>
    </w:p>
    <w:p>
      <w:pPr>
        <w:pStyle w:val="Heading2"/>
      </w:pPr>
      <w:r>
        <w:t>Hands-on Lab 61: Run a Compromised Workload Identity Simulation</w:t>
      </w:r>
    </w:p>
    <w:p>
      <w:pPr>
        <w:pStyle w:val="Heading3"/>
      </w:pPr>
      <w:r>
        <w:t>Prerequisites</w:t>
      </w:r>
    </w:p>
    <w:p>
      <w:pPr>
        <w:pStyle w:val="ListBullet"/>
        <w:spacing w:after="60"/>
      </w:pPr>
      <w:r>
        <w:t>A sandbox service principal or managed identity, Sentinel/Defender telemetry, and synthetic resources.</w:t>
      </w:r>
    </w:p>
    <w:p>
      <w:pPr>
        <w:pStyle w:val="Heading3"/>
      </w:pPr>
      <w:r>
        <w:t>Implementation</w:t>
      </w:r>
    </w:p>
    <w:p>
      <w:pPr>
        <w:spacing w:after="60"/>
        <w:ind w:left="360" w:hanging="259"/>
      </w:pPr>
      <w:r>
        <w:rPr>
          <w:b/>
        </w:rPr>
        <w:t xml:space="preserve">1. </w:t>
      </w:r>
      <w:r>
        <w:t>Create a scenario with suspicious token use and an unauthorized resource change.</w:t>
      </w:r>
    </w:p>
    <w:p>
      <w:pPr>
        <w:spacing w:after="60"/>
        <w:ind w:left="360" w:hanging="259"/>
      </w:pPr>
      <w:r>
        <w:rPr>
          <w:b/>
        </w:rPr>
        <w:t xml:space="preserve">2. </w:t>
      </w:r>
      <w:r>
        <w:t>Open an incident, assign roles, and start a UTC timeline.</w:t>
      </w:r>
    </w:p>
    <w:p>
      <w:pPr>
        <w:spacing w:after="60"/>
        <w:ind w:left="360" w:hanging="259"/>
      </w:pPr>
      <w:r>
        <w:rPr>
          <w:b/>
        </w:rPr>
        <w:t xml:space="preserve">3. </w:t>
      </w:r>
      <w:r>
        <w:t>Collect identity, Activity Log, deployment, and workload evidence.</w:t>
      </w:r>
    </w:p>
    <w:p>
      <w:pPr>
        <w:spacing w:after="60"/>
        <w:ind w:left="360" w:hanging="259"/>
      </w:pPr>
      <w:r>
        <w:rPr>
          <w:b/>
        </w:rPr>
        <w:t xml:space="preserve">4. </w:t>
      </w:r>
      <w:r>
        <w:t>Contain the identity and verify blocked access.</w:t>
      </w:r>
    </w:p>
    <w:p>
      <w:pPr>
        <w:spacing w:after="60"/>
        <w:ind w:left="360" w:hanging="259"/>
      </w:pPr>
      <w:r>
        <w:rPr>
          <w:b/>
        </w:rPr>
        <w:t xml:space="preserve">5. </w:t>
      </w:r>
      <w:r>
        <w:t>Rebuild or restore the affected workload from trusted artifacts.</w:t>
      </w:r>
    </w:p>
    <w:p>
      <w:pPr>
        <w:spacing w:after="60"/>
        <w:ind w:left="360" w:hanging="259"/>
      </w:pPr>
      <w:r>
        <w:rPr>
          <w:b/>
        </w:rPr>
        <w:t xml:space="preserve">6. </w:t>
      </w:r>
      <w:r>
        <w:t>Write a post-incident review with detection and prevention improvements.</w:t>
      </w:r>
    </w:p>
    <w:p>
      <w:pPr>
        <w:pStyle w:val="Heading3"/>
      </w:pPr>
      <w:r>
        <w:t>Validation Evidence</w:t>
      </w:r>
    </w:p>
    <w:p>
      <w:pPr>
        <w:pStyle w:val="ListBullet"/>
        <w:spacing w:after="60"/>
      </w:pPr>
      <w:r>
        <w:t>Evidence supports the incident narrative.</w:t>
      </w:r>
    </w:p>
    <w:p>
      <w:pPr>
        <w:pStyle w:val="ListBullet"/>
        <w:spacing w:after="60"/>
      </w:pPr>
      <w:r>
        <w:t>Containment is scoped and reversible.</w:t>
      </w:r>
    </w:p>
    <w:p>
      <w:pPr>
        <w:pStyle w:val="ListBullet"/>
        <w:spacing w:after="60"/>
      </w:pPr>
      <w:r>
        <w:t>Recovery uses verified artifacts and permissions.</w:t>
      </w:r>
    </w:p>
    <w:p>
      <w:pPr>
        <w:pStyle w:val="ListBullet"/>
        <w:spacing w:after="60"/>
      </w:pPr>
      <w:r>
        <w:t>Improvement actions have owners and dates.</w:t>
      </w:r>
    </w:p>
    <w:p>
      <w:pPr>
        <w:pStyle w:val="Heading3"/>
      </w:pPr>
      <w:r>
        <w:t>Cleanup</w:t>
      </w:r>
    </w:p>
    <w:p>
      <w:pPr>
        <w:pStyle w:val="ListBullet"/>
        <w:spacing w:after="60"/>
      </w:pPr>
      <w:r>
        <w:t>Delete synthetic identities, alerts, and compromised resources.</w:t>
      </w:r>
    </w:p>
    <w:p>
      <w:pPr>
        <w:pStyle w:val="ListBullet"/>
        <w:spacing w:after="60"/>
      </w:pPr>
      <w:r>
        <w:t>Securely dispose of test evidence according to policy.</w:t>
      </w:r>
    </w:p>
    <w:p>
      <w:pPr>
        <w:pStyle w:val="Heading2"/>
      </w:pPr>
      <w:r>
        <w:t>Interview Questions and Model Answers</w:t>
      </w:r>
    </w:p>
    <w:p>
      <w:pPr>
        <w:spacing w:after="40"/>
      </w:pPr>
      <w:r>
        <w:rPr>
          <w:b/>
        </w:rPr>
        <w:t>1. Why preserve evidence before containment?</w:t>
      </w:r>
    </w:p>
    <w:p>
      <w:pPr>
        <w:spacing w:after="120"/>
        <w:ind w:left="216"/>
      </w:pPr>
      <w:r>
        <w:t>Some actions erase tokens, process state, logs, or resource configuration needed for investigation.</w:t>
      </w:r>
    </w:p>
    <w:p>
      <w:pPr>
        <w:spacing w:after="40"/>
      </w:pPr>
      <w:r>
        <w:rPr>
          <w:b/>
        </w:rPr>
        <w:t>2. What is the role of the incident commander?</w:t>
      </w:r>
    </w:p>
    <w:p>
      <w:pPr>
        <w:spacing w:after="120"/>
        <w:ind w:left="216"/>
      </w:pPr>
      <w:r>
        <w:t>Coordinate objectives, decisions, resources, risk, and communication rather than perform every technical task.</w:t>
      </w:r>
    </w:p>
    <w:p>
      <w:pPr>
        <w:spacing w:after="40"/>
      </w:pPr>
      <w:r>
        <w:rPr>
          <w:b/>
        </w:rPr>
        <w:t>3. Why inspect workload identities?</w:t>
      </w:r>
    </w:p>
    <w:p>
      <w:pPr>
        <w:spacing w:after="120"/>
        <w:ind w:left="216"/>
      </w:pPr>
      <w:r>
        <w:t>Cloud incidents often persist through automation identities even after human credentials are reset.</w:t>
      </w:r>
    </w:p>
    <w:p>
      <w:pPr>
        <w:spacing w:after="40"/>
      </w:pPr>
      <w:r>
        <w:rPr>
          <w:b/>
        </w:rPr>
        <w:t>4. What makes a post-incident review effective?</w:t>
      </w:r>
    </w:p>
    <w:p>
      <w:pPr>
        <w:spacing w:after="120"/>
        <w:ind w:left="216"/>
      </w:pPr>
      <w:r>
        <w:t>Accurate timeline, contributing factors, measurable improvements, owners, and follow-through.</w:t>
      </w:r>
    </w:p>
    <w:p>
      <w:pPr>
        <w:pStyle w:val="Heading2"/>
      </w:pPr>
      <w:r>
        <w:t>Chapter Summary</w:t>
      </w:r>
    </w:p>
    <w:p>
      <w:pPr>
        <w:pStyle w:val="ListBullet"/>
        <w:spacing w:after="60"/>
      </w:pPr>
      <w:r>
        <w:t>Prepare evidence and authority before incidents.</w:t>
      </w:r>
    </w:p>
    <w:p>
      <w:pPr>
        <w:pStyle w:val="ListBullet"/>
        <w:spacing w:after="60"/>
      </w:pPr>
      <w:r>
        <w:t>Use cloud identity and control-plane logs.</w:t>
      </w:r>
    </w:p>
    <w:p>
      <w:pPr>
        <w:pStyle w:val="ListBullet"/>
        <w:spacing w:after="60"/>
      </w:pPr>
      <w:r>
        <w:t>Contain with minimal destruction and complete records.</w:t>
      </w:r>
    </w:p>
    <w:p>
      <w:pPr>
        <w:pStyle w:val="ListBullet"/>
        <w:spacing w:after="60"/>
      </w:pPr>
      <w:r>
        <w:t>Recover from trusted state and institutionalize learning.</w:t>
      </w:r>
    </w:p>
    <w:p>
      <w:pPr>
        <w:pStyle w:val="Heading1"/>
        <w:pageBreakBefore/>
      </w:pPr>
      <w:r>
        <w:t>Chapter 62 - Resilience Engineering, Game Days, and Chaos Studio</w:t>
      </w:r>
    </w:p>
    <w:p>
      <w:pPr>
        <w:spacing w:after="120"/>
      </w:pPr>
      <w:r>
        <w:rPr>
          <w:i/>
          <w:color w:val="505050"/>
        </w:rPr>
        <w:t>Validating that systems tolerate faults and recover within business targets</w:t>
      </w:r>
    </w:p>
    <w:p>
      <w:pPr>
        <w:pStyle w:val="Heading2"/>
      </w:pPr>
      <w:r>
        <w:t>Learning Objectives</w:t>
      </w:r>
    </w:p>
    <w:p>
      <w:pPr>
        <w:pStyle w:val="ListBullet"/>
        <w:spacing w:after="60"/>
      </w:pPr>
      <w:r>
        <w:t>Define steady state, hypotheses, blast radius, stop conditions, and recovery measures.</w:t>
      </w:r>
    </w:p>
    <w:p>
      <w:pPr>
        <w:pStyle w:val="ListBullet"/>
        <w:spacing w:after="60"/>
      </w:pPr>
      <w:r>
        <w:t>Use Azure Chaos Studio and controlled fault injection safely.</w:t>
      </w:r>
    </w:p>
    <w:p>
      <w:pPr>
        <w:pStyle w:val="ListBullet"/>
        <w:spacing w:after="60"/>
      </w:pPr>
      <w:r>
        <w:t>Design game days that test technology, people, process, and communication.</w:t>
      </w:r>
    </w:p>
    <w:p>
      <w:pPr>
        <w:pStyle w:val="ListBullet"/>
        <w:spacing w:after="60"/>
      </w:pPr>
      <w:r>
        <w:t>Convert experiment results into engineering improvements.</w:t>
      </w:r>
    </w:p>
    <w:p>
      <w:pPr>
        <w:pStyle w:val="Heading2"/>
      </w:pPr>
      <w:r>
        <w:t>62.1 Resilience as a Verified Property</w:t>
      </w:r>
    </w:p>
    <w:p>
      <w:pPr>
        <w:spacing w:after="120"/>
      </w:pPr>
      <w:r>
        <w:rPr>
          <w:i w:val="0"/>
        </w:rPr>
        <w:t>Redundancy is not proof of resilience. Resilience is demonstrated when the workload continues acceptable service or recovers within defined targets during realistic faults. Define steady-state indicators such as successful transactions, latency, queue age, and data correctness.</w:t>
      </w:r>
    </w:p>
    <w:p>
      <w:pPr>
        <w:pStyle w:val="Heading2"/>
      </w:pPr>
      <w:r>
        <w:t>62.2 Experiment Design</w:t>
      </w:r>
    </w:p>
    <w:p>
      <w:pPr>
        <w:spacing w:after="120"/>
      </w:pPr>
      <w:r>
        <w:rPr>
          <w:i w:val="0"/>
        </w:rPr>
        <w:t>A chaos experiment has a hypothesis, target, fault, scope, duration, safeguards, observation plan, and cleanup. Start with narrow nonproduction tests, then progress only when controls and learning justify it.</w:t>
      </w:r>
    </w:p>
    <w:p>
      <w:pPr>
        <w:spacing w:after="60"/>
        <w:ind w:left="360" w:hanging="259"/>
      </w:pPr>
      <w:r>
        <w:rPr>
          <w:b/>
        </w:rPr>
        <w:t xml:space="preserve">1. </w:t>
      </w:r>
      <w:r>
        <w:t>Confirm business owner and change authorization.</w:t>
      </w:r>
    </w:p>
    <w:p>
      <w:pPr>
        <w:spacing w:after="60"/>
        <w:ind w:left="360" w:hanging="259"/>
      </w:pPr>
      <w:r>
        <w:rPr>
          <w:b/>
        </w:rPr>
        <w:t xml:space="preserve">2. </w:t>
      </w:r>
      <w:r>
        <w:t>Define steady state and expected degradation.</w:t>
      </w:r>
    </w:p>
    <w:p>
      <w:pPr>
        <w:spacing w:after="60"/>
        <w:ind w:left="360" w:hanging="259"/>
      </w:pPr>
      <w:r>
        <w:rPr>
          <w:b/>
        </w:rPr>
        <w:t xml:space="preserve">3. </w:t>
      </w:r>
      <w:r>
        <w:t>Set blast radius, time limit, abort thresholds, and manual stop.</w:t>
      </w:r>
    </w:p>
    <w:p>
      <w:pPr>
        <w:spacing w:after="60"/>
        <w:ind w:left="360" w:hanging="259"/>
      </w:pPr>
      <w:r>
        <w:rPr>
          <w:b/>
        </w:rPr>
        <w:t xml:space="preserve">4. </w:t>
      </w:r>
      <w:r>
        <w:t>Verify backups, access, and communication.</w:t>
      </w:r>
    </w:p>
    <w:p>
      <w:pPr>
        <w:spacing w:after="60"/>
        <w:ind w:left="360" w:hanging="259"/>
      </w:pPr>
      <w:r>
        <w:rPr>
          <w:b/>
        </w:rPr>
        <w:t xml:space="preserve">5. </w:t>
      </w:r>
      <w:r>
        <w:t>Inject one controlled fault and observe.</w:t>
      </w:r>
    </w:p>
    <w:p>
      <w:pPr>
        <w:spacing w:after="60"/>
        <w:ind w:left="360" w:hanging="259"/>
      </w:pPr>
      <w:r>
        <w:rPr>
          <w:b/>
        </w:rPr>
        <w:t xml:space="preserve">6. </w:t>
      </w:r>
      <w:r>
        <w:t>Restore, validate, and record learning.</w:t>
      </w:r>
    </w:p>
    <w:p>
      <w:pPr>
        <w:pStyle w:val="Heading2"/>
      </w:pPr>
      <w:r>
        <w:t>62.3 Azure Chaos Studio</w:t>
      </w:r>
    </w:p>
    <w:p>
      <w:pPr>
        <w:spacing w:after="120"/>
      </w:pPr>
      <w:r>
        <w:rPr>
          <w:i w:val="0"/>
        </w:rPr>
        <w:t>Azure Chaos Studio is a managed resilience-testing service. It supports controlled fault injection through scenarios/workspaces and classic experiments depending on feature and region. Targets and capabilities determine which resources and faults can be used. Always verify fault cleanup behavior and current feature status before execution.</w:t>
      </w:r>
    </w:p>
    <w:p>
      <w:pPr>
        <w:pStyle w:val="Heading2"/>
      </w:pPr>
      <w:r>
        <w:t>62.4 Game Days and Organizational Readiness</w:t>
      </w:r>
    </w:p>
    <w:p>
      <w:pPr>
        <w:spacing w:after="120"/>
      </w:pPr>
      <w:r>
        <w:rPr>
          <w:i w:val="0"/>
        </w:rPr>
        <w:t>A game day combines technical fault injection with incident command, paging, dashboards, runbooks, business validation, and stakeholder communication. Avoid “hero tests” designed to surprise operators; learning is higher when safety and objectives are explicit.</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Experiment does not start</w:t>
            </w:r>
          </w:p>
        </w:tc>
        <w:tc>
          <w:tcPr>
            <w:tcW w:type="dxa" w:w="2592"/>
            <w:tcMar>
              <w:top w:w="80" w:type="dxa"/>
              <w:start w:w="100" w:type="dxa"/>
              <w:bottom w:w="80" w:type="dxa"/>
              <w:end w:w="100" w:type="dxa"/>
            </w:tcMar>
            <w:vAlign w:val="top"/>
          </w:tcPr>
          <w:p>
            <w:pPr>
              <w:spacing w:after="0"/>
            </w:pPr>
            <w:r>
              <w:rPr>
                <w:sz w:val="17"/>
              </w:rPr>
              <w:t>Target/capability, permission, region, identity, or approval missing</w:t>
            </w:r>
          </w:p>
        </w:tc>
        <w:tc>
          <w:tcPr>
            <w:tcW w:type="dxa" w:w="5328"/>
            <w:tcMar>
              <w:top w:w="80" w:type="dxa"/>
              <w:start w:w="100" w:type="dxa"/>
              <w:bottom w:w="80" w:type="dxa"/>
              <w:end w:w="100" w:type="dxa"/>
            </w:tcMar>
            <w:vAlign w:val="top"/>
          </w:tcPr>
          <w:p>
            <w:pPr>
              <w:spacing w:after="0"/>
            </w:pPr>
            <w:r>
              <w:rPr>
                <w:sz w:val="17"/>
              </w:rPr>
              <w:t>Validate resource enablement, experiment identity roles, feature availability, and change window.</w:t>
            </w:r>
          </w:p>
        </w:tc>
      </w:tr>
      <w:tr>
        <w:trPr>
          <w:cantSplit/>
        </w:trPr>
        <w:tc>
          <w:tcPr>
            <w:tcW w:type="dxa" w:w="2160"/>
            <w:tcMar>
              <w:top w:w="80" w:type="dxa"/>
              <w:start w:w="100" w:type="dxa"/>
              <w:bottom w:w="80" w:type="dxa"/>
              <w:end w:w="100" w:type="dxa"/>
            </w:tcMar>
            <w:vAlign w:val="top"/>
          </w:tcPr>
          <w:p>
            <w:pPr>
              <w:spacing w:after="0"/>
            </w:pPr>
            <w:r>
              <w:rPr>
                <w:sz w:val="17"/>
              </w:rPr>
              <w:t>Fault exceeds blast radius</w:t>
            </w:r>
          </w:p>
        </w:tc>
        <w:tc>
          <w:tcPr>
            <w:tcW w:type="dxa" w:w="2592"/>
            <w:tcMar>
              <w:top w:w="80" w:type="dxa"/>
              <w:start w:w="100" w:type="dxa"/>
              <w:bottom w:w="80" w:type="dxa"/>
              <w:end w:w="100" w:type="dxa"/>
            </w:tcMar>
            <w:vAlign w:val="top"/>
          </w:tcPr>
          <w:p>
            <w:pPr>
              <w:spacing w:after="0"/>
            </w:pPr>
            <w:r>
              <w:rPr>
                <w:sz w:val="17"/>
              </w:rPr>
              <w:t>Shared dependency or incorrect target selection</w:t>
            </w:r>
          </w:p>
        </w:tc>
        <w:tc>
          <w:tcPr>
            <w:tcW w:type="dxa" w:w="5328"/>
            <w:tcMar>
              <w:top w:w="80" w:type="dxa"/>
              <w:start w:w="100" w:type="dxa"/>
              <w:bottom w:w="80" w:type="dxa"/>
              <w:end w:w="100" w:type="dxa"/>
            </w:tcMar>
            <w:vAlign w:val="top"/>
          </w:tcPr>
          <w:p>
            <w:pPr>
              <w:spacing w:after="0"/>
            </w:pPr>
            <w:r>
              <w:rPr>
                <w:sz w:val="17"/>
              </w:rPr>
              <w:t>Abort, restore, review dependency map, narrow scopes, and add preflight validation.</w:t>
            </w:r>
          </w:p>
        </w:tc>
      </w:tr>
      <w:tr>
        <w:trPr>
          <w:cantSplit/>
        </w:trPr>
        <w:tc>
          <w:tcPr>
            <w:tcW w:type="dxa" w:w="2160"/>
            <w:tcMar>
              <w:top w:w="80" w:type="dxa"/>
              <w:start w:w="100" w:type="dxa"/>
              <w:bottom w:w="80" w:type="dxa"/>
              <w:end w:w="100" w:type="dxa"/>
            </w:tcMar>
            <w:vAlign w:val="top"/>
          </w:tcPr>
          <w:p>
            <w:pPr>
              <w:spacing w:after="0"/>
            </w:pPr>
            <w:r>
              <w:rPr>
                <w:sz w:val="17"/>
              </w:rPr>
              <w:t>System appears healthy but users fail</w:t>
            </w:r>
          </w:p>
        </w:tc>
        <w:tc>
          <w:tcPr>
            <w:tcW w:type="dxa" w:w="2592"/>
            <w:tcMar>
              <w:top w:w="80" w:type="dxa"/>
              <w:start w:w="100" w:type="dxa"/>
              <w:bottom w:w="80" w:type="dxa"/>
              <w:end w:w="100" w:type="dxa"/>
            </w:tcMar>
            <w:vAlign w:val="top"/>
          </w:tcPr>
          <w:p>
            <w:pPr>
              <w:spacing w:after="0"/>
            </w:pPr>
            <w:r>
              <w:rPr>
                <w:sz w:val="17"/>
              </w:rPr>
              <w:t>Steady state tracks infrastructure only</w:t>
            </w:r>
          </w:p>
        </w:tc>
        <w:tc>
          <w:tcPr>
            <w:tcW w:type="dxa" w:w="5328"/>
            <w:tcMar>
              <w:top w:w="80" w:type="dxa"/>
              <w:start w:w="100" w:type="dxa"/>
              <w:bottom w:w="80" w:type="dxa"/>
              <w:end w:w="100" w:type="dxa"/>
            </w:tcMar>
            <w:vAlign w:val="top"/>
          </w:tcPr>
          <w:p>
            <w:pPr>
              <w:spacing w:after="0"/>
            </w:pPr>
            <w:r>
              <w:rPr>
                <w:sz w:val="17"/>
              </w:rPr>
              <w:t>Add synthetic journeys, business transactions, correctness, and dependency metrics.</w:t>
            </w:r>
          </w:p>
        </w:tc>
      </w:tr>
    </w:tbl>
    <w:p>
      <w:pPr>
        <w:spacing w:after="20"/>
      </w:pPr>
    </w:p>
    <w:p>
      <w:pPr>
        <w:pStyle w:val="Heading2"/>
      </w:pPr>
      <w:r>
        <w:t>Hands-on Lab 62: Conduct a Controlled Resilience Game Day</w:t>
      </w:r>
    </w:p>
    <w:p>
      <w:pPr>
        <w:pStyle w:val="Heading3"/>
      </w:pPr>
      <w:r>
        <w:t>Prerequisites</w:t>
      </w:r>
    </w:p>
    <w:p>
      <w:pPr>
        <w:pStyle w:val="ListBullet"/>
        <w:spacing w:after="60"/>
      </w:pPr>
      <w:r>
        <w:t>A nonproduction workload, monitoring, incident channel, runbooks, and approved Chaos Studio target.</w:t>
      </w:r>
    </w:p>
    <w:p>
      <w:pPr>
        <w:pStyle w:val="Heading3"/>
      </w:pPr>
      <w:r>
        <w:t>Implementation</w:t>
      </w:r>
    </w:p>
    <w:p>
      <w:pPr>
        <w:spacing w:after="60"/>
        <w:ind w:left="360" w:hanging="259"/>
      </w:pPr>
      <w:r>
        <w:rPr>
          <w:b/>
        </w:rPr>
        <w:t xml:space="preserve">1. </w:t>
      </w:r>
      <w:r>
        <w:t>Define steady state, hypothesis, blast radius, stop conditions, RTO, and RPO.</w:t>
      </w:r>
    </w:p>
    <w:p>
      <w:pPr>
        <w:spacing w:after="60"/>
        <w:ind w:left="360" w:hanging="259"/>
      </w:pPr>
      <w:r>
        <w:rPr>
          <w:b/>
        </w:rPr>
        <w:t xml:space="preserve">2. </w:t>
      </w:r>
      <w:r>
        <w:t>Enable the minimum target capabilities and permissions.</w:t>
      </w:r>
    </w:p>
    <w:p>
      <w:pPr>
        <w:spacing w:after="60"/>
        <w:ind w:left="360" w:hanging="259"/>
      </w:pPr>
      <w:r>
        <w:rPr>
          <w:b/>
        </w:rPr>
        <w:t xml:space="preserve">3. </w:t>
      </w:r>
      <w:r>
        <w:t>Run a baseline transaction and telemetry capture.</w:t>
      </w:r>
    </w:p>
    <w:p>
      <w:pPr>
        <w:spacing w:after="60"/>
        <w:ind w:left="360" w:hanging="259"/>
      </w:pPr>
      <w:r>
        <w:rPr>
          <w:b/>
        </w:rPr>
        <w:t xml:space="preserve">4. </w:t>
      </w:r>
      <w:r>
        <w:t>Inject a zonal, process, network, or resource fault appropriate to the workload.</w:t>
      </w:r>
    </w:p>
    <w:p>
      <w:pPr>
        <w:spacing w:after="60"/>
        <w:ind w:left="360" w:hanging="259"/>
      </w:pPr>
      <w:r>
        <w:rPr>
          <w:b/>
        </w:rPr>
        <w:t xml:space="preserve">5. </w:t>
      </w:r>
      <w:r>
        <w:t>Operate the incident process and validate automated recovery.</w:t>
      </w:r>
    </w:p>
    <w:p>
      <w:pPr>
        <w:spacing w:after="60"/>
        <w:ind w:left="360" w:hanging="259"/>
      </w:pPr>
      <w:r>
        <w:rPr>
          <w:b/>
        </w:rPr>
        <w:t xml:space="preserve">6. </w:t>
      </w:r>
      <w:r>
        <w:t>Restore, verify cleanup, and create prioritized improvement actions.</w:t>
      </w:r>
    </w:p>
    <w:p>
      <w:pPr>
        <w:pStyle w:val="Heading3"/>
      </w:pPr>
      <w:r>
        <w:t>Validation Evidence</w:t>
      </w:r>
    </w:p>
    <w:p>
      <w:pPr>
        <w:pStyle w:val="ListBullet"/>
        <w:spacing w:after="60"/>
      </w:pPr>
      <w:r>
        <w:t>The experiment stayed within scope.</w:t>
      </w:r>
    </w:p>
    <w:p>
      <w:pPr>
        <w:pStyle w:val="ListBullet"/>
        <w:spacing w:after="60"/>
      </w:pPr>
      <w:r>
        <w:t>Steady state and recovery were measured.</w:t>
      </w:r>
    </w:p>
    <w:p>
      <w:pPr>
        <w:pStyle w:val="ListBullet"/>
        <w:spacing w:after="60"/>
      </w:pPr>
      <w:r>
        <w:t>Stop procedure worked.</w:t>
      </w:r>
    </w:p>
    <w:p>
      <w:pPr>
        <w:pStyle w:val="ListBullet"/>
        <w:spacing w:after="60"/>
      </w:pPr>
      <w:r>
        <w:t>Lessons changed code, architecture, runbooks, or monitoring.</w:t>
      </w:r>
    </w:p>
    <w:p>
      <w:pPr>
        <w:pStyle w:val="Heading3"/>
      </w:pPr>
      <w:r>
        <w:t>Cleanup</w:t>
      </w:r>
    </w:p>
    <w:p>
      <w:pPr>
        <w:pStyle w:val="ListBullet"/>
        <w:spacing w:after="60"/>
      </w:pPr>
      <w:r>
        <w:t>Disable test capabilities if no longer needed.</w:t>
      </w:r>
    </w:p>
    <w:p>
      <w:pPr>
        <w:pStyle w:val="ListBullet"/>
        <w:spacing w:after="60"/>
      </w:pPr>
      <w:r>
        <w:t>Remove temporary roles, alerts, and synthetic resources.</w:t>
      </w:r>
    </w:p>
    <w:p>
      <w:pPr>
        <w:pStyle w:val="Heading2"/>
      </w:pPr>
      <w:r>
        <w:t>Interview Questions and Model Answers</w:t>
      </w:r>
    </w:p>
    <w:p>
      <w:pPr>
        <w:spacing w:after="40"/>
      </w:pPr>
      <w:r>
        <w:rPr>
          <w:b/>
        </w:rPr>
        <w:t>1. What is steady state?</w:t>
      </w:r>
    </w:p>
    <w:p>
      <w:pPr>
        <w:spacing w:after="120"/>
        <w:ind w:left="216"/>
      </w:pPr>
      <w:r>
        <w:t>A small set of measurable indicators showing the workload is delivering acceptable business service.</w:t>
      </w:r>
    </w:p>
    <w:p>
      <w:pPr>
        <w:spacing w:after="40"/>
      </w:pPr>
      <w:r>
        <w:rPr>
          <w:b/>
        </w:rPr>
        <w:t>2. Why start small?</w:t>
      </w:r>
    </w:p>
    <w:p>
      <w:pPr>
        <w:spacing w:after="120"/>
        <w:ind w:left="216"/>
      </w:pPr>
      <w:r>
        <w:t>Fault injection can reveal unknown coupling; narrow scope limits harm while validating controls.</w:t>
      </w:r>
    </w:p>
    <w:p>
      <w:pPr>
        <w:spacing w:after="40"/>
      </w:pPr>
      <w:r>
        <w:rPr>
          <w:b/>
        </w:rPr>
        <w:t>3. Chaos testing versus disaster recovery test?</w:t>
      </w:r>
    </w:p>
    <w:p>
      <w:pPr>
        <w:spacing w:after="120"/>
        <w:ind w:left="216"/>
      </w:pPr>
      <w:r>
        <w:t>Chaos explores fault tolerance and behavior; DR validates restoration or regional recovery procedures and targets.</w:t>
      </w:r>
    </w:p>
    <w:p>
      <w:pPr>
        <w:spacing w:after="40"/>
      </w:pPr>
      <w:r>
        <w:rPr>
          <w:b/>
        </w:rPr>
        <w:t>4. What should a game day test beyond technology?</w:t>
      </w:r>
    </w:p>
    <w:p>
      <w:pPr>
        <w:spacing w:after="120"/>
        <w:ind w:left="216"/>
      </w:pPr>
      <w:r>
        <w:t>Paging, authority, communication, decision-making, runbooks, and business validation.</w:t>
      </w:r>
    </w:p>
    <w:p>
      <w:pPr>
        <w:pStyle w:val="Heading2"/>
      </w:pPr>
      <w:r>
        <w:t>Chapter Summary</w:t>
      </w:r>
    </w:p>
    <w:p>
      <w:pPr>
        <w:pStyle w:val="ListBullet"/>
        <w:spacing w:after="60"/>
      </w:pPr>
      <w:r>
        <w:t>Resilience must be measured under fault.</w:t>
      </w:r>
    </w:p>
    <w:p>
      <w:pPr>
        <w:pStyle w:val="ListBullet"/>
        <w:spacing w:after="60"/>
      </w:pPr>
      <w:r>
        <w:t>Use explicit hypotheses and safeguards.</w:t>
      </w:r>
    </w:p>
    <w:p>
      <w:pPr>
        <w:pStyle w:val="ListBullet"/>
        <w:spacing w:after="60"/>
      </w:pPr>
      <w:r>
        <w:t>Treat Chaos Studio as powerful change automation.</w:t>
      </w:r>
    </w:p>
    <w:p>
      <w:pPr>
        <w:pStyle w:val="ListBullet"/>
        <w:spacing w:after="60"/>
      </w:pPr>
      <w:r>
        <w:t>Turn learning into engineering work.</w:t>
      </w:r>
    </w:p>
    <w:p>
      <w:pPr>
        <w:pStyle w:val="Heading1"/>
        <w:pageBreakBefore/>
      </w:pPr>
      <w:r>
        <w:t>Chapter 63 - Performance Engineering and Capacity Planning</w:t>
      </w:r>
    </w:p>
    <w:p>
      <w:pPr>
        <w:spacing w:after="120"/>
      </w:pPr>
      <w:r>
        <w:rPr>
          <w:i/>
          <w:color w:val="505050"/>
        </w:rPr>
        <w:t>Designing measurable latency, throughput, concurrency, and scaling behavior under realistic demand</w:t>
      </w:r>
    </w:p>
    <w:p>
      <w:pPr>
        <w:pStyle w:val="Heading2"/>
      </w:pPr>
      <w:r>
        <w:t>Learning Objectives</w:t>
      </w:r>
    </w:p>
    <w:p>
      <w:pPr>
        <w:pStyle w:val="ListBullet"/>
        <w:spacing w:after="60"/>
      </w:pPr>
      <w:r>
        <w:t>Create workload models and performance budgets.</w:t>
      </w:r>
    </w:p>
    <w:p>
      <w:pPr>
        <w:pStyle w:val="ListBullet"/>
        <w:spacing w:after="60"/>
      </w:pPr>
      <w:r>
        <w:t>Use load, stress, spike, soak, and failover tests correctly.</w:t>
      </w:r>
    </w:p>
    <w:p>
      <w:pPr>
        <w:pStyle w:val="ListBullet"/>
        <w:spacing w:after="60"/>
      </w:pPr>
      <w:r>
        <w:t>Interpret saturation across compute, network, data, cache, and dependencies.</w:t>
      </w:r>
    </w:p>
    <w:p>
      <w:pPr>
        <w:pStyle w:val="ListBullet"/>
        <w:spacing w:after="60"/>
      </w:pPr>
      <w:r>
        <w:t>Plan capacity, quotas, autoscale, and cost together.</w:t>
      </w:r>
    </w:p>
    <w:p>
      <w:pPr>
        <w:pStyle w:val="Heading2"/>
      </w:pPr>
      <w:r>
        <w:t>63.1 Workload Model and Performance Budget</w:t>
      </w:r>
    </w:p>
    <w:p>
      <w:pPr>
        <w:spacing w:after="120"/>
      </w:pPr>
      <w:r>
        <w:rPr>
          <w:i w:val="0"/>
        </w:rPr>
        <w:t>A useful model describes request types, concurrency, payloads, read/write ratio, data distribution, geographical origin, burstiness, background jobs, dependency behavior, and growth. Allocate latency budgets across ingress, application, cache, database, messaging, and external services.</w:t>
      </w:r>
    </w:p>
    <w:p>
      <w:pPr>
        <w:pStyle w:val="Heading2"/>
      </w:pPr>
      <w:r>
        <w:t>63.2 Test Types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0078D4"/>
            <w:tcMar>
              <w:top w:w="80" w:type="dxa"/>
              <w:start w:w="100" w:type="dxa"/>
              <w:bottom w:w="80" w:type="dxa"/>
              <w:end w:w="100" w:type="dxa"/>
            </w:tcMar>
            <w:vAlign w:val="center"/>
          </w:tcPr>
          <w:p>
            <w:pPr>
              <w:jc w:val="center"/>
            </w:pPr>
            <w:r>
              <w:rPr>
                <w:b/>
                <w:color w:val="FFFFFF"/>
                <w:sz w:val="17"/>
              </w:rPr>
              <w:t>Test</w:t>
            </w:r>
          </w:p>
        </w:tc>
        <w:tc>
          <w:tcPr>
            <w:tcW w:type="dxa" w:w="3600"/>
            <w:shd w:fill="0078D4"/>
            <w:tcMar>
              <w:top w:w="80" w:type="dxa"/>
              <w:start w:w="100" w:type="dxa"/>
              <w:bottom w:w="80" w:type="dxa"/>
              <w:end w:w="100" w:type="dxa"/>
            </w:tcMar>
            <w:vAlign w:val="center"/>
          </w:tcPr>
          <w:p>
            <w:pPr>
              <w:jc w:val="center"/>
            </w:pPr>
            <w:r>
              <w:rPr>
                <w:b/>
                <w:color w:val="FFFFFF"/>
                <w:sz w:val="17"/>
              </w:rPr>
              <w:t>Purpose</w:t>
            </w:r>
          </w:p>
        </w:tc>
        <w:tc>
          <w:tcPr>
            <w:tcW w:type="dxa" w:w="4752"/>
            <w:shd w:fill="0078D4"/>
            <w:tcMar>
              <w:top w:w="80" w:type="dxa"/>
              <w:start w:w="100" w:type="dxa"/>
              <w:bottom w:w="80" w:type="dxa"/>
              <w:end w:w="100" w:type="dxa"/>
            </w:tcMar>
            <w:vAlign w:val="center"/>
          </w:tcPr>
          <w:p>
            <w:pPr>
              <w:jc w:val="center"/>
            </w:pPr>
            <w:r>
              <w:rPr>
                <w:b/>
                <w:color w:val="FFFFFF"/>
                <w:sz w:val="17"/>
              </w:rPr>
              <w:t>Failure Signal</w:t>
            </w:r>
          </w:p>
        </w:tc>
      </w:tr>
      <w:tr>
        <w:trPr>
          <w:cantSplit/>
        </w:trPr>
        <w:tc>
          <w:tcPr>
            <w:tcW w:type="dxa" w:w="1728"/>
            <w:tcMar>
              <w:top w:w="80" w:type="dxa"/>
              <w:start w:w="100" w:type="dxa"/>
              <w:bottom w:w="80" w:type="dxa"/>
              <w:end w:w="100" w:type="dxa"/>
            </w:tcMar>
            <w:vAlign w:val="top"/>
          </w:tcPr>
          <w:p>
            <w:pPr>
              <w:spacing w:after="0"/>
            </w:pPr>
            <w:r>
              <w:rPr>
                <w:sz w:val="17"/>
              </w:rPr>
              <w:t>Load</w:t>
            </w:r>
          </w:p>
        </w:tc>
        <w:tc>
          <w:tcPr>
            <w:tcW w:type="dxa" w:w="3600"/>
            <w:tcMar>
              <w:top w:w="80" w:type="dxa"/>
              <w:start w:w="100" w:type="dxa"/>
              <w:bottom w:w="80" w:type="dxa"/>
              <w:end w:w="100" w:type="dxa"/>
            </w:tcMar>
            <w:vAlign w:val="top"/>
          </w:tcPr>
          <w:p>
            <w:pPr>
              <w:spacing w:after="0"/>
            </w:pPr>
            <w:r>
              <w:rPr>
                <w:sz w:val="17"/>
              </w:rPr>
              <w:t>Validate expected demand</w:t>
            </w:r>
          </w:p>
        </w:tc>
        <w:tc>
          <w:tcPr>
            <w:tcW w:type="dxa" w:w="4752"/>
            <w:tcMar>
              <w:top w:w="80" w:type="dxa"/>
              <w:start w:w="100" w:type="dxa"/>
              <w:bottom w:w="80" w:type="dxa"/>
              <w:end w:w="100" w:type="dxa"/>
            </w:tcMar>
            <w:vAlign w:val="top"/>
          </w:tcPr>
          <w:p>
            <w:pPr>
              <w:spacing w:after="0"/>
            </w:pPr>
            <w:r>
              <w:rPr>
                <w:sz w:val="17"/>
              </w:rPr>
              <w:t>SLO misses at planned throughput.</w:t>
            </w:r>
          </w:p>
        </w:tc>
      </w:tr>
      <w:tr>
        <w:trPr>
          <w:cantSplit/>
        </w:trPr>
        <w:tc>
          <w:tcPr>
            <w:tcW w:type="dxa" w:w="1728"/>
            <w:tcMar>
              <w:top w:w="80" w:type="dxa"/>
              <w:start w:w="100" w:type="dxa"/>
              <w:bottom w:w="80" w:type="dxa"/>
              <w:end w:w="100" w:type="dxa"/>
            </w:tcMar>
            <w:vAlign w:val="top"/>
          </w:tcPr>
          <w:p>
            <w:pPr>
              <w:spacing w:after="0"/>
            </w:pPr>
            <w:r>
              <w:rPr>
                <w:sz w:val="17"/>
              </w:rPr>
              <w:t>Stress</w:t>
            </w:r>
          </w:p>
        </w:tc>
        <w:tc>
          <w:tcPr>
            <w:tcW w:type="dxa" w:w="3600"/>
            <w:tcMar>
              <w:top w:w="80" w:type="dxa"/>
              <w:start w:w="100" w:type="dxa"/>
              <w:bottom w:w="80" w:type="dxa"/>
              <w:end w:w="100" w:type="dxa"/>
            </w:tcMar>
            <w:vAlign w:val="top"/>
          </w:tcPr>
          <w:p>
            <w:pPr>
              <w:spacing w:after="0"/>
            </w:pPr>
            <w:r>
              <w:rPr>
                <w:sz w:val="17"/>
              </w:rPr>
              <w:t>Find breaking point and degradation mode</w:t>
            </w:r>
          </w:p>
        </w:tc>
        <w:tc>
          <w:tcPr>
            <w:tcW w:type="dxa" w:w="4752"/>
            <w:tcMar>
              <w:top w:w="80" w:type="dxa"/>
              <w:start w:w="100" w:type="dxa"/>
              <w:bottom w:w="80" w:type="dxa"/>
              <w:end w:w="100" w:type="dxa"/>
            </w:tcMar>
            <w:vAlign w:val="top"/>
          </w:tcPr>
          <w:p>
            <w:pPr>
              <w:spacing w:after="0"/>
            </w:pPr>
            <w:r>
              <w:rPr>
                <w:sz w:val="17"/>
              </w:rPr>
              <w:t>Runaway queues, errors, throttling, collapse.</w:t>
            </w:r>
          </w:p>
        </w:tc>
      </w:tr>
      <w:tr>
        <w:trPr>
          <w:cantSplit/>
        </w:trPr>
        <w:tc>
          <w:tcPr>
            <w:tcW w:type="dxa" w:w="1728"/>
            <w:tcMar>
              <w:top w:w="80" w:type="dxa"/>
              <w:start w:w="100" w:type="dxa"/>
              <w:bottom w:w="80" w:type="dxa"/>
              <w:end w:w="100" w:type="dxa"/>
            </w:tcMar>
            <w:vAlign w:val="top"/>
          </w:tcPr>
          <w:p>
            <w:pPr>
              <w:spacing w:after="0"/>
            </w:pPr>
            <w:r>
              <w:rPr>
                <w:sz w:val="17"/>
              </w:rPr>
              <w:t>Spike</w:t>
            </w:r>
          </w:p>
        </w:tc>
        <w:tc>
          <w:tcPr>
            <w:tcW w:type="dxa" w:w="3600"/>
            <w:tcMar>
              <w:top w:w="80" w:type="dxa"/>
              <w:start w:w="100" w:type="dxa"/>
              <w:bottom w:w="80" w:type="dxa"/>
              <w:end w:w="100" w:type="dxa"/>
            </w:tcMar>
            <w:vAlign w:val="top"/>
          </w:tcPr>
          <w:p>
            <w:pPr>
              <w:spacing w:after="0"/>
            </w:pPr>
            <w:r>
              <w:rPr>
                <w:sz w:val="17"/>
              </w:rPr>
              <w:t>Validate burst absorption and scaling delay</w:t>
            </w:r>
          </w:p>
        </w:tc>
        <w:tc>
          <w:tcPr>
            <w:tcW w:type="dxa" w:w="4752"/>
            <w:tcMar>
              <w:top w:w="80" w:type="dxa"/>
              <w:start w:w="100" w:type="dxa"/>
              <w:bottom w:w="80" w:type="dxa"/>
              <w:end w:w="100" w:type="dxa"/>
            </w:tcMar>
            <w:vAlign w:val="top"/>
          </w:tcPr>
          <w:p>
            <w:pPr>
              <w:spacing w:after="0"/>
            </w:pPr>
            <w:r>
              <w:rPr>
                <w:sz w:val="17"/>
              </w:rPr>
              <w:t>Cold starts, admission failure, sudden saturation.</w:t>
            </w:r>
          </w:p>
        </w:tc>
      </w:tr>
      <w:tr>
        <w:trPr>
          <w:cantSplit/>
        </w:trPr>
        <w:tc>
          <w:tcPr>
            <w:tcW w:type="dxa" w:w="1728"/>
            <w:tcMar>
              <w:top w:w="80" w:type="dxa"/>
              <w:start w:w="100" w:type="dxa"/>
              <w:bottom w:w="80" w:type="dxa"/>
              <w:end w:w="100" w:type="dxa"/>
            </w:tcMar>
            <w:vAlign w:val="top"/>
          </w:tcPr>
          <w:p>
            <w:pPr>
              <w:spacing w:after="0"/>
            </w:pPr>
            <w:r>
              <w:rPr>
                <w:sz w:val="17"/>
              </w:rPr>
              <w:t>Soak</w:t>
            </w:r>
          </w:p>
        </w:tc>
        <w:tc>
          <w:tcPr>
            <w:tcW w:type="dxa" w:w="3600"/>
            <w:tcMar>
              <w:top w:w="80" w:type="dxa"/>
              <w:start w:w="100" w:type="dxa"/>
              <w:bottom w:w="80" w:type="dxa"/>
              <w:end w:w="100" w:type="dxa"/>
            </w:tcMar>
            <w:vAlign w:val="top"/>
          </w:tcPr>
          <w:p>
            <w:pPr>
              <w:spacing w:after="0"/>
            </w:pPr>
            <w:r>
              <w:rPr>
                <w:sz w:val="17"/>
              </w:rPr>
              <w:t>Expose leaks and slow degradation</w:t>
            </w:r>
          </w:p>
        </w:tc>
        <w:tc>
          <w:tcPr>
            <w:tcW w:type="dxa" w:w="4752"/>
            <w:tcMar>
              <w:top w:w="80" w:type="dxa"/>
              <w:start w:w="100" w:type="dxa"/>
              <w:bottom w:w="80" w:type="dxa"/>
              <w:end w:w="100" w:type="dxa"/>
            </w:tcMar>
            <w:vAlign w:val="top"/>
          </w:tcPr>
          <w:p>
            <w:pPr>
              <w:spacing w:after="0"/>
            </w:pPr>
            <w:r>
              <w:rPr>
                <w:sz w:val="17"/>
              </w:rPr>
              <w:t>Memory growth, connection exhaustion, storage/log accumulation.</w:t>
            </w:r>
          </w:p>
        </w:tc>
      </w:tr>
      <w:tr>
        <w:trPr>
          <w:cantSplit/>
        </w:trPr>
        <w:tc>
          <w:tcPr>
            <w:tcW w:type="dxa" w:w="1728"/>
            <w:tcMar>
              <w:top w:w="80" w:type="dxa"/>
              <w:start w:w="100" w:type="dxa"/>
              <w:bottom w:w="80" w:type="dxa"/>
              <w:end w:w="100" w:type="dxa"/>
            </w:tcMar>
            <w:vAlign w:val="top"/>
          </w:tcPr>
          <w:p>
            <w:pPr>
              <w:spacing w:after="0"/>
            </w:pPr>
            <w:r>
              <w:rPr>
                <w:sz w:val="17"/>
              </w:rPr>
              <w:t>Failover load</w:t>
            </w:r>
          </w:p>
        </w:tc>
        <w:tc>
          <w:tcPr>
            <w:tcW w:type="dxa" w:w="3600"/>
            <w:tcMar>
              <w:top w:w="80" w:type="dxa"/>
              <w:start w:w="100" w:type="dxa"/>
              <w:bottom w:w="80" w:type="dxa"/>
              <w:end w:w="100" w:type="dxa"/>
            </w:tcMar>
            <w:vAlign w:val="top"/>
          </w:tcPr>
          <w:p>
            <w:pPr>
              <w:spacing w:after="0"/>
            </w:pPr>
            <w:r>
              <w:rPr>
                <w:sz w:val="17"/>
              </w:rPr>
              <w:t>Validate capacity during dependency/region loss</w:t>
            </w:r>
          </w:p>
        </w:tc>
        <w:tc>
          <w:tcPr>
            <w:tcW w:type="dxa" w:w="4752"/>
            <w:tcMar>
              <w:top w:w="80" w:type="dxa"/>
              <w:start w:w="100" w:type="dxa"/>
              <w:bottom w:w="80" w:type="dxa"/>
              <w:end w:w="100" w:type="dxa"/>
            </w:tcMar>
            <w:vAlign w:val="top"/>
          </w:tcPr>
          <w:p>
            <w:pPr>
              <w:spacing w:after="0"/>
            </w:pPr>
            <w:r>
              <w:rPr>
                <w:sz w:val="17"/>
              </w:rPr>
              <w:t>Secondary saturation and recovery delay.</w:t>
            </w:r>
          </w:p>
        </w:tc>
      </w:tr>
    </w:tbl>
    <w:p>
      <w:pPr>
        <w:spacing w:after="20"/>
      </w:pPr>
    </w:p>
    <w:p>
      <w:pPr>
        <w:pStyle w:val="Heading2"/>
      </w:pPr>
      <w:r>
        <w:t>63.3 Bottleneck Analysis</w:t>
      </w:r>
    </w:p>
    <w:p>
      <w:pPr>
        <w:spacing w:after="120"/>
      </w:pPr>
      <w:r>
        <w:rPr>
          <w:i w:val="0"/>
        </w:rPr>
        <w:t>Use traces and metrics to distinguish latency from queueing, CPU saturation, locks, connection pools, database RU/DTU/vCore limits, partition hotspots, storage throughput, network SNAT exhaustion, cache misses, throttling, or downstream rate limits. Optimize the dominant constraint; changing unrelated resources creates cost without benefit.</w:t>
      </w:r>
    </w:p>
    <w:p>
      <w:pPr>
        <w:pStyle w:val="Heading2"/>
      </w:pPr>
      <w:r>
        <w:t>63.4 Capacity and Autoscale</w:t>
      </w:r>
    </w:p>
    <w:p>
      <w:pPr>
        <w:spacing w:after="120"/>
      </w:pPr>
      <w:r>
        <w:rPr>
          <w:i w:val="0"/>
        </w:rPr>
        <w:t>Plan minimum, target, maximum, scale-out rate, scale-in delay, cooldown, quota, and warm-up. Protect dependencies with admission control, queueing, backpressure, circuit breakers, and load shedding. Autoscale cannot compensate for an unbounded database query or a shared downstream bottleneck.</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Test results vary widely</w:t>
            </w:r>
          </w:p>
        </w:tc>
        <w:tc>
          <w:tcPr>
            <w:tcW w:type="dxa" w:w="2592"/>
            <w:tcMar>
              <w:top w:w="80" w:type="dxa"/>
              <w:start w:w="100" w:type="dxa"/>
              <w:bottom w:w="80" w:type="dxa"/>
              <w:end w:w="100" w:type="dxa"/>
            </w:tcMar>
            <w:vAlign w:val="top"/>
          </w:tcPr>
          <w:p>
            <w:pPr>
              <w:spacing w:after="0"/>
            </w:pPr>
            <w:r>
              <w:rPr>
                <w:sz w:val="17"/>
              </w:rPr>
              <w:t>No fixed dataset, warm-up, client bottleneck, or noisy environment</w:t>
            </w:r>
          </w:p>
        </w:tc>
        <w:tc>
          <w:tcPr>
            <w:tcW w:type="dxa" w:w="5328"/>
            <w:tcMar>
              <w:top w:w="80" w:type="dxa"/>
              <w:start w:w="100" w:type="dxa"/>
              <w:bottom w:w="80" w:type="dxa"/>
              <w:end w:w="100" w:type="dxa"/>
            </w:tcMar>
            <w:vAlign w:val="top"/>
          </w:tcPr>
          <w:p>
            <w:pPr>
              <w:spacing w:after="0"/>
            </w:pPr>
            <w:r>
              <w:rPr>
                <w:sz w:val="17"/>
              </w:rPr>
              <w:t>Control generators, seed data, isolate test environment, warm caches intentionally, and repeat statistically.</w:t>
            </w:r>
          </w:p>
        </w:tc>
      </w:tr>
      <w:tr>
        <w:trPr>
          <w:cantSplit/>
        </w:trPr>
        <w:tc>
          <w:tcPr>
            <w:tcW w:type="dxa" w:w="2160"/>
            <w:tcMar>
              <w:top w:w="80" w:type="dxa"/>
              <w:start w:w="100" w:type="dxa"/>
              <w:bottom w:w="80" w:type="dxa"/>
              <w:end w:w="100" w:type="dxa"/>
            </w:tcMar>
            <w:vAlign w:val="top"/>
          </w:tcPr>
          <w:p>
            <w:pPr>
              <w:spacing w:after="0"/>
            </w:pPr>
            <w:r>
              <w:rPr>
                <w:sz w:val="17"/>
              </w:rPr>
              <w:t>Autoscale reacts too late</w:t>
            </w:r>
          </w:p>
        </w:tc>
        <w:tc>
          <w:tcPr>
            <w:tcW w:type="dxa" w:w="2592"/>
            <w:tcMar>
              <w:top w:w="80" w:type="dxa"/>
              <w:start w:w="100" w:type="dxa"/>
              <w:bottom w:w="80" w:type="dxa"/>
              <w:end w:w="100" w:type="dxa"/>
            </w:tcMar>
            <w:vAlign w:val="top"/>
          </w:tcPr>
          <w:p>
            <w:pPr>
              <w:spacing w:after="0"/>
            </w:pPr>
            <w:r>
              <w:rPr>
                <w:sz w:val="17"/>
              </w:rPr>
              <w:t>Metric lag, long provisioning, or threshold too high</w:t>
            </w:r>
          </w:p>
        </w:tc>
        <w:tc>
          <w:tcPr>
            <w:tcW w:type="dxa" w:w="5328"/>
            <w:tcMar>
              <w:top w:w="80" w:type="dxa"/>
              <w:start w:w="100" w:type="dxa"/>
              <w:bottom w:w="80" w:type="dxa"/>
              <w:end w:w="100" w:type="dxa"/>
            </w:tcMar>
            <w:vAlign w:val="top"/>
          </w:tcPr>
          <w:p>
            <w:pPr>
              <w:spacing w:after="0"/>
            </w:pPr>
            <w:r>
              <w:rPr>
                <w:sz w:val="17"/>
              </w:rPr>
              <w:t>Scale on leading indicators, maintain minimum warm capacity, and test spikes.</w:t>
            </w:r>
          </w:p>
        </w:tc>
      </w:tr>
      <w:tr>
        <w:trPr>
          <w:cantSplit/>
        </w:trPr>
        <w:tc>
          <w:tcPr>
            <w:tcW w:type="dxa" w:w="2160"/>
            <w:tcMar>
              <w:top w:w="80" w:type="dxa"/>
              <w:start w:w="100" w:type="dxa"/>
              <w:bottom w:w="80" w:type="dxa"/>
              <w:end w:w="100" w:type="dxa"/>
            </w:tcMar>
            <w:vAlign w:val="top"/>
          </w:tcPr>
          <w:p>
            <w:pPr>
              <w:spacing w:after="0"/>
            </w:pPr>
            <w:r>
              <w:rPr>
                <w:sz w:val="17"/>
              </w:rPr>
              <w:t>CPU low but latency high</w:t>
            </w:r>
          </w:p>
        </w:tc>
        <w:tc>
          <w:tcPr>
            <w:tcW w:type="dxa" w:w="2592"/>
            <w:tcMar>
              <w:top w:w="80" w:type="dxa"/>
              <w:start w:w="100" w:type="dxa"/>
              <w:bottom w:w="80" w:type="dxa"/>
              <w:end w:w="100" w:type="dxa"/>
            </w:tcMar>
            <w:vAlign w:val="top"/>
          </w:tcPr>
          <w:p>
            <w:pPr>
              <w:spacing w:after="0"/>
            </w:pPr>
            <w:r>
              <w:rPr>
                <w:sz w:val="17"/>
              </w:rPr>
              <w:t>I/O, locks, dependency, queue, connection, or network saturation</w:t>
            </w:r>
          </w:p>
        </w:tc>
        <w:tc>
          <w:tcPr>
            <w:tcW w:type="dxa" w:w="5328"/>
            <w:tcMar>
              <w:top w:w="80" w:type="dxa"/>
              <w:start w:w="100" w:type="dxa"/>
              <w:bottom w:w="80" w:type="dxa"/>
              <w:end w:w="100" w:type="dxa"/>
            </w:tcMar>
            <w:vAlign w:val="top"/>
          </w:tcPr>
          <w:p>
            <w:pPr>
              <w:spacing w:after="0"/>
            </w:pPr>
            <w:r>
              <w:rPr>
                <w:sz w:val="17"/>
              </w:rPr>
              <w:t>Use distributed traces, queue metrics, dependency telemetry, and connection diagnostics.</w:t>
            </w:r>
          </w:p>
        </w:tc>
      </w:tr>
    </w:tbl>
    <w:p>
      <w:pPr>
        <w:spacing w:after="20"/>
      </w:pPr>
    </w:p>
    <w:p>
      <w:pPr>
        <w:pStyle w:val="Heading2"/>
      </w:pPr>
      <w:r>
        <w:t>Hands-on Lab 63: Create a Performance Qualification Report</w:t>
      </w:r>
    </w:p>
    <w:p>
      <w:pPr>
        <w:pStyle w:val="Heading3"/>
      </w:pPr>
      <w:r>
        <w:t>Prerequisites</w:t>
      </w:r>
    </w:p>
    <w:p>
      <w:pPr>
        <w:pStyle w:val="ListBullet"/>
        <w:spacing w:after="60"/>
      </w:pPr>
      <w:r>
        <w:t>A nonproduction API or application with Azure Monitor/Application Insights and a load tool.</w:t>
      </w:r>
    </w:p>
    <w:p>
      <w:pPr>
        <w:pStyle w:val="Heading3"/>
      </w:pPr>
      <w:r>
        <w:t>Implementation</w:t>
      </w:r>
    </w:p>
    <w:p>
      <w:pPr>
        <w:spacing w:after="60"/>
        <w:ind w:left="360" w:hanging="259"/>
      </w:pPr>
      <w:r>
        <w:rPr>
          <w:b/>
        </w:rPr>
        <w:t xml:space="preserve">1. </w:t>
      </w:r>
      <w:r>
        <w:t>Define workload model, SLO, performance budget, and cost ceiling.</w:t>
      </w:r>
    </w:p>
    <w:p>
      <w:pPr>
        <w:spacing w:after="60"/>
        <w:ind w:left="360" w:hanging="259"/>
      </w:pPr>
      <w:r>
        <w:rPr>
          <w:b/>
        </w:rPr>
        <w:t xml:space="preserve">2. </w:t>
      </w:r>
      <w:r>
        <w:t>Run baseline, load, spike, soak, and dependency-degradation tests.</w:t>
      </w:r>
    </w:p>
    <w:p>
      <w:pPr>
        <w:spacing w:after="60"/>
        <w:ind w:left="360" w:hanging="259"/>
      </w:pPr>
      <w:r>
        <w:rPr>
          <w:b/>
        </w:rPr>
        <w:t xml:space="preserve">3. </w:t>
      </w:r>
      <w:r>
        <w:t>Capture P50/P95/P99 latency, throughput, error rate, saturation, and unit cost.</w:t>
      </w:r>
    </w:p>
    <w:p>
      <w:pPr>
        <w:spacing w:after="60"/>
        <w:ind w:left="360" w:hanging="259"/>
      </w:pPr>
      <w:r>
        <w:rPr>
          <w:b/>
        </w:rPr>
        <w:t xml:space="preserve">4. </w:t>
      </w:r>
      <w:r>
        <w:t>Identify the limiting resource and validate one targeted improvement.</w:t>
      </w:r>
    </w:p>
    <w:p>
      <w:pPr>
        <w:spacing w:after="60"/>
        <w:ind w:left="360" w:hanging="259"/>
      </w:pPr>
      <w:r>
        <w:rPr>
          <w:b/>
        </w:rPr>
        <w:t xml:space="preserve">5. </w:t>
      </w:r>
      <w:r>
        <w:t>Test autoscale and backpressure under burst.</w:t>
      </w:r>
    </w:p>
    <w:p>
      <w:pPr>
        <w:spacing w:after="60"/>
        <w:ind w:left="360" w:hanging="259"/>
      </w:pPr>
      <w:r>
        <w:rPr>
          <w:b/>
        </w:rPr>
        <w:t xml:space="preserve">6. </w:t>
      </w:r>
      <w:r>
        <w:t>Publish capacity, quota, and failover recommendations.</w:t>
      </w:r>
    </w:p>
    <w:p>
      <w:pPr>
        <w:pStyle w:val="Heading3"/>
      </w:pPr>
      <w:r>
        <w:t>Validation Evidence</w:t>
      </w:r>
    </w:p>
    <w:p>
      <w:pPr>
        <w:pStyle w:val="ListBullet"/>
        <w:spacing w:after="60"/>
      </w:pPr>
      <w:r>
        <w:t>Results are reproducible.</w:t>
      </w:r>
    </w:p>
    <w:p>
      <w:pPr>
        <w:pStyle w:val="ListBullet"/>
        <w:spacing w:after="60"/>
      </w:pPr>
      <w:r>
        <w:t>The bottleneck is supported by evidence.</w:t>
      </w:r>
    </w:p>
    <w:p>
      <w:pPr>
        <w:pStyle w:val="ListBullet"/>
        <w:spacing w:after="60"/>
      </w:pPr>
      <w:r>
        <w:t>Scaling behavior remains within dependency limits.</w:t>
      </w:r>
    </w:p>
    <w:p>
      <w:pPr>
        <w:pStyle w:val="ListBullet"/>
        <w:spacing w:after="60"/>
      </w:pPr>
      <w:r>
        <w:t>Capacity includes headroom and cost.</w:t>
      </w:r>
    </w:p>
    <w:p>
      <w:pPr>
        <w:pStyle w:val="Heading3"/>
      </w:pPr>
      <w:r>
        <w:t>Cleanup</w:t>
      </w:r>
    </w:p>
    <w:p>
      <w:pPr>
        <w:pStyle w:val="ListBullet"/>
        <w:spacing w:after="60"/>
      </w:pPr>
      <w:r>
        <w:t>Stop load generators and delete test data/resources.</w:t>
      </w:r>
    </w:p>
    <w:p>
      <w:pPr>
        <w:pStyle w:val="ListBullet"/>
        <w:spacing w:after="60"/>
      </w:pPr>
      <w:r>
        <w:t>Remove temporary diagnostic retention and alerts.</w:t>
      </w:r>
    </w:p>
    <w:p>
      <w:pPr>
        <w:pStyle w:val="Heading2"/>
      </w:pPr>
      <w:r>
        <w:t>Interview Questions and Model Answers</w:t>
      </w:r>
    </w:p>
    <w:p>
      <w:pPr>
        <w:spacing w:after="40"/>
      </w:pPr>
      <w:r>
        <w:rPr>
          <w:b/>
        </w:rPr>
        <w:t>1. Why is average latency insufficient?</w:t>
      </w:r>
    </w:p>
    <w:p>
      <w:pPr>
        <w:spacing w:after="120"/>
        <w:ind w:left="216"/>
      </w:pPr>
      <w:r>
        <w:t>It hides tail latency that determines user experience and timeout behavior.</w:t>
      </w:r>
    </w:p>
    <w:p>
      <w:pPr>
        <w:spacing w:after="40"/>
      </w:pPr>
      <w:r>
        <w:rPr>
          <w:b/>
        </w:rPr>
        <w:t>2. What is coordinated omission?</w:t>
      </w:r>
    </w:p>
    <w:p>
      <w:pPr>
        <w:spacing w:after="120"/>
        <w:ind w:left="216"/>
      </w:pPr>
      <w:r>
        <w:t>A load-test error that stops sending requests during slowdown and underreports latency.</w:t>
      </w:r>
    </w:p>
    <w:p>
      <w:pPr>
        <w:spacing w:after="40"/>
      </w:pPr>
      <w:r>
        <w:rPr>
          <w:b/>
        </w:rPr>
        <w:t>3. Why test failover under load?</w:t>
      </w:r>
    </w:p>
    <w:p>
      <w:pPr>
        <w:spacing w:after="120"/>
        <w:ind w:left="216"/>
      </w:pPr>
      <w:r>
        <w:t>Secondary capacity and recovery procedures often fail only at realistic demand.</w:t>
      </w:r>
    </w:p>
    <w:p>
      <w:pPr>
        <w:spacing w:after="40"/>
      </w:pPr>
      <w:r>
        <w:rPr>
          <w:b/>
        </w:rPr>
        <w:t>4. What is backpressure?</w:t>
      </w:r>
    </w:p>
    <w:p>
      <w:pPr>
        <w:spacing w:after="120"/>
        <w:ind w:left="216"/>
      </w:pPr>
      <w:r>
        <w:t>A mechanism that slows or rejects upstream work when downstream capacity is exhausted.</w:t>
      </w:r>
    </w:p>
    <w:p>
      <w:pPr>
        <w:pStyle w:val="Heading2"/>
      </w:pPr>
      <w:r>
        <w:t>Chapter Summary</w:t>
      </w:r>
    </w:p>
    <w:p>
      <w:pPr>
        <w:pStyle w:val="ListBullet"/>
        <w:spacing w:after="60"/>
      </w:pPr>
      <w:r>
        <w:t>Model realistic demand before testing.</w:t>
      </w:r>
    </w:p>
    <w:p>
      <w:pPr>
        <w:pStyle w:val="ListBullet"/>
        <w:spacing w:after="60"/>
      </w:pPr>
      <w:r>
        <w:t>Measure tails, saturation, correctness, and cost.</w:t>
      </w:r>
    </w:p>
    <w:p>
      <w:pPr>
        <w:pStyle w:val="ListBullet"/>
        <w:spacing w:after="60"/>
      </w:pPr>
      <w:r>
        <w:t>Optimize evidence-backed bottlenecks.</w:t>
      </w:r>
    </w:p>
    <w:p>
      <w:pPr>
        <w:pStyle w:val="ListBullet"/>
        <w:spacing w:after="60"/>
      </w:pPr>
      <w:r>
        <w:t>Design autoscale with quotas and dependency protection.</w:t>
      </w:r>
    </w:p>
    <w:p>
      <w:pPr>
        <w:pStyle w:val="Heading1"/>
        <w:pageBreakBefore/>
      </w:pPr>
      <w:r>
        <w:t>Chapter 64 - FinOps and Enterprise Cost Optimization</w:t>
      </w:r>
    </w:p>
    <w:p>
      <w:pPr>
        <w:spacing w:after="120"/>
      </w:pPr>
      <w:r>
        <w:rPr>
          <w:i/>
          <w:color w:val="505050"/>
        </w:rPr>
        <w:t>Creating shared financial accountability without compromising reliability or security</w:t>
      </w:r>
    </w:p>
    <w:p>
      <w:pPr>
        <w:pStyle w:val="Heading2"/>
      </w:pPr>
      <w:r>
        <w:t>Learning Objectives</w:t>
      </w:r>
    </w:p>
    <w:p>
      <w:pPr>
        <w:pStyle w:val="ListBullet"/>
        <w:spacing w:after="60"/>
      </w:pPr>
      <w:r>
        <w:t>Establish allocation, budgets, forecasting, anomaly detection, and unit economics.</w:t>
      </w:r>
    </w:p>
    <w:p>
      <w:pPr>
        <w:pStyle w:val="ListBullet"/>
        <w:spacing w:after="60"/>
      </w:pPr>
      <w:r>
        <w:t>Optimize compute, storage, data transfer, licensing, and managed services.</w:t>
      </w:r>
    </w:p>
    <w:p>
      <w:pPr>
        <w:pStyle w:val="ListBullet"/>
        <w:spacing w:after="60"/>
      </w:pPr>
      <w:r>
        <w:t>Use reservations, savings plans, and commitments responsibly.</w:t>
      </w:r>
    </w:p>
    <w:p>
      <w:pPr>
        <w:pStyle w:val="ListBullet"/>
        <w:spacing w:after="60"/>
      </w:pPr>
      <w:r>
        <w:t>Integrate cost controls into architecture, pipelines, and operations.</w:t>
      </w:r>
    </w:p>
    <w:p>
      <w:pPr>
        <w:pStyle w:val="Heading2"/>
      </w:pPr>
      <w:r>
        <w:t>64.1 FinOps Operating Model</w:t>
      </w:r>
    </w:p>
    <w:p>
      <w:pPr>
        <w:spacing w:after="120"/>
      </w:pPr>
      <w:r>
        <w:rPr>
          <w:i w:val="0"/>
        </w:rPr>
        <w:t>FinOps is collaboration among engineering, finance, procurement, security, and business teams. The goal is value, not indiscriminate cost cutting. Define ownership and allocation through management groups, subscriptions, resource groups, tags, chargeback/showback, and product cost centers.</w:t>
      </w:r>
    </w:p>
    <w:p>
      <w:pPr>
        <w:pStyle w:val="Heading2"/>
      </w:pPr>
      <w:r>
        <w:t>64.2 Cost Drivers and Unit Economics</w:t>
      </w:r>
    </w:p>
    <w:p>
      <w:pPr>
        <w:spacing w:after="120"/>
      </w:pPr>
      <w:r>
        <w:rPr>
          <w:i w:val="0"/>
        </w:rPr>
        <w:t>Track cost by workload, environment, region, service, tenant, feature, and business unit. Normalize to useful units such as cost per transaction, customer, device, build, gigabyte processed, or active user. Unit cost reveals efficiency even when total spend grows with the business.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Area</w:t>
            </w:r>
          </w:p>
        </w:tc>
        <w:tc>
          <w:tcPr>
            <w:tcW w:type="dxa" w:w="3744"/>
            <w:shd w:fill="0078D4"/>
            <w:tcMar>
              <w:top w:w="80" w:type="dxa"/>
              <w:start w:w="100" w:type="dxa"/>
              <w:bottom w:w="80" w:type="dxa"/>
              <w:end w:w="100" w:type="dxa"/>
            </w:tcMar>
            <w:vAlign w:val="center"/>
          </w:tcPr>
          <w:p>
            <w:pPr>
              <w:jc w:val="center"/>
            </w:pPr>
            <w:r>
              <w:rPr>
                <w:b/>
                <w:color w:val="FFFFFF"/>
                <w:sz w:val="17"/>
              </w:rPr>
              <w:t>Typical Waste</w:t>
            </w:r>
          </w:p>
        </w:tc>
        <w:tc>
          <w:tcPr>
            <w:tcW w:type="dxa" w:w="4320"/>
            <w:shd w:fill="0078D4"/>
            <w:tcMar>
              <w:top w:w="80" w:type="dxa"/>
              <w:start w:w="100" w:type="dxa"/>
              <w:bottom w:w="80" w:type="dxa"/>
              <w:end w:w="100" w:type="dxa"/>
            </w:tcMar>
            <w:vAlign w:val="center"/>
          </w:tcPr>
          <w:p>
            <w:pPr>
              <w:jc w:val="center"/>
            </w:pPr>
            <w:r>
              <w:rPr>
                <w:b/>
                <w:color w:val="FFFFFF"/>
                <w:sz w:val="17"/>
              </w:rPr>
              <w:t>Control</w:t>
            </w:r>
          </w:p>
        </w:tc>
      </w:tr>
      <w:tr>
        <w:trPr>
          <w:cantSplit/>
        </w:trPr>
        <w:tc>
          <w:tcPr>
            <w:tcW w:type="dxa" w:w="2016"/>
            <w:tcMar>
              <w:top w:w="80" w:type="dxa"/>
              <w:start w:w="100" w:type="dxa"/>
              <w:bottom w:w="80" w:type="dxa"/>
              <w:end w:w="100" w:type="dxa"/>
            </w:tcMar>
            <w:vAlign w:val="top"/>
          </w:tcPr>
          <w:p>
            <w:pPr>
              <w:spacing w:after="0"/>
            </w:pPr>
            <w:r>
              <w:rPr>
                <w:sz w:val="17"/>
              </w:rPr>
              <w:t>Compute</w:t>
            </w:r>
          </w:p>
        </w:tc>
        <w:tc>
          <w:tcPr>
            <w:tcW w:type="dxa" w:w="3744"/>
            <w:tcMar>
              <w:top w:w="80" w:type="dxa"/>
              <w:start w:w="100" w:type="dxa"/>
              <w:bottom w:w="80" w:type="dxa"/>
              <w:end w:w="100" w:type="dxa"/>
            </w:tcMar>
            <w:vAlign w:val="top"/>
          </w:tcPr>
          <w:p>
            <w:pPr>
              <w:spacing w:after="0"/>
            </w:pPr>
            <w:r>
              <w:rPr>
                <w:sz w:val="17"/>
              </w:rPr>
              <w:t>Idle VMs, oversized plans, stale scale-set capacity</w:t>
            </w:r>
          </w:p>
        </w:tc>
        <w:tc>
          <w:tcPr>
            <w:tcW w:type="dxa" w:w="4320"/>
            <w:tcMar>
              <w:top w:w="80" w:type="dxa"/>
              <w:start w:w="100" w:type="dxa"/>
              <w:bottom w:w="80" w:type="dxa"/>
              <w:end w:w="100" w:type="dxa"/>
            </w:tcMar>
            <w:vAlign w:val="top"/>
          </w:tcPr>
          <w:p>
            <w:pPr>
              <w:spacing w:after="0"/>
            </w:pPr>
            <w:r>
              <w:rPr>
                <w:sz w:val="17"/>
              </w:rPr>
              <w:t>Rightsizing, schedules, autoscale, reservations/savings plans.</w:t>
            </w:r>
          </w:p>
        </w:tc>
      </w:tr>
      <w:tr>
        <w:trPr>
          <w:cantSplit/>
        </w:trPr>
        <w:tc>
          <w:tcPr>
            <w:tcW w:type="dxa" w:w="2016"/>
            <w:tcMar>
              <w:top w:w="80" w:type="dxa"/>
              <w:start w:w="100" w:type="dxa"/>
              <w:bottom w:w="80" w:type="dxa"/>
              <w:end w:w="100" w:type="dxa"/>
            </w:tcMar>
            <w:vAlign w:val="top"/>
          </w:tcPr>
          <w:p>
            <w:pPr>
              <w:spacing w:after="0"/>
            </w:pPr>
            <w:r>
              <w:rPr>
                <w:sz w:val="17"/>
              </w:rPr>
              <w:t>Storage</w:t>
            </w:r>
          </w:p>
        </w:tc>
        <w:tc>
          <w:tcPr>
            <w:tcW w:type="dxa" w:w="3744"/>
            <w:tcMar>
              <w:top w:w="80" w:type="dxa"/>
              <w:start w:w="100" w:type="dxa"/>
              <w:bottom w:w="80" w:type="dxa"/>
              <w:end w:w="100" w:type="dxa"/>
            </w:tcMar>
            <w:vAlign w:val="top"/>
          </w:tcPr>
          <w:p>
            <w:pPr>
              <w:spacing w:after="0"/>
            </w:pPr>
            <w:r>
              <w:rPr>
                <w:sz w:val="17"/>
              </w:rPr>
              <w:t>Old snapshots, hot tiers, excessive replication, logs</w:t>
            </w:r>
          </w:p>
        </w:tc>
        <w:tc>
          <w:tcPr>
            <w:tcW w:type="dxa" w:w="4320"/>
            <w:tcMar>
              <w:top w:w="80" w:type="dxa"/>
              <w:start w:w="100" w:type="dxa"/>
              <w:bottom w:w="80" w:type="dxa"/>
              <w:end w:w="100" w:type="dxa"/>
            </w:tcMar>
            <w:vAlign w:val="top"/>
          </w:tcPr>
          <w:p>
            <w:pPr>
              <w:spacing w:after="0"/>
            </w:pPr>
            <w:r>
              <w:rPr>
                <w:sz w:val="17"/>
              </w:rPr>
              <w:t>Lifecycle, retention, tiering, deduplication, policy.</w:t>
            </w:r>
          </w:p>
        </w:tc>
      </w:tr>
      <w:tr>
        <w:trPr>
          <w:cantSplit/>
        </w:trPr>
        <w:tc>
          <w:tcPr>
            <w:tcW w:type="dxa" w:w="2016"/>
            <w:tcMar>
              <w:top w:w="80" w:type="dxa"/>
              <w:start w:w="100" w:type="dxa"/>
              <w:bottom w:w="80" w:type="dxa"/>
              <w:end w:w="100" w:type="dxa"/>
            </w:tcMar>
            <w:vAlign w:val="top"/>
          </w:tcPr>
          <w:p>
            <w:pPr>
              <w:spacing w:after="0"/>
            </w:pPr>
            <w:r>
              <w:rPr>
                <w:sz w:val="17"/>
              </w:rPr>
              <w:t>Network</w:t>
            </w:r>
          </w:p>
        </w:tc>
        <w:tc>
          <w:tcPr>
            <w:tcW w:type="dxa" w:w="3744"/>
            <w:tcMar>
              <w:top w:w="80" w:type="dxa"/>
              <w:start w:w="100" w:type="dxa"/>
              <w:bottom w:w="80" w:type="dxa"/>
              <w:end w:w="100" w:type="dxa"/>
            </w:tcMar>
            <w:vAlign w:val="top"/>
          </w:tcPr>
          <w:p>
            <w:pPr>
              <w:spacing w:after="0"/>
            </w:pPr>
            <w:r>
              <w:rPr>
                <w:sz w:val="17"/>
              </w:rPr>
              <w:t>Cross-region or internet egress, chatty services</w:t>
            </w:r>
          </w:p>
        </w:tc>
        <w:tc>
          <w:tcPr>
            <w:tcW w:type="dxa" w:w="4320"/>
            <w:tcMar>
              <w:top w:w="80" w:type="dxa"/>
              <w:start w:w="100" w:type="dxa"/>
              <w:bottom w:w="80" w:type="dxa"/>
              <w:end w:w="100" w:type="dxa"/>
            </w:tcMar>
            <w:vAlign w:val="top"/>
          </w:tcPr>
          <w:p>
            <w:pPr>
              <w:spacing w:after="0"/>
            </w:pPr>
            <w:r>
              <w:rPr>
                <w:sz w:val="17"/>
              </w:rPr>
              <w:t>Colocation, caching, CDN, architecture review.</w:t>
            </w:r>
          </w:p>
        </w:tc>
      </w:tr>
      <w:tr>
        <w:trPr>
          <w:cantSplit/>
        </w:trPr>
        <w:tc>
          <w:tcPr>
            <w:tcW w:type="dxa" w:w="2016"/>
            <w:tcMar>
              <w:top w:w="80" w:type="dxa"/>
              <w:start w:w="100" w:type="dxa"/>
              <w:bottom w:w="80" w:type="dxa"/>
              <w:end w:w="100" w:type="dxa"/>
            </w:tcMar>
            <w:vAlign w:val="top"/>
          </w:tcPr>
          <w:p>
            <w:pPr>
              <w:spacing w:after="0"/>
            </w:pPr>
            <w:r>
              <w:rPr>
                <w:sz w:val="17"/>
              </w:rPr>
              <w:t>Data</w:t>
            </w:r>
          </w:p>
        </w:tc>
        <w:tc>
          <w:tcPr>
            <w:tcW w:type="dxa" w:w="3744"/>
            <w:tcMar>
              <w:top w:w="80" w:type="dxa"/>
              <w:start w:w="100" w:type="dxa"/>
              <w:bottom w:w="80" w:type="dxa"/>
              <w:end w:w="100" w:type="dxa"/>
            </w:tcMar>
            <w:vAlign w:val="top"/>
          </w:tcPr>
          <w:p>
            <w:pPr>
              <w:spacing w:after="0"/>
            </w:pPr>
            <w:r>
              <w:rPr>
                <w:sz w:val="17"/>
              </w:rPr>
              <w:t>Poor partitioning, inefficient queries, overprovisioned throughput</w:t>
            </w:r>
          </w:p>
        </w:tc>
        <w:tc>
          <w:tcPr>
            <w:tcW w:type="dxa" w:w="4320"/>
            <w:tcMar>
              <w:top w:w="80" w:type="dxa"/>
              <w:start w:w="100" w:type="dxa"/>
              <w:bottom w:w="80" w:type="dxa"/>
              <w:end w:w="100" w:type="dxa"/>
            </w:tcMar>
            <w:vAlign w:val="top"/>
          </w:tcPr>
          <w:p>
            <w:pPr>
              <w:spacing w:after="0"/>
            </w:pPr>
            <w:r>
              <w:rPr>
                <w:sz w:val="17"/>
              </w:rPr>
              <w:t>Query tuning, serverless/autoscale fit, workload separation.</w:t>
            </w:r>
          </w:p>
        </w:tc>
      </w:tr>
    </w:tbl>
    <w:p>
      <w:pPr>
        <w:spacing w:after="20"/>
      </w:pPr>
    </w:p>
    <w:p>
      <w:pPr>
        <w:pStyle w:val="Heading2"/>
      </w:pPr>
      <w:r>
        <w:t>64.3 Commitment and Rightsizing</w:t>
      </w:r>
    </w:p>
    <w:p>
      <w:pPr>
        <w:spacing w:after="120"/>
      </w:pPr>
      <w:r>
        <w:rPr>
          <w:i w:val="0"/>
        </w:rPr>
        <w:t>Commitments can reduce eligible usage cost but introduce utilization risk. Establish stable baseline demand, scope, term, ownership, break-even analysis, and review process. Do not purchase commitments to mask architectural waste. Rightsizing must consider peak, failover, maintenance, licensing, and performance headroom.</w:t>
      </w:r>
    </w:p>
    <w:p>
      <w:pPr>
        <w:pStyle w:val="Heading2"/>
      </w:pPr>
      <w:r>
        <w:t>64.4 Cost Guardrails</w:t>
      </w:r>
    </w:p>
    <w:p>
      <w:pPr>
        <w:spacing w:after="120"/>
      </w:pPr>
      <w:r>
        <w:rPr>
          <w:i w:val="0"/>
        </w:rPr>
        <w:t>Use budgets and alerts, Azure Policy, allowed SKUs/regions, deployment checks, expiry tags, shutdown schedules, and anomaly review. Cost controls should prevent obvious waste while allowing documented exceptions.</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Costs cannot be allocated</w:t>
            </w:r>
          </w:p>
        </w:tc>
        <w:tc>
          <w:tcPr>
            <w:tcW w:type="dxa" w:w="2592"/>
            <w:tcMar>
              <w:top w:w="80" w:type="dxa"/>
              <w:start w:w="100" w:type="dxa"/>
              <w:bottom w:w="80" w:type="dxa"/>
              <w:end w:w="100" w:type="dxa"/>
            </w:tcMar>
            <w:vAlign w:val="top"/>
          </w:tcPr>
          <w:p>
            <w:pPr>
              <w:spacing w:after="0"/>
            </w:pPr>
            <w:r>
              <w:rPr>
                <w:sz w:val="17"/>
              </w:rPr>
              <w:t>Missing ownership/tags or shared resources</w:t>
            </w:r>
          </w:p>
        </w:tc>
        <w:tc>
          <w:tcPr>
            <w:tcW w:type="dxa" w:w="5328"/>
            <w:tcMar>
              <w:top w:w="80" w:type="dxa"/>
              <w:start w:w="100" w:type="dxa"/>
              <w:bottom w:w="80" w:type="dxa"/>
              <w:end w:w="100" w:type="dxa"/>
            </w:tcMar>
            <w:vAlign w:val="top"/>
          </w:tcPr>
          <w:p>
            <w:pPr>
              <w:spacing w:after="0"/>
            </w:pPr>
            <w:r>
              <w:rPr>
                <w:sz w:val="17"/>
              </w:rPr>
              <w:t>Enforce tagging at deployment, create shared-cost allocation rules, and track exceptions.</w:t>
            </w:r>
          </w:p>
        </w:tc>
      </w:tr>
      <w:tr>
        <w:trPr>
          <w:cantSplit/>
        </w:trPr>
        <w:tc>
          <w:tcPr>
            <w:tcW w:type="dxa" w:w="2160"/>
            <w:tcMar>
              <w:top w:w="80" w:type="dxa"/>
              <w:start w:w="100" w:type="dxa"/>
              <w:bottom w:w="80" w:type="dxa"/>
              <w:end w:w="100" w:type="dxa"/>
            </w:tcMar>
            <w:vAlign w:val="top"/>
          </w:tcPr>
          <w:p>
            <w:pPr>
              <w:spacing w:after="0"/>
            </w:pPr>
            <w:r>
              <w:rPr>
                <w:sz w:val="17"/>
              </w:rPr>
              <w:t>Commitment underutilized</w:t>
            </w:r>
          </w:p>
        </w:tc>
        <w:tc>
          <w:tcPr>
            <w:tcW w:type="dxa" w:w="2592"/>
            <w:tcMar>
              <w:top w:w="80" w:type="dxa"/>
              <w:start w:w="100" w:type="dxa"/>
              <w:bottom w:w="80" w:type="dxa"/>
              <w:end w:w="100" w:type="dxa"/>
            </w:tcMar>
            <w:vAlign w:val="top"/>
          </w:tcPr>
          <w:p>
            <w:pPr>
              <w:spacing w:after="0"/>
            </w:pPr>
            <w:r>
              <w:rPr>
                <w:sz w:val="17"/>
              </w:rPr>
              <w:t>Demand changed or scope too narrow</w:t>
            </w:r>
          </w:p>
        </w:tc>
        <w:tc>
          <w:tcPr>
            <w:tcW w:type="dxa" w:w="5328"/>
            <w:tcMar>
              <w:top w:w="80" w:type="dxa"/>
              <w:start w:w="100" w:type="dxa"/>
              <w:bottom w:w="80" w:type="dxa"/>
              <w:end w:w="100" w:type="dxa"/>
            </w:tcMar>
            <w:vAlign w:val="top"/>
          </w:tcPr>
          <w:p>
            <w:pPr>
              <w:spacing w:after="0"/>
            </w:pPr>
            <w:r>
              <w:rPr>
                <w:sz w:val="17"/>
              </w:rPr>
              <w:t>Review utilization, exchange/cancel options where applicable, and improve forecast governance.</w:t>
            </w:r>
          </w:p>
        </w:tc>
      </w:tr>
      <w:tr>
        <w:trPr>
          <w:cantSplit/>
        </w:trPr>
        <w:tc>
          <w:tcPr>
            <w:tcW w:type="dxa" w:w="2160"/>
            <w:tcMar>
              <w:top w:w="80" w:type="dxa"/>
              <w:start w:w="100" w:type="dxa"/>
              <w:bottom w:w="80" w:type="dxa"/>
              <w:end w:w="100" w:type="dxa"/>
            </w:tcMar>
            <w:vAlign w:val="top"/>
          </w:tcPr>
          <w:p>
            <w:pPr>
              <w:spacing w:after="0"/>
            </w:pPr>
            <w:r>
              <w:rPr>
                <w:sz w:val="17"/>
              </w:rPr>
              <w:t>Cost drops but reliability degrades</w:t>
            </w:r>
          </w:p>
        </w:tc>
        <w:tc>
          <w:tcPr>
            <w:tcW w:type="dxa" w:w="2592"/>
            <w:tcMar>
              <w:top w:w="80" w:type="dxa"/>
              <w:start w:w="100" w:type="dxa"/>
              <w:bottom w:w="80" w:type="dxa"/>
              <w:end w:w="100" w:type="dxa"/>
            </w:tcMar>
            <w:vAlign w:val="top"/>
          </w:tcPr>
          <w:p>
            <w:pPr>
              <w:spacing w:after="0"/>
            </w:pPr>
            <w:r>
              <w:rPr>
                <w:sz w:val="17"/>
              </w:rPr>
              <w:t>Savings removed redundancy or headroom</w:t>
            </w:r>
          </w:p>
        </w:tc>
        <w:tc>
          <w:tcPr>
            <w:tcW w:type="dxa" w:w="5328"/>
            <w:tcMar>
              <w:top w:w="80" w:type="dxa"/>
              <w:start w:w="100" w:type="dxa"/>
              <w:bottom w:w="80" w:type="dxa"/>
              <w:end w:w="100" w:type="dxa"/>
            </w:tcMar>
            <w:vAlign w:val="top"/>
          </w:tcPr>
          <w:p>
            <w:pPr>
              <w:spacing w:after="0"/>
            </w:pPr>
            <w:r>
              <w:rPr>
                <w:sz w:val="17"/>
              </w:rPr>
              <w:t>Re-evaluate SLO, risk, failover capacity, and unit economics; restore required controls.</w:t>
            </w:r>
          </w:p>
        </w:tc>
      </w:tr>
    </w:tbl>
    <w:p>
      <w:pPr>
        <w:spacing w:after="20"/>
      </w:pPr>
    </w:p>
    <w:p>
      <w:pPr>
        <w:pStyle w:val="Heading2"/>
      </w:pPr>
      <w:r>
        <w:t>Hands-on Lab 64: Build a FinOps Optimization Plan</w:t>
      </w:r>
    </w:p>
    <w:p>
      <w:pPr>
        <w:pStyle w:val="Heading3"/>
      </w:pPr>
      <w:r>
        <w:t>Prerequisites</w:t>
      </w:r>
    </w:p>
    <w:p>
      <w:pPr>
        <w:pStyle w:val="ListBullet"/>
        <w:spacing w:after="60"/>
      </w:pPr>
      <w:r>
        <w:t>Cost Management access to a sandbox or exported synthetic billing data.</w:t>
      </w:r>
    </w:p>
    <w:p>
      <w:pPr>
        <w:pStyle w:val="Heading3"/>
      </w:pPr>
      <w:r>
        <w:t>Implementation</w:t>
      </w:r>
    </w:p>
    <w:p>
      <w:pPr>
        <w:spacing w:after="60"/>
        <w:ind w:left="360" w:hanging="259"/>
      </w:pPr>
      <w:r>
        <w:rPr>
          <w:b/>
        </w:rPr>
        <w:t xml:space="preserve">1. </w:t>
      </w:r>
      <w:r>
        <w:t>Create an ownership and allocation model.</w:t>
      </w:r>
    </w:p>
    <w:p>
      <w:pPr>
        <w:spacing w:after="60"/>
        <w:ind w:left="360" w:hanging="259"/>
      </w:pPr>
      <w:r>
        <w:rPr>
          <w:b/>
        </w:rPr>
        <w:t xml:space="preserve">2. </w:t>
      </w:r>
      <w:r>
        <w:t>Build cost views by product, environment, service, and tag completeness.</w:t>
      </w:r>
    </w:p>
    <w:p>
      <w:pPr>
        <w:spacing w:after="60"/>
        <w:ind w:left="360" w:hanging="259"/>
      </w:pPr>
      <w:r>
        <w:rPr>
          <w:b/>
        </w:rPr>
        <w:t xml:space="preserve">3. </w:t>
      </w:r>
      <w:r>
        <w:t>Identify idle, oversized, orphaned, and high-egress resources.</w:t>
      </w:r>
    </w:p>
    <w:p>
      <w:pPr>
        <w:spacing w:after="60"/>
        <w:ind w:left="360" w:hanging="259"/>
      </w:pPr>
      <w:r>
        <w:rPr>
          <w:b/>
        </w:rPr>
        <w:t xml:space="preserve">4. </w:t>
      </w:r>
      <w:r>
        <w:t>Calculate unit cost and a 90-day forecast.</w:t>
      </w:r>
    </w:p>
    <w:p>
      <w:pPr>
        <w:spacing w:after="60"/>
        <w:ind w:left="360" w:hanging="259"/>
      </w:pPr>
      <w:r>
        <w:rPr>
          <w:b/>
        </w:rPr>
        <w:t xml:space="preserve">5. </w:t>
      </w:r>
      <w:r>
        <w:t>Model rightsizing and commitment scenarios with risk.</w:t>
      </w:r>
    </w:p>
    <w:p>
      <w:pPr>
        <w:spacing w:after="60"/>
        <w:ind w:left="360" w:hanging="259"/>
      </w:pPr>
      <w:r>
        <w:rPr>
          <w:b/>
        </w:rPr>
        <w:t xml:space="preserve">6. </w:t>
      </w:r>
      <w:r>
        <w:t>Create a prioritized savings backlog with validation and rollback.</w:t>
      </w:r>
    </w:p>
    <w:p>
      <w:pPr>
        <w:pStyle w:val="Heading3"/>
      </w:pPr>
      <w:r>
        <w:t>Validation Evidence</w:t>
      </w:r>
    </w:p>
    <w:p>
      <w:pPr>
        <w:pStyle w:val="ListBullet"/>
        <w:spacing w:after="60"/>
      </w:pPr>
      <w:r>
        <w:t>At least 95% of cost is allocated or explicitly shared.</w:t>
      </w:r>
    </w:p>
    <w:p>
      <w:pPr>
        <w:pStyle w:val="ListBullet"/>
        <w:spacing w:after="60"/>
      </w:pPr>
      <w:r>
        <w:t>Savings estimates include engineering effort and risk.</w:t>
      </w:r>
    </w:p>
    <w:p>
      <w:pPr>
        <w:pStyle w:val="ListBullet"/>
        <w:spacing w:after="60"/>
      </w:pPr>
      <w:r>
        <w:t>No recommendation violates SLO, security, or recovery requirements.</w:t>
      </w:r>
    </w:p>
    <w:p>
      <w:pPr>
        <w:pStyle w:val="ListBullet"/>
        <w:spacing w:after="60"/>
      </w:pPr>
      <w:r>
        <w:t>Owners and review dates are assigned.</w:t>
      </w:r>
    </w:p>
    <w:p>
      <w:pPr>
        <w:pStyle w:val="Heading3"/>
      </w:pPr>
      <w:r>
        <w:t>Cleanup</w:t>
      </w:r>
    </w:p>
    <w:p>
      <w:pPr>
        <w:pStyle w:val="ListBullet"/>
        <w:spacing w:after="60"/>
      </w:pPr>
      <w:r>
        <w:t>Remove temporary exports and dashboards containing billing data.</w:t>
      </w:r>
    </w:p>
    <w:p>
      <w:pPr>
        <w:pStyle w:val="ListBullet"/>
        <w:spacing w:after="60"/>
      </w:pPr>
      <w:r>
        <w:t>Delete test budgets and automation not approved for ongoing use.</w:t>
      </w:r>
    </w:p>
    <w:p>
      <w:pPr>
        <w:pStyle w:val="Heading2"/>
      </w:pPr>
      <w:r>
        <w:t>Interview Questions and Model Answers</w:t>
      </w:r>
    </w:p>
    <w:p>
      <w:pPr>
        <w:spacing w:after="40"/>
      </w:pPr>
      <w:r>
        <w:rPr>
          <w:b/>
        </w:rPr>
        <w:t>1. FinOps versus cost cutting?</w:t>
      </w:r>
    </w:p>
    <w:p>
      <w:pPr>
        <w:spacing w:after="120"/>
        <w:ind w:left="216"/>
      </w:pPr>
      <w:r>
        <w:t>FinOps optimizes business value and accountability; cost cutting may ignore reliability, security, and growth.</w:t>
      </w:r>
    </w:p>
    <w:p>
      <w:pPr>
        <w:spacing w:after="40"/>
      </w:pPr>
      <w:r>
        <w:rPr>
          <w:b/>
        </w:rPr>
        <w:t>2. What is unit economics?</w:t>
      </w:r>
    </w:p>
    <w:p>
      <w:pPr>
        <w:spacing w:after="120"/>
        <w:ind w:left="216"/>
      </w:pPr>
      <w:r>
        <w:t>Cost normalized to a business or technical unit, showing efficiency independent of total scale.</w:t>
      </w:r>
    </w:p>
    <w:p>
      <w:pPr>
        <w:spacing w:after="40"/>
      </w:pPr>
      <w:r>
        <w:rPr>
          <w:b/>
        </w:rPr>
        <w:t>3. When should you buy a commitment?</w:t>
      </w:r>
    </w:p>
    <w:p>
      <w:pPr>
        <w:spacing w:after="120"/>
        <w:ind w:left="216"/>
      </w:pPr>
      <w:r>
        <w:t>After identifying predictable eligible baseline usage and validating term, scope, and operational risk.</w:t>
      </w:r>
    </w:p>
    <w:p>
      <w:pPr>
        <w:spacing w:after="40"/>
      </w:pPr>
      <w:r>
        <w:rPr>
          <w:b/>
        </w:rPr>
        <w:t>4. Why are tags alone insufficient?</w:t>
      </w:r>
    </w:p>
    <w:p>
      <w:pPr>
        <w:spacing w:after="120"/>
        <w:ind w:left="216"/>
      </w:pPr>
      <w:r>
        <w:t>Shared services, inherited hierarchy, data transfer, and missing metadata require additional allocation logic.</w:t>
      </w:r>
    </w:p>
    <w:p>
      <w:pPr>
        <w:pStyle w:val="Heading2"/>
      </w:pPr>
      <w:r>
        <w:t>Chapter Summary</w:t>
      </w:r>
    </w:p>
    <w:p>
      <w:pPr>
        <w:pStyle w:val="ListBullet"/>
        <w:spacing w:after="60"/>
      </w:pPr>
      <w:r>
        <w:t>Create shared financial accountability.</w:t>
      </w:r>
    </w:p>
    <w:p>
      <w:pPr>
        <w:pStyle w:val="ListBullet"/>
        <w:spacing w:after="60"/>
      </w:pPr>
      <w:r>
        <w:t>Measure unit cost and allocation quality.</w:t>
      </w:r>
    </w:p>
    <w:p>
      <w:pPr>
        <w:pStyle w:val="ListBullet"/>
        <w:spacing w:after="60"/>
      </w:pPr>
      <w:r>
        <w:t>Optimize architecture before commitments.</w:t>
      </w:r>
    </w:p>
    <w:p>
      <w:pPr>
        <w:pStyle w:val="ListBullet"/>
        <w:spacing w:after="60"/>
      </w:pPr>
      <w:r>
        <w:t>Automate guardrails with controlled exceptions.</w:t>
      </w:r>
    </w:p>
    <w:p>
      <w:pPr>
        <w:pStyle w:val="Heading1"/>
        <w:pageBreakBefore/>
      </w:pPr>
      <w:r>
        <w:t>Chapter 65 - Platform Engineering and Internal Developer Platforms</w:t>
      </w:r>
    </w:p>
    <w:p>
      <w:pPr>
        <w:spacing w:after="120"/>
      </w:pPr>
      <w:r>
        <w:rPr>
          <w:i/>
          <w:color w:val="505050"/>
        </w:rPr>
        <w:t>Building secure paved roads that improve developer flow without hiding operational responsibility</w:t>
      </w:r>
    </w:p>
    <w:p>
      <w:pPr>
        <w:pStyle w:val="Heading2"/>
      </w:pPr>
      <w:r>
        <w:t>Learning Objectives</w:t>
      </w:r>
    </w:p>
    <w:p>
      <w:pPr>
        <w:pStyle w:val="ListBullet"/>
        <w:spacing w:after="60"/>
      </w:pPr>
      <w:r>
        <w:t>Define platform products, users, service levels, and product ownership.</w:t>
      </w:r>
    </w:p>
    <w:p>
      <w:pPr>
        <w:pStyle w:val="ListBullet"/>
        <w:spacing w:after="60"/>
      </w:pPr>
      <w:r>
        <w:t>Design self-service templates, environment vending, policy, observability, and support.</w:t>
      </w:r>
    </w:p>
    <w:p>
      <w:pPr>
        <w:pStyle w:val="ListBullet"/>
        <w:spacing w:after="60"/>
      </w:pPr>
      <w:r>
        <w:t>Measure developer experience and delivery outcomes.</w:t>
      </w:r>
    </w:p>
    <w:p>
      <w:pPr>
        <w:pStyle w:val="ListBullet"/>
        <w:spacing w:after="60"/>
      </w:pPr>
      <w:r>
        <w:t>Avoid building a portal that merely wraps tickets and complexity.</w:t>
      </w:r>
    </w:p>
    <w:p>
      <w:pPr>
        <w:pStyle w:val="Heading2"/>
      </w:pPr>
      <w:r>
        <w:t>65.1 Platform as a Product</w:t>
      </w:r>
    </w:p>
    <w:p>
      <w:pPr>
        <w:spacing w:after="120"/>
      </w:pPr>
      <w:r>
        <w:rPr>
          <w:i w:val="0"/>
        </w:rPr>
        <w:t>A platform team has customers, a roadmap, support, documentation, telemetry, and measurable outcomes. The platform should reduce cognitive load by providing safe defaults for common workloads while preserving escape hatches for justified exceptions.</w:t>
      </w:r>
    </w:p>
    <w:p>
      <w:pPr>
        <w:pStyle w:val="Heading2"/>
      </w:pPr>
      <w:r>
        <w:t>65.2 Paved Roads and Golden Paths</w:t>
      </w:r>
    </w:p>
    <w:p>
      <w:pPr>
        <w:spacing w:after="120"/>
      </w:pPr>
      <w:r>
        <w:rPr>
          <w:i w:val="0"/>
        </w:rPr>
        <w:t>A golden path combines source template, CI/CD, Bicep or Terraform modules, workload identity, networking, secrets, observability, policy, cost tags, backup, and runbooks. It should produce a deployable workload, not just scaffolding.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Capability</w:t>
            </w:r>
          </w:p>
        </w:tc>
        <w:tc>
          <w:tcPr>
            <w:tcW w:type="dxa" w:w="4320"/>
            <w:shd w:fill="0078D4"/>
            <w:tcMar>
              <w:top w:w="80" w:type="dxa"/>
              <w:start w:w="100" w:type="dxa"/>
              <w:bottom w:w="80" w:type="dxa"/>
              <w:end w:w="100" w:type="dxa"/>
            </w:tcMar>
            <w:vAlign w:val="center"/>
          </w:tcPr>
          <w:p>
            <w:pPr>
              <w:jc w:val="center"/>
            </w:pPr>
            <w:r>
              <w:rPr>
                <w:b/>
                <w:color w:val="FFFFFF"/>
                <w:sz w:val="17"/>
              </w:rPr>
              <w:t>Platform Provides</w:t>
            </w:r>
          </w:p>
        </w:tc>
        <w:tc>
          <w:tcPr>
            <w:tcW w:type="dxa" w:w="3744"/>
            <w:shd w:fill="0078D4"/>
            <w:tcMar>
              <w:top w:w="80" w:type="dxa"/>
              <w:start w:w="100" w:type="dxa"/>
              <w:bottom w:w="80" w:type="dxa"/>
              <w:end w:w="100" w:type="dxa"/>
            </w:tcMar>
            <w:vAlign w:val="center"/>
          </w:tcPr>
          <w:p>
            <w:pPr>
              <w:jc w:val="center"/>
            </w:pPr>
            <w:r>
              <w:rPr>
                <w:b/>
                <w:color w:val="FFFFFF"/>
                <w:sz w:val="17"/>
              </w:rPr>
              <w:t>Workload Team Owns</w:t>
            </w:r>
          </w:p>
        </w:tc>
      </w:tr>
      <w:tr>
        <w:trPr>
          <w:cantSplit/>
        </w:trPr>
        <w:tc>
          <w:tcPr>
            <w:tcW w:type="dxa" w:w="2016"/>
            <w:tcMar>
              <w:top w:w="80" w:type="dxa"/>
              <w:start w:w="100" w:type="dxa"/>
              <w:bottom w:w="80" w:type="dxa"/>
              <w:end w:w="100" w:type="dxa"/>
            </w:tcMar>
            <w:vAlign w:val="top"/>
          </w:tcPr>
          <w:p>
            <w:pPr>
              <w:spacing w:after="0"/>
            </w:pPr>
            <w:r>
              <w:rPr>
                <w:sz w:val="17"/>
              </w:rPr>
              <w:t>Environment vending</w:t>
            </w:r>
          </w:p>
        </w:tc>
        <w:tc>
          <w:tcPr>
            <w:tcW w:type="dxa" w:w="4320"/>
            <w:tcMar>
              <w:top w:w="80" w:type="dxa"/>
              <w:start w:w="100" w:type="dxa"/>
              <w:bottom w:w="80" w:type="dxa"/>
              <w:end w:w="100" w:type="dxa"/>
            </w:tcMar>
            <w:vAlign w:val="top"/>
          </w:tcPr>
          <w:p>
            <w:pPr>
              <w:spacing w:after="0"/>
            </w:pPr>
            <w:r>
              <w:rPr>
                <w:sz w:val="17"/>
              </w:rPr>
              <w:t>Subscription/resource group, policy, network, identity baseline</w:t>
            </w:r>
          </w:p>
        </w:tc>
        <w:tc>
          <w:tcPr>
            <w:tcW w:type="dxa" w:w="3744"/>
            <w:tcMar>
              <w:top w:w="80" w:type="dxa"/>
              <w:start w:w="100" w:type="dxa"/>
              <w:bottom w:w="80" w:type="dxa"/>
              <w:end w:w="100" w:type="dxa"/>
            </w:tcMar>
            <w:vAlign w:val="top"/>
          </w:tcPr>
          <w:p>
            <w:pPr>
              <w:spacing w:after="0"/>
            </w:pPr>
            <w:r>
              <w:rPr>
                <w:sz w:val="17"/>
              </w:rPr>
              <w:t>Business purpose, data class, SLO, owner.</w:t>
            </w:r>
          </w:p>
        </w:tc>
      </w:tr>
      <w:tr>
        <w:trPr>
          <w:cantSplit/>
        </w:trPr>
        <w:tc>
          <w:tcPr>
            <w:tcW w:type="dxa" w:w="2016"/>
            <w:tcMar>
              <w:top w:w="80" w:type="dxa"/>
              <w:start w:w="100" w:type="dxa"/>
              <w:bottom w:w="80" w:type="dxa"/>
              <w:end w:w="100" w:type="dxa"/>
            </w:tcMar>
            <w:vAlign w:val="top"/>
          </w:tcPr>
          <w:p>
            <w:pPr>
              <w:spacing w:after="0"/>
            </w:pPr>
            <w:r>
              <w:rPr>
                <w:sz w:val="17"/>
              </w:rPr>
              <w:t>Delivery</w:t>
            </w:r>
          </w:p>
        </w:tc>
        <w:tc>
          <w:tcPr>
            <w:tcW w:type="dxa" w:w="4320"/>
            <w:tcMar>
              <w:top w:w="80" w:type="dxa"/>
              <w:start w:w="100" w:type="dxa"/>
              <w:bottom w:w="80" w:type="dxa"/>
              <w:end w:w="100" w:type="dxa"/>
            </w:tcMar>
            <w:vAlign w:val="top"/>
          </w:tcPr>
          <w:p>
            <w:pPr>
              <w:spacing w:after="0"/>
            </w:pPr>
            <w:r>
              <w:rPr>
                <w:sz w:val="17"/>
              </w:rPr>
              <w:t>Trusted templates, artifact and deployment workflow</w:t>
            </w:r>
          </w:p>
        </w:tc>
        <w:tc>
          <w:tcPr>
            <w:tcW w:type="dxa" w:w="3744"/>
            <w:tcMar>
              <w:top w:w="80" w:type="dxa"/>
              <w:start w:w="100" w:type="dxa"/>
              <w:bottom w:w="80" w:type="dxa"/>
              <w:end w:w="100" w:type="dxa"/>
            </w:tcMar>
            <w:vAlign w:val="top"/>
          </w:tcPr>
          <w:p>
            <w:pPr>
              <w:spacing w:after="0"/>
            </w:pPr>
            <w:r>
              <w:rPr>
                <w:sz w:val="17"/>
              </w:rPr>
              <w:t>Tests, release decision, rollback and compatibility.</w:t>
            </w:r>
          </w:p>
        </w:tc>
      </w:tr>
      <w:tr>
        <w:trPr>
          <w:cantSplit/>
        </w:trPr>
        <w:tc>
          <w:tcPr>
            <w:tcW w:type="dxa" w:w="2016"/>
            <w:tcMar>
              <w:top w:w="80" w:type="dxa"/>
              <w:start w:w="100" w:type="dxa"/>
              <w:bottom w:w="80" w:type="dxa"/>
              <w:end w:w="100" w:type="dxa"/>
            </w:tcMar>
            <w:vAlign w:val="top"/>
          </w:tcPr>
          <w:p>
            <w:pPr>
              <w:spacing w:after="0"/>
            </w:pPr>
            <w:r>
              <w:rPr>
                <w:sz w:val="17"/>
              </w:rPr>
              <w:t>Observability</w:t>
            </w:r>
          </w:p>
        </w:tc>
        <w:tc>
          <w:tcPr>
            <w:tcW w:type="dxa" w:w="4320"/>
            <w:tcMar>
              <w:top w:w="80" w:type="dxa"/>
              <w:start w:w="100" w:type="dxa"/>
              <w:bottom w:w="80" w:type="dxa"/>
              <w:end w:w="100" w:type="dxa"/>
            </w:tcMar>
            <w:vAlign w:val="top"/>
          </w:tcPr>
          <w:p>
            <w:pPr>
              <w:spacing w:after="0"/>
            </w:pPr>
            <w:r>
              <w:rPr>
                <w:sz w:val="17"/>
              </w:rPr>
              <w:t>Telemetry libraries, workspace, dashboards, alerts pattern</w:t>
            </w:r>
          </w:p>
        </w:tc>
        <w:tc>
          <w:tcPr>
            <w:tcW w:type="dxa" w:w="3744"/>
            <w:tcMar>
              <w:top w:w="80" w:type="dxa"/>
              <w:start w:w="100" w:type="dxa"/>
              <w:bottom w:w="80" w:type="dxa"/>
              <w:end w:w="100" w:type="dxa"/>
            </w:tcMar>
            <w:vAlign w:val="top"/>
          </w:tcPr>
          <w:p>
            <w:pPr>
              <w:spacing w:after="0"/>
            </w:pPr>
            <w:r>
              <w:rPr>
                <w:sz w:val="17"/>
              </w:rPr>
              <w:t>Service signals, SLOs, runbooks, on-call response.</w:t>
            </w:r>
          </w:p>
        </w:tc>
      </w:tr>
      <w:tr>
        <w:trPr>
          <w:cantSplit/>
        </w:trPr>
        <w:tc>
          <w:tcPr>
            <w:tcW w:type="dxa" w:w="2016"/>
            <w:tcMar>
              <w:top w:w="80" w:type="dxa"/>
              <w:start w:w="100" w:type="dxa"/>
              <w:bottom w:w="80" w:type="dxa"/>
              <w:end w:w="100" w:type="dxa"/>
            </w:tcMar>
            <w:vAlign w:val="top"/>
          </w:tcPr>
          <w:p>
            <w:pPr>
              <w:spacing w:after="0"/>
            </w:pPr>
            <w:r>
              <w:rPr>
                <w:sz w:val="17"/>
              </w:rPr>
              <w:t>Security</w:t>
            </w:r>
          </w:p>
        </w:tc>
        <w:tc>
          <w:tcPr>
            <w:tcW w:type="dxa" w:w="4320"/>
            <w:tcMar>
              <w:top w:w="80" w:type="dxa"/>
              <w:start w:w="100" w:type="dxa"/>
              <w:bottom w:w="80" w:type="dxa"/>
              <w:end w:w="100" w:type="dxa"/>
            </w:tcMar>
            <w:vAlign w:val="top"/>
          </w:tcPr>
          <w:p>
            <w:pPr>
              <w:spacing w:after="0"/>
            </w:pPr>
            <w:r>
              <w:rPr>
                <w:sz w:val="17"/>
              </w:rPr>
              <w:t>Identity patterns, policy, scanning, secret integration</w:t>
            </w:r>
          </w:p>
        </w:tc>
        <w:tc>
          <w:tcPr>
            <w:tcW w:type="dxa" w:w="3744"/>
            <w:tcMar>
              <w:top w:w="80" w:type="dxa"/>
              <w:start w:w="100" w:type="dxa"/>
              <w:bottom w:w="80" w:type="dxa"/>
              <w:end w:w="100" w:type="dxa"/>
            </w:tcMar>
            <w:vAlign w:val="top"/>
          </w:tcPr>
          <w:p>
            <w:pPr>
              <w:spacing w:after="0"/>
            </w:pPr>
            <w:r>
              <w:rPr>
                <w:sz w:val="17"/>
              </w:rPr>
              <w:t>Threat model, data handling, remediation.</w:t>
            </w:r>
          </w:p>
        </w:tc>
      </w:tr>
    </w:tbl>
    <w:p>
      <w:pPr>
        <w:spacing w:after="20"/>
      </w:pPr>
    </w:p>
    <w:p>
      <w:pPr>
        <w:pStyle w:val="Heading2"/>
      </w:pPr>
      <w:r>
        <w:t>65.3 Self-Service and Governance</w:t>
      </w:r>
    </w:p>
    <w:p>
      <w:pPr>
        <w:spacing w:after="120"/>
      </w:pPr>
      <w:r>
        <w:rPr>
          <w:i w:val="0"/>
        </w:rPr>
        <w:t>Use APIs, templates, Azure Deployment Environments, pipelines, and a developer portal where useful. Self-service must be idempotent, auditable, quota-aware, and policy compliant. Approval should be reserved for high-risk exceptions rather than every standard request.</w:t>
      </w:r>
    </w:p>
    <w:p>
      <w:pPr>
        <w:pStyle w:val="Heading2"/>
      </w:pPr>
      <w:r>
        <w:t>65.4 Platform Metrics</w:t>
      </w:r>
    </w:p>
    <w:p>
      <w:pPr>
        <w:spacing w:after="120"/>
      </w:pPr>
      <w:r>
        <w:rPr>
          <w:i w:val="0"/>
        </w:rPr>
        <w:t>Measure adoption, task completion time, deployment frequency, lead time, failure rate, recovery time, platform availability, support volume, policy pass rate, template freshness, and developer satisfaction. Avoid vanity metrics such as number of templates created.</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Developers bypass platform</w:t>
            </w:r>
          </w:p>
        </w:tc>
        <w:tc>
          <w:tcPr>
            <w:tcW w:type="dxa" w:w="2592"/>
            <w:tcMar>
              <w:top w:w="80" w:type="dxa"/>
              <w:start w:w="100" w:type="dxa"/>
              <w:bottom w:w="80" w:type="dxa"/>
              <w:end w:w="100" w:type="dxa"/>
            </w:tcMar>
            <w:vAlign w:val="top"/>
          </w:tcPr>
          <w:p>
            <w:pPr>
              <w:spacing w:after="0"/>
            </w:pPr>
            <w:r>
              <w:rPr>
                <w:sz w:val="17"/>
              </w:rPr>
              <w:t>Poor fit, slow support, missing capabilities, or no trust</w:t>
            </w:r>
          </w:p>
        </w:tc>
        <w:tc>
          <w:tcPr>
            <w:tcW w:type="dxa" w:w="5328"/>
            <w:tcMar>
              <w:top w:w="80" w:type="dxa"/>
              <w:start w:w="100" w:type="dxa"/>
              <w:bottom w:w="80" w:type="dxa"/>
              <w:end w:w="100" w:type="dxa"/>
            </w:tcMar>
            <w:vAlign w:val="top"/>
          </w:tcPr>
          <w:p>
            <w:pPr>
              <w:spacing w:after="0"/>
            </w:pPr>
            <w:r>
              <w:rPr>
                <w:sz w:val="17"/>
              </w:rPr>
              <w:t>Interview users, improve path, publish roadmap/SLO, and make safe path faster than custom work.</w:t>
            </w:r>
          </w:p>
        </w:tc>
      </w:tr>
      <w:tr>
        <w:trPr>
          <w:cantSplit/>
        </w:trPr>
        <w:tc>
          <w:tcPr>
            <w:tcW w:type="dxa" w:w="2160"/>
            <w:tcMar>
              <w:top w:w="80" w:type="dxa"/>
              <w:start w:w="100" w:type="dxa"/>
              <w:bottom w:w="80" w:type="dxa"/>
              <w:end w:w="100" w:type="dxa"/>
            </w:tcMar>
            <w:vAlign w:val="top"/>
          </w:tcPr>
          <w:p>
            <w:pPr>
              <w:spacing w:after="0"/>
            </w:pPr>
            <w:r>
              <w:rPr>
                <w:sz w:val="17"/>
              </w:rPr>
              <w:t>Template creates insecure drift</w:t>
            </w:r>
          </w:p>
        </w:tc>
        <w:tc>
          <w:tcPr>
            <w:tcW w:type="dxa" w:w="2592"/>
            <w:tcMar>
              <w:top w:w="80" w:type="dxa"/>
              <w:start w:w="100" w:type="dxa"/>
              <w:bottom w:w="80" w:type="dxa"/>
              <w:end w:w="100" w:type="dxa"/>
            </w:tcMar>
            <w:vAlign w:val="top"/>
          </w:tcPr>
          <w:p>
            <w:pPr>
              <w:spacing w:after="0"/>
            </w:pPr>
            <w:r>
              <w:rPr>
                <w:sz w:val="17"/>
              </w:rPr>
              <w:t>Unversioned modules or consumer overrides</w:t>
            </w:r>
          </w:p>
        </w:tc>
        <w:tc>
          <w:tcPr>
            <w:tcW w:type="dxa" w:w="5328"/>
            <w:tcMar>
              <w:top w:w="80" w:type="dxa"/>
              <w:start w:w="100" w:type="dxa"/>
              <w:bottom w:w="80" w:type="dxa"/>
              <w:end w:w="100" w:type="dxa"/>
            </w:tcMar>
            <w:vAlign w:val="top"/>
          </w:tcPr>
          <w:p>
            <w:pPr>
              <w:spacing w:after="0"/>
            </w:pPr>
            <w:r>
              <w:rPr>
                <w:sz w:val="17"/>
              </w:rPr>
              <w:t>Version modules, test contracts, pin releases, and enforce policy.</w:t>
            </w:r>
          </w:p>
        </w:tc>
      </w:tr>
      <w:tr>
        <w:trPr>
          <w:cantSplit/>
        </w:trPr>
        <w:tc>
          <w:tcPr>
            <w:tcW w:type="dxa" w:w="2160"/>
            <w:tcMar>
              <w:top w:w="80" w:type="dxa"/>
              <w:start w:w="100" w:type="dxa"/>
              <w:bottom w:w="80" w:type="dxa"/>
              <w:end w:w="100" w:type="dxa"/>
            </w:tcMar>
            <w:vAlign w:val="top"/>
          </w:tcPr>
          <w:p>
            <w:pPr>
              <w:spacing w:after="0"/>
            </w:pPr>
            <w:r>
              <w:rPr>
                <w:sz w:val="17"/>
              </w:rPr>
              <w:t>Platform team becomes ticket queue</w:t>
            </w:r>
          </w:p>
        </w:tc>
        <w:tc>
          <w:tcPr>
            <w:tcW w:type="dxa" w:w="2592"/>
            <w:tcMar>
              <w:top w:w="80" w:type="dxa"/>
              <w:start w:w="100" w:type="dxa"/>
              <w:bottom w:w="80" w:type="dxa"/>
              <w:end w:w="100" w:type="dxa"/>
            </w:tcMar>
            <w:vAlign w:val="top"/>
          </w:tcPr>
          <w:p>
            <w:pPr>
              <w:spacing w:after="0"/>
            </w:pPr>
            <w:r>
              <w:rPr>
                <w:sz w:val="17"/>
              </w:rPr>
              <w:t>Self-service incomplete or ownership unclear</w:t>
            </w:r>
          </w:p>
        </w:tc>
        <w:tc>
          <w:tcPr>
            <w:tcW w:type="dxa" w:w="5328"/>
            <w:tcMar>
              <w:top w:w="80" w:type="dxa"/>
              <w:start w:w="100" w:type="dxa"/>
              <w:bottom w:w="80" w:type="dxa"/>
              <w:end w:w="100" w:type="dxa"/>
            </w:tcMar>
            <w:vAlign w:val="top"/>
          </w:tcPr>
          <w:p>
            <w:pPr>
              <w:spacing w:after="0"/>
            </w:pPr>
            <w:r>
              <w:rPr>
                <w:sz w:val="17"/>
              </w:rPr>
              <w:t>Automate standard flows, define support boundaries, and publish documentation.</w:t>
            </w:r>
          </w:p>
        </w:tc>
      </w:tr>
    </w:tbl>
    <w:p>
      <w:pPr>
        <w:spacing w:after="20"/>
      </w:pPr>
    </w:p>
    <w:p>
      <w:pPr>
        <w:pStyle w:val="Heading2"/>
      </w:pPr>
      <w:r>
        <w:t>Hands-on Lab 65: Design an Internal Developer Platform Product</w:t>
      </w:r>
    </w:p>
    <w:p>
      <w:pPr>
        <w:pStyle w:val="Heading3"/>
      </w:pPr>
      <w:r>
        <w:t>Prerequisites</w:t>
      </w:r>
    </w:p>
    <w:p>
      <w:pPr>
        <w:pStyle w:val="ListBullet"/>
        <w:spacing w:after="60"/>
      </w:pPr>
      <w:r>
        <w:t>Access to Volume 7E IaC and pipeline patterns and a sample workload team.</w:t>
      </w:r>
    </w:p>
    <w:p>
      <w:pPr>
        <w:pStyle w:val="Heading3"/>
      </w:pPr>
      <w:r>
        <w:t>Implementation</w:t>
      </w:r>
    </w:p>
    <w:p>
      <w:pPr>
        <w:spacing w:after="60"/>
        <w:ind w:left="360" w:hanging="259"/>
      </w:pPr>
      <w:r>
        <w:rPr>
          <w:b/>
        </w:rPr>
        <w:t xml:space="preserve">1. </w:t>
      </w:r>
      <w:r>
        <w:t>Interview users and define top five developer journeys.</w:t>
      </w:r>
    </w:p>
    <w:p>
      <w:pPr>
        <w:spacing w:after="60"/>
        <w:ind w:left="360" w:hanging="259"/>
      </w:pPr>
      <w:r>
        <w:rPr>
          <w:b/>
        </w:rPr>
        <w:t xml:space="preserve">2. </w:t>
      </w:r>
      <w:r>
        <w:t>Select one golden path and define its contract.</w:t>
      </w:r>
    </w:p>
    <w:p>
      <w:pPr>
        <w:spacing w:after="60"/>
        <w:ind w:left="360" w:hanging="259"/>
      </w:pPr>
      <w:r>
        <w:rPr>
          <w:b/>
        </w:rPr>
        <w:t xml:space="preserve">3. </w:t>
      </w:r>
      <w:r>
        <w:t>Create a template architecture including identity, network, telemetry, security, cost, and rollback.</w:t>
      </w:r>
    </w:p>
    <w:p>
      <w:pPr>
        <w:spacing w:after="60"/>
        <w:ind w:left="360" w:hanging="259"/>
      </w:pPr>
      <w:r>
        <w:rPr>
          <w:b/>
        </w:rPr>
        <w:t xml:space="preserve">4. </w:t>
      </w:r>
      <w:r>
        <w:t>Define self-service API or workflow and exception process.</w:t>
      </w:r>
    </w:p>
    <w:p>
      <w:pPr>
        <w:spacing w:after="60"/>
        <w:ind w:left="360" w:hanging="259"/>
      </w:pPr>
      <w:r>
        <w:rPr>
          <w:b/>
        </w:rPr>
        <w:t xml:space="preserve">5. </w:t>
      </w:r>
      <w:r>
        <w:t>Set platform SLOs, support model, version policy, and adoption metrics.</w:t>
      </w:r>
    </w:p>
    <w:p>
      <w:pPr>
        <w:spacing w:after="60"/>
        <w:ind w:left="360" w:hanging="259"/>
      </w:pPr>
      <w:r>
        <w:rPr>
          <w:b/>
        </w:rPr>
        <w:t xml:space="preserve">6. </w:t>
      </w:r>
      <w:r>
        <w:t>Run a usability test with a developer not involved in design.</w:t>
      </w:r>
    </w:p>
    <w:p>
      <w:pPr>
        <w:pStyle w:val="Heading3"/>
      </w:pPr>
      <w:r>
        <w:t>Validation Evidence</w:t>
      </w:r>
    </w:p>
    <w:p>
      <w:pPr>
        <w:pStyle w:val="ListBullet"/>
        <w:spacing w:after="60"/>
      </w:pPr>
      <w:r>
        <w:t>A user can deploy without undocumented manual steps.</w:t>
      </w:r>
    </w:p>
    <w:p>
      <w:pPr>
        <w:pStyle w:val="ListBullet"/>
        <w:spacing w:after="60"/>
      </w:pPr>
      <w:r>
        <w:t>Generated workloads pass policy and security checks.</w:t>
      </w:r>
    </w:p>
    <w:p>
      <w:pPr>
        <w:pStyle w:val="ListBullet"/>
        <w:spacing w:after="60"/>
      </w:pPr>
      <w:r>
        <w:t>Ownership boundaries are explicit.</w:t>
      </w:r>
    </w:p>
    <w:p>
      <w:pPr>
        <w:pStyle w:val="ListBullet"/>
        <w:spacing w:after="60"/>
      </w:pPr>
      <w:r>
        <w:t>Feedback changes the roadmap.</w:t>
      </w:r>
    </w:p>
    <w:p>
      <w:pPr>
        <w:pStyle w:val="Heading3"/>
      </w:pPr>
      <w:r>
        <w:t>Cleanup</w:t>
      </w:r>
    </w:p>
    <w:p>
      <w:pPr>
        <w:pStyle w:val="ListBullet"/>
        <w:spacing w:after="60"/>
      </w:pPr>
      <w:r>
        <w:t>Delete test environments, identities, and artifacts.</w:t>
      </w:r>
    </w:p>
    <w:p>
      <w:pPr>
        <w:pStyle w:val="ListBullet"/>
        <w:spacing w:after="60"/>
      </w:pPr>
      <w:r>
        <w:t>Archive reusable templates and documentation.</w:t>
      </w:r>
    </w:p>
    <w:p>
      <w:pPr>
        <w:pStyle w:val="Heading2"/>
      </w:pPr>
      <w:r>
        <w:t>Interview Questions and Model Answers</w:t>
      </w:r>
    </w:p>
    <w:p>
      <w:pPr>
        <w:spacing w:after="40"/>
      </w:pPr>
      <w:r>
        <w:rPr>
          <w:b/>
        </w:rPr>
        <w:t>1. What is a platform product?</w:t>
      </w:r>
    </w:p>
    <w:p>
      <w:pPr>
        <w:spacing w:after="120"/>
        <w:ind w:left="216"/>
      </w:pPr>
      <w:r>
        <w:t>An internal service with customers, outcomes, roadmap, SLOs, support, and lifecycle ownership.</w:t>
      </w:r>
    </w:p>
    <w:p>
      <w:pPr>
        <w:spacing w:after="40"/>
      </w:pPr>
      <w:r>
        <w:rPr>
          <w:b/>
        </w:rPr>
        <w:t>2. What is a golden path?</w:t>
      </w:r>
    </w:p>
    <w:p>
      <w:pPr>
        <w:spacing w:after="120"/>
        <w:ind w:left="216"/>
      </w:pPr>
      <w:r>
        <w:t>A supported end-to-end route that implements organizational defaults for a common workload.</w:t>
      </w:r>
    </w:p>
    <w:p>
      <w:pPr>
        <w:spacing w:after="40"/>
      </w:pPr>
      <w:r>
        <w:rPr>
          <w:b/>
        </w:rPr>
        <w:t>3. How do you avoid excessive abstraction?</w:t>
      </w:r>
    </w:p>
    <w:p>
      <w:pPr>
        <w:spacing w:after="120"/>
        <w:ind w:left="216"/>
      </w:pPr>
      <w:r>
        <w:t>Expose necessary concepts, publish contracts, support escape hatches, and measure whether users can troubleshoot.</w:t>
      </w:r>
    </w:p>
    <w:p>
      <w:pPr>
        <w:spacing w:after="40"/>
      </w:pPr>
      <w:r>
        <w:rPr>
          <w:b/>
        </w:rPr>
        <w:t>4. What is the best platform metric?</w:t>
      </w:r>
    </w:p>
    <w:p>
      <w:pPr>
        <w:spacing w:after="120"/>
        <w:ind w:left="216"/>
      </w:pPr>
      <w:r>
        <w:t>A combination of user outcomes and delivery/reliability improvements, not raw feature count.</w:t>
      </w:r>
    </w:p>
    <w:p>
      <w:pPr>
        <w:pStyle w:val="Heading2"/>
      </w:pPr>
      <w:r>
        <w:t>Chapter Summary</w:t>
      </w:r>
    </w:p>
    <w:p>
      <w:pPr>
        <w:pStyle w:val="ListBullet"/>
        <w:spacing w:after="60"/>
      </w:pPr>
      <w:r>
        <w:t>Treat platforms as products.</w:t>
      </w:r>
    </w:p>
    <w:p>
      <w:pPr>
        <w:pStyle w:val="ListBullet"/>
        <w:spacing w:after="60"/>
      </w:pPr>
      <w:r>
        <w:t>Make the safe path the easy path.</w:t>
      </w:r>
    </w:p>
    <w:p>
      <w:pPr>
        <w:pStyle w:val="ListBullet"/>
        <w:spacing w:after="60"/>
      </w:pPr>
      <w:r>
        <w:t>Automate complete journeys with clear contracts.</w:t>
      </w:r>
    </w:p>
    <w:p>
      <w:pPr>
        <w:pStyle w:val="ListBullet"/>
        <w:spacing w:after="60"/>
      </w:pPr>
      <w:r>
        <w:t>Measure developer flow and production outcomes.</w:t>
      </w:r>
    </w:p>
    <w:p>
      <w:pPr>
        <w:pStyle w:val="Heading1"/>
        <w:pageBreakBefore/>
      </w:pPr>
      <w:r>
        <w:t>Chapter 66 - Advanced Troubleshooting and Incident Command</w:t>
      </w:r>
    </w:p>
    <w:p>
      <w:pPr>
        <w:spacing w:after="120"/>
      </w:pPr>
      <w:r>
        <w:rPr>
          <w:i/>
          <w:color w:val="505050"/>
        </w:rPr>
        <w:t>Diagnosing complex Azure failures through layered evidence, disciplined hypotheses, and coordinated response</w:t>
      </w:r>
    </w:p>
    <w:p>
      <w:pPr>
        <w:pStyle w:val="Heading2"/>
      </w:pPr>
      <w:r>
        <w:t>Learning Objectives</w:t>
      </w:r>
    </w:p>
    <w:p>
      <w:pPr>
        <w:pStyle w:val="ListBullet"/>
        <w:spacing w:after="60"/>
      </w:pPr>
      <w:r>
        <w:t>Use a repeatable troubleshooting method across identity, DNS, network, platform, application, data, and dependencies.</w:t>
      </w:r>
    </w:p>
    <w:p>
      <w:pPr>
        <w:pStyle w:val="ListBullet"/>
        <w:spacing w:after="60"/>
      </w:pPr>
      <w:r>
        <w:t>Separate symptoms, impact, cause, and contributing factors.</w:t>
      </w:r>
    </w:p>
    <w:p>
      <w:pPr>
        <w:pStyle w:val="ListBullet"/>
        <w:spacing w:after="60"/>
      </w:pPr>
      <w:r>
        <w:t>Lead incidents with clear roles, objectives, and communication.</w:t>
      </w:r>
    </w:p>
    <w:p>
      <w:pPr>
        <w:pStyle w:val="ListBullet"/>
        <w:spacing w:after="60"/>
      </w:pPr>
      <w:r>
        <w:t>Use Azure Resource Health, Service Health, Network Watcher, Monitor, and deployment evidence.</w:t>
      </w:r>
    </w:p>
    <w:p>
      <w:pPr>
        <w:pStyle w:val="Heading2"/>
      </w:pPr>
      <w:r>
        <w:t>66.1 The Evidence-Driven Method</w:t>
      </w:r>
    </w:p>
    <w:p>
      <w:pPr>
        <w:spacing w:after="120"/>
      </w:pPr>
      <w:r>
        <w:rPr>
          <w:i w:val="0"/>
        </w:rPr>
        <w:t>Start with impact, scope, start time, recent changes, and what still works. Build a timeline. Form hypotheses and select the cheapest discriminating test. Change one thing at a time unless emergency containment requires otherwise.</w:t>
      </w:r>
    </w:p>
    <w:p>
      <w:pPr>
        <w:spacing w:after="60"/>
        <w:ind w:left="360" w:hanging="259"/>
      </w:pPr>
      <w:r>
        <w:rPr>
          <w:b/>
        </w:rPr>
        <w:t xml:space="preserve">1. </w:t>
      </w:r>
      <w:r>
        <w:t>Confirm user-visible impact and affected cohorts.</w:t>
      </w:r>
    </w:p>
    <w:p>
      <w:pPr>
        <w:spacing w:after="60"/>
        <w:ind w:left="360" w:hanging="259"/>
      </w:pPr>
      <w:r>
        <w:rPr>
          <w:b/>
        </w:rPr>
        <w:t xml:space="preserve">2. </w:t>
      </w:r>
      <w:r>
        <w:t>Check Azure Service Health and Resource Health.</w:t>
      </w:r>
    </w:p>
    <w:p>
      <w:pPr>
        <w:spacing w:after="60"/>
        <w:ind w:left="360" w:hanging="259"/>
      </w:pPr>
      <w:r>
        <w:rPr>
          <w:b/>
        </w:rPr>
        <w:t xml:space="preserve">3. </w:t>
      </w:r>
      <w:r>
        <w:t>Correlate deployments, configuration, identity, policy, and dependency changes.</w:t>
      </w:r>
    </w:p>
    <w:p>
      <w:pPr>
        <w:spacing w:after="60"/>
        <w:ind w:left="360" w:hanging="259"/>
      </w:pPr>
      <w:r>
        <w:rPr>
          <w:b/>
        </w:rPr>
        <w:t xml:space="preserve">4. </w:t>
      </w:r>
      <w:r>
        <w:t>Trace request path from DNS and ingress to application and data.</w:t>
      </w:r>
    </w:p>
    <w:p>
      <w:pPr>
        <w:spacing w:after="60"/>
        <w:ind w:left="360" w:hanging="259"/>
      </w:pPr>
      <w:r>
        <w:rPr>
          <w:b/>
        </w:rPr>
        <w:t xml:space="preserve">5. </w:t>
      </w:r>
      <w:r>
        <w:t>Test hypotheses with logs, metrics, traces, packet/connectivity tools, and controlled rollback.</w:t>
      </w:r>
    </w:p>
    <w:p>
      <w:pPr>
        <w:spacing w:after="60"/>
        <w:ind w:left="360" w:hanging="259"/>
      </w:pPr>
      <w:r>
        <w:rPr>
          <w:b/>
        </w:rPr>
        <w:t xml:space="preserve">6. </w:t>
      </w:r>
      <w:r>
        <w:t>Validate recovery and monitor recurrence.</w:t>
      </w:r>
    </w:p>
    <w:p>
      <w:pPr>
        <w:pStyle w:val="Heading2"/>
      </w:pPr>
      <w:r>
        <w:t>66.2 Layered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Layer</w:t>
            </w:r>
          </w:p>
        </w:tc>
        <w:tc>
          <w:tcPr>
            <w:tcW w:type="dxa" w:w="8064"/>
            <w:shd w:fill="0078D4"/>
            <w:tcMar>
              <w:top w:w="80" w:type="dxa"/>
              <w:start w:w="100" w:type="dxa"/>
              <w:bottom w:w="80" w:type="dxa"/>
              <w:end w:w="100" w:type="dxa"/>
            </w:tcMar>
            <w:vAlign w:val="center"/>
          </w:tcPr>
          <w:p>
            <w:pPr>
              <w:jc w:val="center"/>
            </w:pPr>
            <w:r>
              <w:rPr>
                <w:b/>
                <w:color w:val="FFFFFF"/>
                <w:sz w:val="17"/>
              </w:rPr>
              <w:t>Evidence</w:t>
            </w:r>
          </w:p>
        </w:tc>
      </w:tr>
      <w:tr>
        <w:trPr>
          <w:cantSplit/>
        </w:trPr>
        <w:tc>
          <w:tcPr>
            <w:tcW w:type="dxa" w:w="2016"/>
            <w:tcMar>
              <w:top w:w="80" w:type="dxa"/>
              <w:start w:w="100" w:type="dxa"/>
              <w:bottom w:w="80" w:type="dxa"/>
              <w:end w:w="100" w:type="dxa"/>
            </w:tcMar>
            <w:vAlign w:val="top"/>
          </w:tcPr>
          <w:p>
            <w:pPr>
              <w:spacing w:after="0"/>
            </w:pPr>
            <w:r>
              <w:rPr>
                <w:sz w:val="17"/>
              </w:rPr>
              <w:t>Identity</w:t>
            </w:r>
          </w:p>
        </w:tc>
        <w:tc>
          <w:tcPr>
            <w:tcW w:type="dxa" w:w="8064"/>
            <w:tcMar>
              <w:top w:w="80" w:type="dxa"/>
              <w:start w:w="100" w:type="dxa"/>
              <w:bottom w:w="80" w:type="dxa"/>
              <w:end w:w="100" w:type="dxa"/>
            </w:tcMar>
            <w:vAlign w:val="top"/>
          </w:tcPr>
          <w:p>
            <w:pPr>
              <w:spacing w:after="0"/>
            </w:pPr>
            <w:r>
              <w:rPr>
                <w:sz w:val="17"/>
              </w:rPr>
              <w:t>Token audience/issuer, roles, conditional access, managed identity, federated credential.</w:t>
            </w:r>
          </w:p>
        </w:tc>
      </w:tr>
      <w:tr>
        <w:trPr>
          <w:cantSplit/>
        </w:trPr>
        <w:tc>
          <w:tcPr>
            <w:tcW w:type="dxa" w:w="2016"/>
            <w:tcMar>
              <w:top w:w="80" w:type="dxa"/>
              <w:start w:w="100" w:type="dxa"/>
              <w:bottom w:w="80" w:type="dxa"/>
              <w:end w:w="100" w:type="dxa"/>
            </w:tcMar>
            <w:vAlign w:val="top"/>
          </w:tcPr>
          <w:p>
            <w:pPr>
              <w:spacing w:after="0"/>
            </w:pPr>
            <w:r>
              <w:rPr>
                <w:sz w:val="17"/>
              </w:rPr>
              <w:t>DNS</w:t>
            </w:r>
          </w:p>
        </w:tc>
        <w:tc>
          <w:tcPr>
            <w:tcW w:type="dxa" w:w="8064"/>
            <w:tcMar>
              <w:top w:w="80" w:type="dxa"/>
              <w:start w:w="100" w:type="dxa"/>
              <w:bottom w:w="80" w:type="dxa"/>
              <w:end w:w="100" w:type="dxa"/>
            </w:tcMar>
            <w:vAlign w:val="top"/>
          </w:tcPr>
          <w:p>
            <w:pPr>
              <w:spacing w:after="0"/>
            </w:pPr>
            <w:r>
              <w:rPr>
                <w:sz w:val="17"/>
              </w:rPr>
              <w:t>Resolver path, private zone link, record, TTL, split-horizon behavior.</w:t>
            </w:r>
          </w:p>
        </w:tc>
      </w:tr>
      <w:tr>
        <w:trPr>
          <w:cantSplit/>
        </w:trPr>
        <w:tc>
          <w:tcPr>
            <w:tcW w:type="dxa" w:w="2016"/>
            <w:tcMar>
              <w:top w:w="80" w:type="dxa"/>
              <w:start w:w="100" w:type="dxa"/>
              <w:bottom w:w="80" w:type="dxa"/>
              <w:end w:w="100" w:type="dxa"/>
            </w:tcMar>
            <w:vAlign w:val="top"/>
          </w:tcPr>
          <w:p>
            <w:pPr>
              <w:spacing w:after="0"/>
            </w:pPr>
            <w:r>
              <w:rPr>
                <w:sz w:val="17"/>
              </w:rPr>
              <w:t>Network</w:t>
            </w:r>
          </w:p>
        </w:tc>
        <w:tc>
          <w:tcPr>
            <w:tcW w:type="dxa" w:w="8064"/>
            <w:tcMar>
              <w:top w:w="80" w:type="dxa"/>
              <w:start w:w="100" w:type="dxa"/>
              <w:bottom w:w="80" w:type="dxa"/>
              <w:end w:w="100" w:type="dxa"/>
            </w:tcMar>
            <w:vAlign w:val="top"/>
          </w:tcPr>
          <w:p>
            <w:pPr>
              <w:spacing w:after="0"/>
            </w:pPr>
            <w:r>
              <w:rPr>
                <w:sz w:val="17"/>
              </w:rPr>
              <w:t>NSG effective rules, UDR, firewall logs, private endpoint, SNAT, Network Watcher.</w:t>
            </w:r>
          </w:p>
        </w:tc>
      </w:tr>
      <w:tr>
        <w:trPr>
          <w:cantSplit/>
        </w:trPr>
        <w:tc>
          <w:tcPr>
            <w:tcW w:type="dxa" w:w="2016"/>
            <w:tcMar>
              <w:top w:w="80" w:type="dxa"/>
              <w:start w:w="100" w:type="dxa"/>
              <w:bottom w:w="80" w:type="dxa"/>
              <w:end w:w="100" w:type="dxa"/>
            </w:tcMar>
            <w:vAlign w:val="top"/>
          </w:tcPr>
          <w:p>
            <w:pPr>
              <w:spacing w:after="0"/>
            </w:pPr>
            <w:r>
              <w:rPr>
                <w:sz w:val="17"/>
              </w:rPr>
              <w:t>Platform</w:t>
            </w:r>
          </w:p>
        </w:tc>
        <w:tc>
          <w:tcPr>
            <w:tcW w:type="dxa" w:w="8064"/>
            <w:tcMar>
              <w:top w:w="80" w:type="dxa"/>
              <w:start w:w="100" w:type="dxa"/>
              <w:bottom w:w="80" w:type="dxa"/>
              <w:end w:w="100" w:type="dxa"/>
            </w:tcMar>
            <w:vAlign w:val="top"/>
          </w:tcPr>
          <w:p>
            <w:pPr>
              <w:spacing w:after="0"/>
            </w:pPr>
            <w:r>
              <w:rPr>
                <w:sz w:val="17"/>
              </w:rPr>
              <w:t>Health events, quota, SKU capacity, autoscale, deployment status, policy deny.</w:t>
            </w:r>
          </w:p>
        </w:tc>
      </w:tr>
      <w:tr>
        <w:trPr>
          <w:cantSplit/>
        </w:trPr>
        <w:tc>
          <w:tcPr>
            <w:tcW w:type="dxa" w:w="2016"/>
            <w:tcMar>
              <w:top w:w="80" w:type="dxa"/>
              <w:start w:w="100" w:type="dxa"/>
              <w:bottom w:w="80" w:type="dxa"/>
              <w:end w:w="100" w:type="dxa"/>
            </w:tcMar>
            <w:vAlign w:val="top"/>
          </w:tcPr>
          <w:p>
            <w:pPr>
              <w:spacing w:after="0"/>
            </w:pPr>
            <w:r>
              <w:rPr>
                <w:sz w:val="17"/>
              </w:rPr>
              <w:t>Application/Data</w:t>
            </w:r>
          </w:p>
        </w:tc>
        <w:tc>
          <w:tcPr>
            <w:tcW w:type="dxa" w:w="8064"/>
            <w:tcMar>
              <w:top w:w="80" w:type="dxa"/>
              <w:start w:w="100" w:type="dxa"/>
              <w:bottom w:w="80" w:type="dxa"/>
              <w:end w:w="100" w:type="dxa"/>
            </w:tcMar>
            <w:vAlign w:val="top"/>
          </w:tcPr>
          <w:p>
            <w:pPr>
              <w:spacing w:after="0"/>
            </w:pPr>
            <w:r>
              <w:rPr>
                <w:sz w:val="17"/>
              </w:rPr>
              <w:t>Traces, exceptions, saturation, connection pools, locks, throttling, partition hot spots.</w:t>
            </w:r>
          </w:p>
        </w:tc>
      </w:tr>
    </w:tbl>
    <w:p>
      <w:pPr>
        <w:spacing w:after="20"/>
      </w:pPr>
    </w:p>
    <w:p>
      <w:pPr>
        <w:pStyle w:val="Heading2"/>
      </w:pPr>
      <w:r>
        <w:t>66.3 Incident Command</w:t>
      </w:r>
    </w:p>
    <w:p>
      <w:pPr>
        <w:spacing w:after="120"/>
      </w:pPr>
      <w:r>
        <w:rPr>
          <w:i w:val="0"/>
        </w:rPr>
        <w:t>The incident commander maintains objectives, roles, decision cadence, risk, escalation, and communication. The technical lead drives diagnosis. The scribe records timeline, decisions, commands, and outcomes. The communications lead translates impact for stakeholders.</w:t>
      </w:r>
    </w:p>
    <w:p>
      <w:pPr>
        <w:pStyle w:val="Heading2"/>
      </w:pPr>
      <w:r>
        <w:t>66.4 Recovery and Follow-up</w:t>
      </w:r>
    </w:p>
    <w:p>
      <w:pPr>
        <w:spacing w:after="120"/>
      </w:pPr>
      <w:r>
        <w:rPr>
          <w:i w:val="0"/>
        </w:rPr>
        <w:t>Recovery is not complete until business transactions, data correctness, queues, background jobs, security posture, and monitoring are validated. Create a post-incident review with contributing conditions and durable actions.</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Teams make conflicting changes</w:t>
            </w:r>
          </w:p>
        </w:tc>
        <w:tc>
          <w:tcPr>
            <w:tcW w:type="dxa" w:w="2592"/>
            <w:tcMar>
              <w:top w:w="80" w:type="dxa"/>
              <w:start w:w="100" w:type="dxa"/>
              <w:bottom w:w="80" w:type="dxa"/>
              <w:end w:w="100" w:type="dxa"/>
            </w:tcMar>
            <w:vAlign w:val="top"/>
          </w:tcPr>
          <w:p>
            <w:pPr>
              <w:spacing w:after="0"/>
            </w:pPr>
            <w:r>
              <w:rPr>
                <w:sz w:val="17"/>
              </w:rPr>
              <w:t>No incident command or change log</w:t>
            </w:r>
          </w:p>
        </w:tc>
        <w:tc>
          <w:tcPr>
            <w:tcW w:type="dxa" w:w="5328"/>
            <w:tcMar>
              <w:top w:w="80" w:type="dxa"/>
              <w:start w:w="100" w:type="dxa"/>
              <w:bottom w:w="80" w:type="dxa"/>
              <w:end w:w="100" w:type="dxa"/>
            </w:tcMar>
            <w:vAlign w:val="top"/>
          </w:tcPr>
          <w:p>
            <w:pPr>
              <w:spacing w:after="0"/>
            </w:pPr>
            <w:r>
              <w:rPr>
                <w:sz w:val="17"/>
              </w:rPr>
              <w:t>Assign commander, freeze uncontrolled changes, establish objectives and decision cadence.</w:t>
            </w:r>
          </w:p>
        </w:tc>
      </w:tr>
      <w:tr>
        <w:trPr>
          <w:cantSplit/>
        </w:trPr>
        <w:tc>
          <w:tcPr>
            <w:tcW w:type="dxa" w:w="2160"/>
            <w:tcMar>
              <w:top w:w="80" w:type="dxa"/>
              <w:start w:w="100" w:type="dxa"/>
              <w:bottom w:w="80" w:type="dxa"/>
              <w:end w:w="100" w:type="dxa"/>
            </w:tcMar>
            <w:vAlign w:val="top"/>
          </w:tcPr>
          <w:p>
            <w:pPr>
              <w:spacing w:after="0"/>
            </w:pPr>
            <w:r>
              <w:rPr>
                <w:sz w:val="17"/>
              </w:rPr>
              <w:t>Logs show no obvious error</w:t>
            </w:r>
          </w:p>
        </w:tc>
        <w:tc>
          <w:tcPr>
            <w:tcW w:type="dxa" w:w="2592"/>
            <w:tcMar>
              <w:top w:w="80" w:type="dxa"/>
              <w:start w:w="100" w:type="dxa"/>
              <w:bottom w:w="80" w:type="dxa"/>
              <w:end w:w="100" w:type="dxa"/>
            </w:tcMar>
            <w:vAlign w:val="top"/>
          </w:tcPr>
          <w:p>
            <w:pPr>
              <w:spacing w:after="0"/>
            </w:pPr>
            <w:r>
              <w:rPr>
                <w:sz w:val="17"/>
              </w:rPr>
              <w:t>Wrong layer, sampling, retention, or dependency issue</w:t>
            </w:r>
          </w:p>
        </w:tc>
        <w:tc>
          <w:tcPr>
            <w:tcW w:type="dxa" w:w="5328"/>
            <w:tcMar>
              <w:top w:w="80" w:type="dxa"/>
              <w:start w:w="100" w:type="dxa"/>
              <w:bottom w:w="80" w:type="dxa"/>
              <w:end w:w="100" w:type="dxa"/>
            </w:tcMar>
            <w:vAlign w:val="top"/>
          </w:tcPr>
          <w:p>
            <w:pPr>
              <w:spacing w:after="0"/>
            </w:pPr>
            <w:r>
              <w:rPr>
                <w:sz w:val="17"/>
              </w:rPr>
              <w:t>Trace end to end, compare working/failing cohort, inspect metrics and recent changes.</w:t>
            </w:r>
          </w:p>
        </w:tc>
      </w:tr>
      <w:tr>
        <w:trPr>
          <w:cantSplit/>
        </w:trPr>
        <w:tc>
          <w:tcPr>
            <w:tcW w:type="dxa" w:w="2160"/>
            <w:tcMar>
              <w:top w:w="80" w:type="dxa"/>
              <w:start w:w="100" w:type="dxa"/>
              <w:bottom w:w="80" w:type="dxa"/>
              <w:end w:w="100" w:type="dxa"/>
            </w:tcMar>
            <w:vAlign w:val="top"/>
          </w:tcPr>
          <w:p>
            <w:pPr>
              <w:spacing w:after="0"/>
            </w:pPr>
            <w:r>
              <w:rPr>
                <w:sz w:val="17"/>
              </w:rPr>
              <w:t>Service recovers but backlog grows</w:t>
            </w:r>
          </w:p>
        </w:tc>
        <w:tc>
          <w:tcPr>
            <w:tcW w:type="dxa" w:w="2592"/>
            <w:tcMar>
              <w:top w:w="80" w:type="dxa"/>
              <w:start w:w="100" w:type="dxa"/>
              <w:bottom w:w="80" w:type="dxa"/>
              <w:end w:w="100" w:type="dxa"/>
            </w:tcMar>
            <w:vAlign w:val="top"/>
          </w:tcPr>
          <w:p>
            <w:pPr>
              <w:spacing w:after="0"/>
            </w:pPr>
            <w:r>
              <w:rPr>
                <w:sz w:val="17"/>
              </w:rPr>
              <w:t>Queues, jobs, caches, or replicas not reconciled</w:t>
            </w:r>
          </w:p>
        </w:tc>
        <w:tc>
          <w:tcPr>
            <w:tcW w:type="dxa" w:w="5328"/>
            <w:tcMar>
              <w:top w:w="80" w:type="dxa"/>
              <w:start w:w="100" w:type="dxa"/>
              <w:bottom w:w="80" w:type="dxa"/>
              <w:end w:w="100" w:type="dxa"/>
            </w:tcMar>
            <w:vAlign w:val="top"/>
          </w:tcPr>
          <w:p>
            <w:pPr>
              <w:spacing w:after="0"/>
            </w:pPr>
            <w:r>
              <w:rPr>
                <w:sz w:val="17"/>
              </w:rPr>
              <w:t>Measure backlog age, replay safely, verify idempotency, and monitor business completion.</w:t>
            </w:r>
          </w:p>
        </w:tc>
      </w:tr>
    </w:tbl>
    <w:p>
      <w:pPr>
        <w:spacing w:after="20"/>
      </w:pPr>
    </w:p>
    <w:p>
      <w:pPr>
        <w:pStyle w:val="Heading2"/>
      </w:pPr>
      <w:r>
        <w:t>Hands-on Lab 66: Run an Advanced Incident Simulation</w:t>
      </w:r>
    </w:p>
    <w:p>
      <w:pPr>
        <w:pStyle w:val="Heading3"/>
      </w:pPr>
      <w:r>
        <w:t>Prerequisites</w:t>
      </w:r>
    </w:p>
    <w:p>
      <w:pPr>
        <w:pStyle w:val="ListBullet"/>
        <w:spacing w:after="60"/>
      </w:pPr>
      <w:r>
        <w:t>A nonproduction multi-tier Azure application and an incident collaboration channel.</w:t>
      </w:r>
    </w:p>
    <w:p>
      <w:pPr>
        <w:pStyle w:val="Heading3"/>
      </w:pPr>
      <w:r>
        <w:t>Implementation</w:t>
      </w:r>
    </w:p>
    <w:p>
      <w:pPr>
        <w:spacing w:after="60"/>
        <w:ind w:left="360" w:hanging="259"/>
      </w:pPr>
      <w:r>
        <w:rPr>
          <w:b/>
        </w:rPr>
        <w:t xml:space="preserve">1. </w:t>
      </w:r>
      <w:r>
        <w:t>Inject two related faults such as private DNS misconfiguration and exhausted connection pool.</w:t>
      </w:r>
    </w:p>
    <w:p>
      <w:pPr>
        <w:spacing w:after="60"/>
        <w:ind w:left="360" w:hanging="259"/>
      </w:pPr>
      <w:r>
        <w:rPr>
          <w:b/>
        </w:rPr>
        <w:t xml:space="preserve">2. </w:t>
      </w:r>
      <w:r>
        <w:t>Declare an incident and assign command roles.</w:t>
      </w:r>
    </w:p>
    <w:p>
      <w:pPr>
        <w:spacing w:after="60"/>
        <w:ind w:left="360" w:hanging="259"/>
      </w:pPr>
      <w:r>
        <w:rPr>
          <w:b/>
        </w:rPr>
        <w:t xml:space="preserve">3. </w:t>
      </w:r>
      <w:r>
        <w:t>Build a timeline and impact statement.</w:t>
      </w:r>
    </w:p>
    <w:p>
      <w:pPr>
        <w:spacing w:after="60"/>
        <w:ind w:left="360" w:hanging="259"/>
      </w:pPr>
      <w:r>
        <w:rPr>
          <w:b/>
        </w:rPr>
        <w:t xml:space="preserve">4. </w:t>
      </w:r>
      <w:r>
        <w:t>Use Service Health, Resource Health, Network Watcher, logs, metrics, and traces to test hypotheses.</w:t>
      </w:r>
    </w:p>
    <w:p>
      <w:pPr>
        <w:spacing w:after="60"/>
        <w:ind w:left="360" w:hanging="259"/>
      </w:pPr>
      <w:r>
        <w:rPr>
          <w:b/>
        </w:rPr>
        <w:t xml:space="preserve">5. </w:t>
      </w:r>
      <w:r>
        <w:t>Restore service using controlled change or rollback.</w:t>
      </w:r>
    </w:p>
    <w:p>
      <w:pPr>
        <w:spacing w:after="60"/>
        <w:ind w:left="360" w:hanging="259"/>
      </w:pPr>
      <w:r>
        <w:rPr>
          <w:b/>
        </w:rPr>
        <w:t xml:space="preserve">6. </w:t>
      </w:r>
      <w:r>
        <w:t>Validate transactions, data, queues, and security; write a post-incident review.</w:t>
      </w:r>
    </w:p>
    <w:p>
      <w:pPr>
        <w:pStyle w:val="Heading3"/>
      </w:pPr>
      <w:r>
        <w:t>Validation Evidence</w:t>
      </w:r>
    </w:p>
    <w:p>
      <w:pPr>
        <w:pStyle w:val="ListBullet"/>
        <w:spacing w:after="60"/>
      </w:pPr>
      <w:r>
        <w:t>The team identifies both root and contributing factors.</w:t>
      </w:r>
    </w:p>
    <w:p>
      <w:pPr>
        <w:pStyle w:val="ListBullet"/>
        <w:spacing w:after="60"/>
      </w:pPr>
      <w:r>
        <w:t>Every production-like change is recorded.</w:t>
      </w:r>
    </w:p>
    <w:p>
      <w:pPr>
        <w:pStyle w:val="ListBullet"/>
        <w:spacing w:after="60"/>
      </w:pPr>
      <w:r>
        <w:t>Recovery validation covers business outcomes.</w:t>
      </w:r>
    </w:p>
    <w:p>
      <w:pPr>
        <w:pStyle w:val="ListBullet"/>
        <w:spacing w:after="60"/>
      </w:pPr>
      <w:r>
        <w:t>Actions improve detection, prevention, or recovery.</w:t>
      </w:r>
    </w:p>
    <w:p>
      <w:pPr>
        <w:pStyle w:val="Heading3"/>
      </w:pPr>
      <w:r>
        <w:t>Cleanup</w:t>
      </w:r>
    </w:p>
    <w:p>
      <w:pPr>
        <w:pStyle w:val="ListBullet"/>
        <w:spacing w:after="60"/>
      </w:pPr>
      <w:r>
        <w:t>Remove injected faults and test alerts.</w:t>
      </w:r>
    </w:p>
    <w:p>
      <w:pPr>
        <w:pStyle w:val="ListBullet"/>
        <w:spacing w:after="60"/>
      </w:pPr>
      <w:r>
        <w:t>Archive the incident package and delete synthetic data.</w:t>
      </w:r>
    </w:p>
    <w:p>
      <w:pPr>
        <w:pStyle w:val="Heading2"/>
      </w:pPr>
      <w:r>
        <w:t>Interview Questions and Model Answers</w:t>
      </w:r>
    </w:p>
    <w:p>
      <w:pPr>
        <w:spacing w:after="40"/>
      </w:pPr>
      <w:r>
        <w:rPr>
          <w:b/>
        </w:rPr>
        <w:t>1. Why check what still works?</w:t>
      </w:r>
    </w:p>
    <w:p>
      <w:pPr>
        <w:spacing w:after="120"/>
        <w:ind w:left="216"/>
      </w:pPr>
      <w:r>
        <w:t>It narrows the fault domain faster than studying failures alone.</w:t>
      </w:r>
    </w:p>
    <w:p>
      <w:pPr>
        <w:spacing w:after="40"/>
      </w:pPr>
      <w:r>
        <w:rPr>
          <w:b/>
        </w:rPr>
        <w:t>2. Root cause versus contributing factor?</w:t>
      </w:r>
    </w:p>
    <w:p>
      <w:pPr>
        <w:spacing w:after="120"/>
        <w:ind w:left="216"/>
      </w:pPr>
      <w:r>
        <w:t>Root cause is a primary causal condition; contributing factors increased likelihood or impact.</w:t>
      </w:r>
    </w:p>
    <w:p>
      <w:pPr>
        <w:spacing w:after="40"/>
      </w:pPr>
      <w:r>
        <w:rPr>
          <w:b/>
        </w:rPr>
        <w:t>3. What should an incident commander avoid?</w:t>
      </w:r>
    </w:p>
    <w:p>
      <w:pPr>
        <w:spacing w:after="120"/>
        <w:ind w:left="216"/>
      </w:pPr>
      <w:r>
        <w:t>Becoming the sole troubleshooter and losing coordination, risk, and communication.</w:t>
      </w:r>
    </w:p>
    <w:p>
      <w:pPr>
        <w:spacing w:after="40"/>
      </w:pPr>
      <w:r>
        <w:rPr>
          <w:b/>
        </w:rPr>
        <w:t>4. When is rollback preferable?</w:t>
      </w:r>
    </w:p>
    <w:p>
      <w:pPr>
        <w:spacing w:after="120"/>
        <w:ind w:left="216"/>
      </w:pPr>
      <w:r>
        <w:t>When a recent reversible change strongly correlates with impact and rollback risk is lower than continued diagnosis.</w:t>
      </w:r>
    </w:p>
    <w:p>
      <w:pPr>
        <w:pStyle w:val="Heading2"/>
      </w:pPr>
      <w:r>
        <w:t>Chapter Summary</w:t>
      </w:r>
    </w:p>
    <w:p>
      <w:pPr>
        <w:pStyle w:val="ListBullet"/>
        <w:spacing w:after="60"/>
      </w:pPr>
      <w:r>
        <w:t>Troubleshoot by layers and evidence.</w:t>
      </w:r>
    </w:p>
    <w:p>
      <w:pPr>
        <w:pStyle w:val="ListBullet"/>
        <w:spacing w:after="60"/>
      </w:pPr>
      <w:r>
        <w:t>Use hypotheses and discriminating tests.</w:t>
      </w:r>
    </w:p>
    <w:p>
      <w:pPr>
        <w:pStyle w:val="ListBullet"/>
        <w:spacing w:after="60"/>
      </w:pPr>
      <w:r>
        <w:t>Separate incident coordination from technical diagnosis.</w:t>
      </w:r>
    </w:p>
    <w:p>
      <w:pPr>
        <w:pStyle w:val="ListBullet"/>
        <w:spacing w:after="60"/>
      </w:pPr>
      <w:r>
        <w:t>Validate complete business recovery.</w:t>
      </w:r>
    </w:p>
    <w:p>
      <w:pPr>
        <w:pStyle w:val="Heading1"/>
        <w:pageBreakBefore/>
      </w:pPr>
      <w:r>
        <w:t>Chapter 67 - Architecture Governance, Compliance, and Evidence</w:t>
      </w:r>
    </w:p>
    <w:p>
      <w:pPr>
        <w:spacing w:after="120"/>
      </w:pPr>
      <w:r>
        <w:rPr>
          <w:i/>
          <w:color w:val="505050"/>
        </w:rPr>
        <w:t>Creating scalable guardrails and audit-ready evidence without paralyzing delivery</w:t>
      </w:r>
    </w:p>
    <w:p>
      <w:pPr>
        <w:pStyle w:val="Heading2"/>
      </w:pPr>
      <w:r>
        <w:t>Learning Objectives</w:t>
      </w:r>
    </w:p>
    <w:p>
      <w:pPr>
        <w:pStyle w:val="ListBullet"/>
        <w:spacing w:after="60"/>
      </w:pPr>
      <w:r>
        <w:t>Translate obligations into technical and procedural controls.</w:t>
      </w:r>
    </w:p>
    <w:p>
      <w:pPr>
        <w:pStyle w:val="ListBullet"/>
        <w:spacing w:after="60"/>
      </w:pPr>
      <w:r>
        <w:t>Design policy-as-code, exceptions, attestations, and control ownership.</w:t>
      </w:r>
    </w:p>
    <w:p>
      <w:pPr>
        <w:pStyle w:val="ListBullet"/>
        <w:spacing w:after="60"/>
      </w:pPr>
      <w:r>
        <w:t>Build evidence pipelines from Azure Policy, Activity Log, Defender, Sentinel, pipelines, and resource inventory.</w:t>
      </w:r>
    </w:p>
    <w:p>
      <w:pPr>
        <w:pStyle w:val="ListBullet"/>
        <w:spacing w:after="60"/>
      </w:pPr>
      <w:r>
        <w:t>Operate architecture review boards as risk decision forums.</w:t>
      </w:r>
    </w:p>
    <w:p>
      <w:pPr>
        <w:pStyle w:val="Heading2"/>
      </w:pPr>
      <w:r>
        <w:t>67.1 From Obligation to Control</w:t>
      </w:r>
    </w:p>
    <w:p>
      <w:pPr>
        <w:spacing w:after="120"/>
      </w:pPr>
      <w:r>
        <w:rPr>
          <w:i w:val="0"/>
        </w:rPr>
        <w:t>A control maps a requirement to objective, scope, owner, implementation, evidence, test frequency, exception process, and remediation. Avoid vague statements such as “encryption is enabled.” Specify data states, services, key ownership, rotation, and verification.</w:t>
      </w:r>
    </w:p>
    <w:p>
      <w:pPr>
        <w:pStyle w:val="Heading2"/>
      </w:pPr>
      <w:r>
        <w:t>67.2 Preventive, Detective, and Corrective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Type</w:t>
            </w:r>
          </w:p>
        </w:tc>
        <w:tc>
          <w:tcPr>
            <w:tcW w:type="dxa" w:w="4320"/>
            <w:shd w:fill="0078D4"/>
            <w:tcMar>
              <w:top w:w="80" w:type="dxa"/>
              <w:start w:w="100" w:type="dxa"/>
              <w:bottom w:w="80" w:type="dxa"/>
              <w:end w:w="100" w:type="dxa"/>
            </w:tcMar>
            <w:vAlign w:val="center"/>
          </w:tcPr>
          <w:p>
            <w:pPr>
              <w:jc w:val="center"/>
            </w:pPr>
            <w:r>
              <w:rPr>
                <w:b/>
                <w:color w:val="FFFFFF"/>
                <w:sz w:val="17"/>
              </w:rPr>
              <w:t>Azure Example</w:t>
            </w:r>
          </w:p>
        </w:tc>
        <w:tc>
          <w:tcPr>
            <w:tcW w:type="dxa" w:w="3744"/>
            <w:shd w:fill="0078D4"/>
            <w:tcMar>
              <w:top w:w="80" w:type="dxa"/>
              <w:start w:w="100" w:type="dxa"/>
              <w:bottom w:w="80" w:type="dxa"/>
              <w:end w:w="100" w:type="dxa"/>
            </w:tcMar>
            <w:vAlign w:val="center"/>
          </w:tcPr>
          <w:p>
            <w:pPr>
              <w:jc w:val="center"/>
            </w:pPr>
            <w:r>
              <w:rPr>
                <w:b/>
                <w:color w:val="FFFFFF"/>
                <w:sz w:val="17"/>
              </w:rPr>
              <w:t>Caution</w:t>
            </w:r>
          </w:p>
        </w:tc>
      </w:tr>
      <w:tr>
        <w:trPr>
          <w:cantSplit/>
        </w:trPr>
        <w:tc>
          <w:tcPr>
            <w:tcW w:type="dxa" w:w="2016"/>
            <w:tcMar>
              <w:top w:w="80" w:type="dxa"/>
              <w:start w:w="100" w:type="dxa"/>
              <w:bottom w:w="80" w:type="dxa"/>
              <w:end w:w="100" w:type="dxa"/>
            </w:tcMar>
            <w:vAlign w:val="top"/>
          </w:tcPr>
          <w:p>
            <w:pPr>
              <w:spacing w:after="0"/>
            </w:pPr>
            <w:r>
              <w:rPr>
                <w:sz w:val="17"/>
              </w:rPr>
              <w:t>Preventive</w:t>
            </w:r>
          </w:p>
        </w:tc>
        <w:tc>
          <w:tcPr>
            <w:tcW w:type="dxa" w:w="4320"/>
            <w:tcMar>
              <w:top w:w="80" w:type="dxa"/>
              <w:start w:w="100" w:type="dxa"/>
              <w:bottom w:w="80" w:type="dxa"/>
              <w:end w:w="100" w:type="dxa"/>
            </w:tcMar>
            <w:vAlign w:val="top"/>
          </w:tcPr>
          <w:p>
            <w:pPr>
              <w:spacing w:after="0"/>
            </w:pPr>
            <w:r>
              <w:rPr>
                <w:sz w:val="17"/>
              </w:rPr>
              <w:t>Policy deny, RBAC, PIM, pipeline gate, network control</w:t>
            </w:r>
          </w:p>
        </w:tc>
        <w:tc>
          <w:tcPr>
            <w:tcW w:type="dxa" w:w="3744"/>
            <w:tcMar>
              <w:top w:w="80" w:type="dxa"/>
              <w:start w:w="100" w:type="dxa"/>
              <w:bottom w:w="80" w:type="dxa"/>
              <w:end w:w="100" w:type="dxa"/>
            </w:tcMar>
            <w:vAlign w:val="top"/>
          </w:tcPr>
          <w:p>
            <w:pPr>
              <w:spacing w:after="0"/>
            </w:pPr>
            <w:r>
              <w:rPr>
                <w:sz w:val="17"/>
              </w:rPr>
              <w:t>Can block legitimate recovery or deployment if poorly scoped.</w:t>
            </w:r>
          </w:p>
        </w:tc>
      </w:tr>
      <w:tr>
        <w:trPr>
          <w:cantSplit/>
        </w:trPr>
        <w:tc>
          <w:tcPr>
            <w:tcW w:type="dxa" w:w="2016"/>
            <w:tcMar>
              <w:top w:w="80" w:type="dxa"/>
              <w:start w:w="100" w:type="dxa"/>
              <w:bottom w:w="80" w:type="dxa"/>
              <w:end w:w="100" w:type="dxa"/>
            </w:tcMar>
            <w:vAlign w:val="top"/>
          </w:tcPr>
          <w:p>
            <w:pPr>
              <w:spacing w:after="0"/>
            </w:pPr>
            <w:r>
              <w:rPr>
                <w:sz w:val="17"/>
              </w:rPr>
              <w:t>Detective</w:t>
            </w:r>
          </w:p>
        </w:tc>
        <w:tc>
          <w:tcPr>
            <w:tcW w:type="dxa" w:w="4320"/>
            <w:tcMar>
              <w:top w:w="80" w:type="dxa"/>
              <w:start w:w="100" w:type="dxa"/>
              <w:bottom w:w="80" w:type="dxa"/>
              <w:end w:w="100" w:type="dxa"/>
            </w:tcMar>
            <w:vAlign w:val="top"/>
          </w:tcPr>
          <w:p>
            <w:pPr>
              <w:spacing w:after="0"/>
            </w:pPr>
            <w:r>
              <w:rPr>
                <w:sz w:val="17"/>
              </w:rPr>
              <w:t>Policy audit, Defender recommendation, Sentinel analytic, drift scan</w:t>
            </w:r>
          </w:p>
        </w:tc>
        <w:tc>
          <w:tcPr>
            <w:tcW w:type="dxa" w:w="3744"/>
            <w:tcMar>
              <w:top w:w="80" w:type="dxa"/>
              <w:start w:w="100" w:type="dxa"/>
              <w:bottom w:w="80" w:type="dxa"/>
              <w:end w:w="100" w:type="dxa"/>
            </w:tcMar>
            <w:vAlign w:val="top"/>
          </w:tcPr>
          <w:p>
            <w:pPr>
              <w:spacing w:after="0"/>
            </w:pPr>
            <w:r>
              <w:rPr>
                <w:sz w:val="17"/>
              </w:rPr>
              <w:t>Requires triage ownership and suppression governance.</w:t>
            </w:r>
          </w:p>
        </w:tc>
      </w:tr>
      <w:tr>
        <w:trPr>
          <w:cantSplit/>
        </w:trPr>
        <w:tc>
          <w:tcPr>
            <w:tcW w:type="dxa" w:w="2016"/>
            <w:tcMar>
              <w:top w:w="80" w:type="dxa"/>
              <w:start w:w="100" w:type="dxa"/>
              <w:bottom w:w="80" w:type="dxa"/>
              <w:end w:w="100" w:type="dxa"/>
            </w:tcMar>
            <w:vAlign w:val="top"/>
          </w:tcPr>
          <w:p>
            <w:pPr>
              <w:spacing w:after="0"/>
            </w:pPr>
            <w:r>
              <w:rPr>
                <w:sz w:val="17"/>
              </w:rPr>
              <w:t>Corrective</w:t>
            </w:r>
          </w:p>
        </w:tc>
        <w:tc>
          <w:tcPr>
            <w:tcW w:type="dxa" w:w="4320"/>
            <w:tcMar>
              <w:top w:w="80" w:type="dxa"/>
              <w:start w:w="100" w:type="dxa"/>
              <w:bottom w:w="80" w:type="dxa"/>
              <w:end w:w="100" w:type="dxa"/>
            </w:tcMar>
            <w:vAlign w:val="top"/>
          </w:tcPr>
          <w:p>
            <w:pPr>
              <w:spacing w:after="0"/>
            </w:pPr>
            <w:r>
              <w:rPr>
                <w:sz w:val="17"/>
              </w:rPr>
              <w:t>Policy remediation, automation runbook, pipeline rollback</w:t>
            </w:r>
          </w:p>
        </w:tc>
        <w:tc>
          <w:tcPr>
            <w:tcW w:type="dxa" w:w="3744"/>
            <w:tcMar>
              <w:top w:w="80" w:type="dxa"/>
              <w:start w:w="100" w:type="dxa"/>
              <w:bottom w:w="80" w:type="dxa"/>
              <w:end w:w="100" w:type="dxa"/>
            </w:tcMar>
            <w:vAlign w:val="top"/>
          </w:tcPr>
          <w:p>
            <w:pPr>
              <w:spacing w:after="0"/>
            </w:pPr>
            <w:r>
              <w:rPr>
                <w:sz w:val="17"/>
              </w:rPr>
              <w:t>Automation can amplify mistakes; require safeguards.</w:t>
            </w:r>
          </w:p>
        </w:tc>
      </w:tr>
    </w:tbl>
    <w:p>
      <w:pPr>
        <w:spacing w:after="20"/>
      </w:pPr>
    </w:p>
    <w:p>
      <w:pPr>
        <w:pStyle w:val="Heading2"/>
      </w:pPr>
      <w:r>
        <w:t>67.3 Evidence Engineering</w:t>
      </w:r>
    </w:p>
    <w:p>
      <w:pPr>
        <w:spacing w:after="120"/>
      </w:pPr>
      <w:r>
        <w:rPr>
          <w:i w:val="0"/>
        </w:rPr>
        <w:t>Evidence should be reproducible, time-bound, scoped, immutable where required, and linked to the control. Automate exports and snapshots of policy compliance, role assignments, PIM activity, deployment approvals, vulnerability status, backup/restore tests, incident exercises, and cost governance.</w:t>
      </w:r>
    </w:p>
    <w:p>
      <w:pPr>
        <w:pStyle w:val="Heading2"/>
      </w:pPr>
      <w:r>
        <w:t>67.4 Architecture Review Boards</w:t>
      </w:r>
    </w:p>
    <w:p>
      <w:pPr>
        <w:spacing w:after="120"/>
      </w:pPr>
      <w:r>
        <w:rPr>
          <w:i w:val="0"/>
        </w:rPr>
        <w:t>An ARB should focus on high-consequence exceptions and cross-cutting risk. Standard patterns should be pre-approved through platform products. Record decisions, conditions, expiration, and follow-up evidence.</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Audit evidence is incomplete</w:t>
            </w:r>
          </w:p>
        </w:tc>
        <w:tc>
          <w:tcPr>
            <w:tcW w:type="dxa" w:w="2592"/>
            <w:tcMar>
              <w:top w:w="80" w:type="dxa"/>
              <w:start w:w="100" w:type="dxa"/>
              <w:bottom w:w="80" w:type="dxa"/>
              <w:end w:w="100" w:type="dxa"/>
            </w:tcMar>
            <w:vAlign w:val="top"/>
          </w:tcPr>
          <w:p>
            <w:pPr>
              <w:spacing w:after="0"/>
            </w:pPr>
            <w:r>
              <w:rPr>
                <w:sz w:val="17"/>
              </w:rPr>
              <w:t>Control has no evidence source or retention</w:t>
            </w:r>
          </w:p>
        </w:tc>
        <w:tc>
          <w:tcPr>
            <w:tcW w:type="dxa" w:w="5328"/>
            <w:tcMar>
              <w:top w:w="80" w:type="dxa"/>
              <w:start w:w="100" w:type="dxa"/>
              <w:bottom w:w="80" w:type="dxa"/>
              <w:end w:w="100" w:type="dxa"/>
            </w:tcMar>
            <w:vAlign w:val="top"/>
          </w:tcPr>
          <w:p>
            <w:pPr>
              <w:spacing w:after="0"/>
            </w:pPr>
            <w:r>
              <w:rPr>
                <w:sz w:val="17"/>
              </w:rPr>
              <w:t>Define evidence contract, automate collection, and test retrieval before audit.</w:t>
            </w:r>
          </w:p>
        </w:tc>
      </w:tr>
      <w:tr>
        <w:trPr>
          <w:cantSplit/>
        </w:trPr>
        <w:tc>
          <w:tcPr>
            <w:tcW w:type="dxa" w:w="2160"/>
            <w:tcMar>
              <w:top w:w="80" w:type="dxa"/>
              <w:start w:w="100" w:type="dxa"/>
              <w:bottom w:w="80" w:type="dxa"/>
              <w:end w:w="100" w:type="dxa"/>
            </w:tcMar>
            <w:vAlign w:val="top"/>
          </w:tcPr>
          <w:p>
            <w:pPr>
              <w:spacing w:after="0"/>
            </w:pPr>
            <w:r>
              <w:rPr>
                <w:sz w:val="17"/>
              </w:rPr>
              <w:t>Policy blocks emergency action</w:t>
            </w:r>
          </w:p>
        </w:tc>
        <w:tc>
          <w:tcPr>
            <w:tcW w:type="dxa" w:w="2592"/>
            <w:tcMar>
              <w:top w:w="80" w:type="dxa"/>
              <w:start w:w="100" w:type="dxa"/>
              <w:bottom w:w="80" w:type="dxa"/>
              <w:end w:w="100" w:type="dxa"/>
            </w:tcMar>
            <w:vAlign w:val="top"/>
          </w:tcPr>
          <w:p>
            <w:pPr>
              <w:spacing w:after="0"/>
            </w:pPr>
            <w:r>
              <w:rPr>
                <w:sz w:val="17"/>
              </w:rPr>
              <w:t>No break-glass or exemption process</w:t>
            </w:r>
          </w:p>
        </w:tc>
        <w:tc>
          <w:tcPr>
            <w:tcW w:type="dxa" w:w="5328"/>
            <w:tcMar>
              <w:top w:w="80" w:type="dxa"/>
              <w:start w:w="100" w:type="dxa"/>
              <w:bottom w:w="80" w:type="dxa"/>
              <w:end w:w="100" w:type="dxa"/>
            </w:tcMar>
            <w:vAlign w:val="top"/>
          </w:tcPr>
          <w:p>
            <w:pPr>
              <w:spacing w:after="0"/>
            </w:pPr>
            <w:r>
              <w:rPr>
                <w:sz w:val="17"/>
              </w:rPr>
              <w:t>Use time-bound controlled exception with approval, logging, and retrospective.</w:t>
            </w:r>
          </w:p>
        </w:tc>
      </w:tr>
      <w:tr>
        <w:trPr>
          <w:cantSplit/>
        </w:trPr>
        <w:tc>
          <w:tcPr>
            <w:tcW w:type="dxa" w:w="2160"/>
            <w:tcMar>
              <w:top w:w="80" w:type="dxa"/>
              <w:start w:w="100" w:type="dxa"/>
              <w:bottom w:w="80" w:type="dxa"/>
              <w:end w:w="100" w:type="dxa"/>
            </w:tcMar>
            <w:vAlign w:val="top"/>
          </w:tcPr>
          <w:p>
            <w:pPr>
              <w:spacing w:after="0"/>
            </w:pPr>
            <w:r>
              <w:rPr>
                <w:sz w:val="17"/>
              </w:rPr>
              <w:t>Exceptions never expire</w:t>
            </w:r>
          </w:p>
        </w:tc>
        <w:tc>
          <w:tcPr>
            <w:tcW w:type="dxa" w:w="2592"/>
            <w:tcMar>
              <w:top w:w="80" w:type="dxa"/>
              <w:start w:w="100" w:type="dxa"/>
              <w:bottom w:w="80" w:type="dxa"/>
              <w:end w:w="100" w:type="dxa"/>
            </w:tcMar>
            <w:vAlign w:val="top"/>
          </w:tcPr>
          <w:p>
            <w:pPr>
              <w:spacing w:after="0"/>
            </w:pPr>
            <w:r>
              <w:rPr>
                <w:sz w:val="17"/>
              </w:rPr>
              <w:t>No owner or review automation</w:t>
            </w:r>
          </w:p>
        </w:tc>
        <w:tc>
          <w:tcPr>
            <w:tcW w:type="dxa" w:w="5328"/>
            <w:tcMar>
              <w:top w:w="80" w:type="dxa"/>
              <w:start w:w="100" w:type="dxa"/>
              <w:bottom w:w="80" w:type="dxa"/>
              <w:end w:w="100" w:type="dxa"/>
            </w:tcMar>
            <w:vAlign w:val="top"/>
          </w:tcPr>
          <w:p>
            <w:pPr>
              <w:spacing w:after="0"/>
            </w:pPr>
            <w:r>
              <w:rPr>
                <w:sz w:val="17"/>
              </w:rPr>
              <w:t>Require expiry, owner, compensating control, and alerts before expiration.</w:t>
            </w:r>
          </w:p>
        </w:tc>
      </w:tr>
    </w:tbl>
    <w:p>
      <w:pPr>
        <w:spacing w:after="20"/>
      </w:pPr>
    </w:p>
    <w:p>
      <w:pPr>
        <w:pStyle w:val="Heading2"/>
      </w:pPr>
      <w:r>
        <w:t>Hands-on Lab 67: Create an Audit-Ready Control Evidence Pack</w:t>
      </w:r>
    </w:p>
    <w:p>
      <w:pPr>
        <w:pStyle w:val="Heading3"/>
      </w:pPr>
      <w:r>
        <w:t>Prerequisites</w:t>
      </w:r>
    </w:p>
    <w:p>
      <w:pPr>
        <w:pStyle w:val="ListBullet"/>
        <w:spacing w:after="60"/>
      </w:pPr>
      <w:r>
        <w:t>A sandbox management group/subscription with policy, Defender, Activity Log, and pipeline data.</w:t>
      </w:r>
    </w:p>
    <w:p>
      <w:pPr>
        <w:pStyle w:val="Heading3"/>
      </w:pPr>
      <w:r>
        <w:t>Implementation</w:t>
      </w:r>
    </w:p>
    <w:p>
      <w:pPr>
        <w:spacing w:after="60"/>
        <w:ind w:left="360" w:hanging="259"/>
      </w:pPr>
      <w:r>
        <w:rPr>
          <w:b/>
        </w:rPr>
        <w:t xml:space="preserve">1. </w:t>
      </w:r>
      <w:r>
        <w:t>Select five controls covering identity, network, encryption, deployment, and recovery.</w:t>
      </w:r>
    </w:p>
    <w:p>
      <w:pPr>
        <w:spacing w:after="60"/>
        <w:ind w:left="360" w:hanging="259"/>
      </w:pPr>
      <w:r>
        <w:rPr>
          <w:b/>
        </w:rPr>
        <w:t xml:space="preserve">2. </w:t>
      </w:r>
      <w:r>
        <w:t>Document objective, owner, implementation, evidence, frequency, and exception process.</w:t>
      </w:r>
    </w:p>
    <w:p>
      <w:pPr>
        <w:spacing w:after="60"/>
        <w:ind w:left="360" w:hanging="259"/>
      </w:pPr>
      <w:r>
        <w:rPr>
          <w:b/>
        </w:rPr>
        <w:t xml:space="preserve">3. </w:t>
      </w:r>
      <w:r>
        <w:t>Automate or script evidence export.</w:t>
      </w:r>
    </w:p>
    <w:p>
      <w:pPr>
        <w:spacing w:after="60"/>
        <w:ind w:left="360" w:hanging="259"/>
      </w:pPr>
      <w:r>
        <w:rPr>
          <w:b/>
        </w:rPr>
        <w:t xml:space="preserve">4. </w:t>
      </w:r>
      <w:r>
        <w:t>Create a time-bound policy exemption and capture approval plus expiry.</w:t>
      </w:r>
    </w:p>
    <w:p>
      <w:pPr>
        <w:spacing w:after="60"/>
        <w:ind w:left="360" w:hanging="259"/>
      </w:pPr>
      <w:r>
        <w:rPr>
          <w:b/>
        </w:rPr>
        <w:t xml:space="preserve">5. </w:t>
      </w:r>
      <w:r>
        <w:t>Run a restore or security-control test and attach results.</w:t>
      </w:r>
    </w:p>
    <w:p>
      <w:pPr>
        <w:spacing w:after="60"/>
        <w:ind w:left="360" w:hanging="259"/>
      </w:pPr>
      <w:r>
        <w:rPr>
          <w:b/>
        </w:rPr>
        <w:t xml:space="preserve">6. </w:t>
      </w:r>
      <w:r>
        <w:t>Conduct a mock auditor walkthrough using only the evidence pack.</w:t>
      </w:r>
    </w:p>
    <w:p>
      <w:pPr>
        <w:pStyle w:val="Heading3"/>
      </w:pPr>
      <w:r>
        <w:t>Validation Evidence</w:t>
      </w:r>
    </w:p>
    <w:p>
      <w:pPr>
        <w:pStyle w:val="ListBullet"/>
        <w:spacing w:after="60"/>
      </w:pPr>
      <w:r>
        <w:t>Another reviewer can reproduce evidence.</w:t>
      </w:r>
    </w:p>
    <w:p>
      <w:pPr>
        <w:pStyle w:val="ListBullet"/>
        <w:spacing w:after="60"/>
      </w:pPr>
      <w:r>
        <w:t>Scope and time period are explicit.</w:t>
      </w:r>
    </w:p>
    <w:p>
      <w:pPr>
        <w:pStyle w:val="ListBullet"/>
        <w:spacing w:after="60"/>
      </w:pPr>
      <w:r>
        <w:t>Exceptions have compensating controls and expiry.</w:t>
      </w:r>
    </w:p>
    <w:p>
      <w:pPr>
        <w:pStyle w:val="ListBullet"/>
        <w:spacing w:after="60"/>
      </w:pPr>
      <w:r>
        <w:t>Evidence does not expose secrets or unnecessary personal data.</w:t>
      </w:r>
    </w:p>
    <w:p>
      <w:pPr>
        <w:pStyle w:val="Heading3"/>
      </w:pPr>
      <w:r>
        <w:t>Cleanup</w:t>
      </w:r>
    </w:p>
    <w:p>
      <w:pPr>
        <w:pStyle w:val="ListBullet"/>
        <w:spacing w:after="60"/>
      </w:pPr>
      <w:r>
        <w:t>Delete test exemptions and temporary exports.</w:t>
      </w:r>
    </w:p>
    <w:p>
      <w:pPr>
        <w:pStyle w:val="ListBullet"/>
        <w:spacing w:after="60"/>
      </w:pPr>
      <w:r>
        <w:t>Retain only approved sanitized evidence.</w:t>
      </w:r>
    </w:p>
    <w:p>
      <w:pPr>
        <w:pStyle w:val="Heading2"/>
      </w:pPr>
      <w:r>
        <w:t>Interview Questions and Model Answers</w:t>
      </w:r>
    </w:p>
    <w:p>
      <w:pPr>
        <w:spacing w:after="40"/>
      </w:pPr>
      <w:r>
        <w:rPr>
          <w:b/>
        </w:rPr>
        <w:t>1. Policy versus standard?</w:t>
      </w:r>
    </w:p>
    <w:p>
      <w:pPr>
        <w:spacing w:after="120"/>
        <w:ind w:left="216"/>
      </w:pPr>
      <w:r>
        <w:t>Policy states mandatory intent; standards define required implementation; procedures describe execution.</w:t>
      </w:r>
    </w:p>
    <w:p>
      <w:pPr>
        <w:spacing w:after="40"/>
      </w:pPr>
      <w:r>
        <w:rPr>
          <w:b/>
        </w:rPr>
        <w:t>2. What makes evidence strong?</w:t>
      </w:r>
    </w:p>
    <w:p>
      <w:pPr>
        <w:spacing w:after="120"/>
        <w:ind w:left="216"/>
      </w:pPr>
      <w:r>
        <w:t>It is scoped, attributable, time-bound, reproducible, tamper resistant, and directly tied to a control.</w:t>
      </w:r>
    </w:p>
    <w:p>
      <w:pPr>
        <w:spacing w:after="40"/>
      </w:pPr>
      <w:r>
        <w:rPr>
          <w:b/>
        </w:rPr>
        <w:t>3. Why pre-approve standard patterns?</w:t>
      </w:r>
    </w:p>
    <w:p>
      <w:pPr>
        <w:spacing w:after="120"/>
        <w:ind w:left="216"/>
      </w:pPr>
      <w:r>
        <w:t>It reserves governance effort for meaningful risk rather than repeating reviews.</w:t>
      </w:r>
    </w:p>
    <w:p>
      <w:pPr>
        <w:spacing w:after="40"/>
      </w:pPr>
      <w:r>
        <w:rPr>
          <w:b/>
        </w:rPr>
        <w:t>4. What is a compensating control?</w:t>
      </w:r>
    </w:p>
    <w:p>
      <w:pPr>
        <w:spacing w:after="120"/>
        <w:ind w:left="216"/>
      </w:pPr>
      <w:r>
        <w:t>An alternative measure that reduces risk when the primary control cannot be implemented.</w:t>
      </w:r>
    </w:p>
    <w:p>
      <w:pPr>
        <w:pStyle w:val="Heading2"/>
      </w:pPr>
      <w:r>
        <w:t>Chapter Summary</w:t>
      </w:r>
    </w:p>
    <w:p>
      <w:pPr>
        <w:pStyle w:val="ListBullet"/>
        <w:spacing w:after="60"/>
      </w:pPr>
      <w:r>
        <w:t>Translate obligations into testable controls.</w:t>
      </w:r>
    </w:p>
    <w:p>
      <w:pPr>
        <w:pStyle w:val="ListBullet"/>
        <w:spacing w:after="60"/>
      </w:pPr>
      <w:r>
        <w:t>Automate evidence and validate retrieval.</w:t>
      </w:r>
    </w:p>
    <w:p>
      <w:pPr>
        <w:pStyle w:val="ListBullet"/>
        <w:spacing w:after="60"/>
      </w:pPr>
      <w:r>
        <w:t>Use expiring governed exceptions.</w:t>
      </w:r>
    </w:p>
    <w:p>
      <w:pPr>
        <w:pStyle w:val="ListBullet"/>
        <w:spacing w:after="60"/>
      </w:pPr>
      <w:r>
        <w:t>Focus review boards on consequential risk.</w:t>
      </w:r>
    </w:p>
    <w:p>
      <w:pPr>
        <w:pStyle w:val="Heading1"/>
        <w:pageBreakBefore/>
      </w:pPr>
      <w:r>
        <w:t>Chapter 68 - Azure Certification Mastery</w:t>
      </w:r>
    </w:p>
    <w:p>
      <w:pPr>
        <w:spacing w:after="120"/>
      </w:pPr>
      <w:r>
        <w:rPr>
          <w:i/>
          <w:color w:val="505050"/>
        </w:rPr>
        <w:t>Building role-based exam readiness through hands-on engineering, official objectives, and evidence-backed study</w:t>
      </w:r>
    </w:p>
    <w:p>
      <w:pPr>
        <w:pStyle w:val="Heading2"/>
      </w:pPr>
      <w:r>
        <w:t>Learning Objectives</w:t>
      </w:r>
    </w:p>
    <w:p>
      <w:pPr>
        <w:pStyle w:val="ListBullet"/>
        <w:spacing w:after="60"/>
      </w:pPr>
      <w:r>
        <w:t>Select certifications aligned to job outcomes rather than collecting badges.</w:t>
      </w:r>
    </w:p>
    <w:p>
      <w:pPr>
        <w:pStyle w:val="ListBullet"/>
        <w:spacing w:after="60"/>
      </w:pPr>
      <w:r>
        <w:t>Use official skills measured, learning paths, labs, and practice assessments.</w:t>
      </w:r>
    </w:p>
    <w:p>
      <w:pPr>
        <w:pStyle w:val="ListBullet"/>
        <w:spacing w:after="60"/>
      </w:pPr>
      <w:r>
        <w:t>Create a gap-based study plan for Azure administration, architecture, DevOps, security, and networking.</w:t>
      </w:r>
    </w:p>
    <w:p>
      <w:pPr>
        <w:pStyle w:val="ListBullet"/>
        <w:spacing w:after="60"/>
      </w:pPr>
      <w:r>
        <w:t>Avoid memorization without operational understanding.</w:t>
      </w:r>
    </w:p>
    <w:p>
      <w:pPr>
        <w:pStyle w:val="Heading2"/>
      </w:pPr>
      <w:r>
        <w:t>68.1 Role-Based Certification Paths</w:t>
      </w:r>
    </w:p>
    <w:p>
      <w:pPr>
        <w:spacing w:after="120"/>
      </w:pPr>
      <w:r>
        <w:rPr>
          <w:i w:val="0"/>
        </w:rPr>
        <w:t>Common Azure-focused paths include Azure Administrator (AZ-104), Azure Solutions Architect design (AZ-305), DevOps solutions (AZ-400), security engineering (AZ-500), and Azure networking (AZ-700). Certification requirements and exams can change; always verify the current official Microsoft Learn page before scheduling.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Goal</w:t>
            </w:r>
          </w:p>
        </w:tc>
        <w:tc>
          <w:tcPr>
            <w:tcW w:type="dxa" w:w="3744"/>
            <w:shd w:fill="0078D4"/>
            <w:tcMar>
              <w:top w:w="80" w:type="dxa"/>
              <w:start w:w="100" w:type="dxa"/>
              <w:bottom w:w="80" w:type="dxa"/>
              <w:end w:w="100" w:type="dxa"/>
            </w:tcMar>
            <w:vAlign w:val="center"/>
          </w:tcPr>
          <w:p>
            <w:pPr>
              <w:jc w:val="center"/>
            </w:pPr>
            <w:r>
              <w:rPr>
                <w:b/>
                <w:color w:val="FFFFFF"/>
                <w:sz w:val="17"/>
              </w:rPr>
              <w:t>Useful Exam Focus</w:t>
            </w:r>
          </w:p>
        </w:tc>
        <w:tc>
          <w:tcPr>
            <w:tcW w:type="dxa" w:w="4032"/>
            <w:shd w:fill="0078D4"/>
            <w:tcMar>
              <w:top w:w="80" w:type="dxa"/>
              <w:start w:w="100" w:type="dxa"/>
              <w:bottom w:w="80" w:type="dxa"/>
              <w:end w:w="100" w:type="dxa"/>
            </w:tcMar>
            <w:vAlign w:val="center"/>
          </w:tcPr>
          <w:p>
            <w:pPr>
              <w:jc w:val="center"/>
            </w:pPr>
            <w:r>
              <w:rPr>
                <w:b/>
                <w:color w:val="FFFFFF"/>
                <w:sz w:val="17"/>
              </w:rPr>
              <w:t>Practical Evidence</w:t>
            </w:r>
          </w:p>
        </w:tc>
      </w:tr>
      <w:tr>
        <w:trPr>
          <w:cantSplit/>
        </w:trPr>
        <w:tc>
          <w:tcPr>
            <w:tcW w:type="dxa" w:w="2304"/>
            <w:tcMar>
              <w:top w:w="80" w:type="dxa"/>
              <w:start w:w="100" w:type="dxa"/>
              <w:bottom w:w="80" w:type="dxa"/>
              <w:end w:w="100" w:type="dxa"/>
            </w:tcMar>
            <w:vAlign w:val="top"/>
          </w:tcPr>
          <w:p>
            <w:pPr>
              <w:spacing w:after="0"/>
            </w:pPr>
            <w:r>
              <w:rPr>
                <w:sz w:val="17"/>
              </w:rPr>
              <w:t>Azure operations</w:t>
            </w:r>
          </w:p>
        </w:tc>
        <w:tc>
          <w:tcPr>
            <w:tcW w:type="dxa" w:w="3744"/>
            <w:tcMar>
              <w:top w:w="80" w:type="dxa"/>
              <w:start w:w="100" w:type="dxa"/>
              <w:bottom w:w="80" w:type="dxa"/>
              <w:end w:w="100" w:type="dxa"/>
            </w:tcMar>
            <w:vAlign w:val="top"/>
          </w:tcPr>
          <w:p>
            <w:pPr>
              <w:spacing w:after="0"/>
            </w:pPr>
            <w:r>
              <w:rPr>
                <w:sz w:val="17"/>
              </w:rPr>
              <w:t>AZ-104</w:t>
            </w:r>
          </w:p>
        </w:tc>
        <w:tc>
          <w:tcPr>
            <w:tcW w:type="dxa" w:w="4032"/>
            <w:tcMar>
              <w:top w:w="80" w:type="dxa"/>
              <w:start w:w="100" w:type="dxa"/>
              <w:bottom w:w="80" w:type="dxa"/>
              <w:end w:w="100" w:type="dxa"/>
            </w:tcMar>
            <w:vAlign w:val="top"/>
          </w:tcPr>
          <w:p>
            <w:pPr>
              <w:spacing w:after="0"/>
            </w:pPr>
            <w:r>
              <w:rPr>
                <w:sz w:val="17"/>
              </w:rPr>
              <w:t>Identity, compute, network, storage, monitoring, backup labs.</w:t>
            </w:r>
          </w:p>
        </w:tc>
      </w:tr>
      <w:tr>
        <w:trPr>
          <w:cantSplit/>
        </w:trPr>
        <w:tc>
          <w:tcPr>
            <w:tcW w:type="dxa" w:w="2304"/>
            <w:tcMar>
              <w:top w:w="80" w:type="dxa"/>
              <w:start w:w="100" w:type="dxa"/>
              <w:bottom w:w="80" w:type="dxa"/>
              <w:end w:w="100" w:type="dxa"/>
            </w:tcMar>
            <w:vAlign w:val="top"/>
          </w:tcPr>
          <w:p>
            <w:pPr>
              <w:spacing w:after="0"/>
            </w:pPr>
            <w:r>
              <w:rPr>
                <w:sz w:val="17"/>
              </w:rPr>
              <w:t>Architecture</w:t>
            </w:r>
          </w:p>
        </w:tc>
        <w:tc>
          <w:tcPr>
            <w:tcW w:type="dxa" w:w="3744"/>
            <w:tcMar>
              <w:top w:w="80" w:type="dxa"/>
              <w:start w:w="100" w:type="dxa"/>
              <w:bottom w:w="80" w:type="dxa"/>
              <w:end w:w="100" w:type="dxa"/>
            </w:tcMar>
            <w:vAlign w:val="top"/>
          </w:tcPr>
          <w:p>
            <w:pPr>
              <w:spacing w:after="0"/>
            </w:pPr>
            <w:r>
              <w:rPr>
                <w:sz w:val="17"/>
              </w:rPr>
              <w:t>AZ-305 plus required certification path</w:t>
            </w:r>
          </w:p>
        </w:tc>
        <w:tc>
          <w:tcPr>
            <w:tcW w:type="dxa" w:w="4032"/>
            <w:tcMar>
              <w:top w:w="80" w:type="dxa"/>
              <w:start w:w="100" w:type="dxa"/>
              <w:bottom w:w="80" w:type="dxa"/>
              <w:end w:w="100" w:type="dxa"/>
            </w:tcMar>
            <w:vAlign w:val="top"/>
          </w:tcPr>
          <w:p>
            <w:pPr>
              <w:spacing w:after="0"/>
            </w:pPr>
            <w:r>
              <w:rPr>
                <w:sz w:val="17"/>
              </w:rPr>
              <w:t>ADRs, trade-offs, continuity, governance, cost designs.</w:t>
            </w:r>
          </w:p>
        </w:tc>
      </w:tr>
      <w:tr>
        <w:trPr>
          <w:cantSplit/>
        </w:trPr>
        <w:tc>
          <w:tcPr>
            <w:tcW w:type="dxa" w:w="2304"/>
            <w:tcMar>
              <w:top w:w="80" w:type="dxa"/>
              <w:start w:w="100" w:type="dxa"/>
              <w:bottom w:w="80" w:type="dxa"/>
              <w:end w:w="100" w:type="dxa"/>
            </w:tcMar>
            <w:vAlign w:val="top"/>
          </w:tcPr>
          <w:p>
            <w:pPr>
              <w:spacing w:after="0"/>
            </w:pPr>
            <w:r>
              <w:rPr>
                <w:sz w:val="17"/>
              </w:rPr>
              <w:t>DevOps</w:t>
            </w:r>
          </w:p>
        </w:tc>
        <w:tc>
          <w:tcPr>
            <w:tcW w:type="dxa" w:w="3744"/>
            <w:tcMar>
              <w:top w:w="80" w:type="dxa"/>
              <w:start w:w="100" w:type="dxa"/>
              <w:bottom w:w="80" w:type="dxa"/>
              <w:end w:w="100" w:type="dxa"/>
            </w:tcMar>
            <w:vAlign w:val="top"/>
          </w:tcPr>
          <w:p>
            <w:pPr>
              <w:spacing w:after="0"/>
            </w:pPr>
            <w:r>
              <w:rPr>
                <w:sz w:val="17"/>
              </w:rPr>
              <w:t>AZ-400 plus required prerequisite path</w:t>
            </w:r>
          </w:p>
        </w:tc>
        <w:tc>
          <w:tcPr>
            <w:tcW w:type="dxa" w:w="4032"/>
            <w:tcMar>
              <w:top w:w="80" w:type="dxa"/>
              <w:start w:w="100" w:type="dxa"/>
              <w:bottom w:w="80" w:type="dxa"/>
              <w:end w:w="100" w:type="dxa"/>
            </w:tcMar>
            <w:vAlign w:val="top"/>
          </w:tcPr>
          <w:p>
            <w:pPr>
              <w:spacing w:after="0"/>
            </w:pPr>
            <w:r>
              <w:rPr>
                <w:sz w:val="17"/>
              </w:rPr>
              <w:t>Repos, pipelines, IaC, security, observability, feedback.</w:t>
            </w:r>
          </w:p>
        </w:tc>
      </w:tr>
      <w:tr>
        <w:trPr>
          <w:cantSplit/>
        </w:trPr>
        <w:tc>
          <w:tcPr>
            <w:tcW w:type="dxa" w:w="2304"/>
            <w:tcMar>
              <w:top w:w="80" w:type="dxa"/>
              <w:start w:w="100" w:type="dxa"/>
              <w:bottom w:w="80" w:type="dxa"/>
              <w:end w:w="100" w:type="dxa"/>
            </w:tcMar>
            <w:vAlign w:val="top"/>
          </w:tcPr>
          <w:p>
            <w:pPr>
              <w:spacing w:after="0"/>
            </w:pPr>
            <w:r>
              <w:rPr>
                <w:sz w:val="17"/>
              </w:rPr>
              <w:t>Security / network depth</w:t>
            </w:r>
          </w:p>
        </w:tc>
        <w:tc>
          <w:tcPr>
            <w:tcW w:type="dxa" w:w="3744"/>
            <w:tcMar>
              <w:top w:w="80" w:type="dxa"/>
              <w:start w:w="100" w:type="dxa"/>
              <w:bottom w:w="80" w:type="dxa"/>
              <w:end w:w="100" w:type="dxa"/>
            </w:tcMar>
            <w:vAlign w:val="top"/>
          </w:tcPr>
          <w:p>
            <w:pPr>
              <w:spacing w:after="0"/>
            </w:pPr>
            <w:r>
              <w:rPr>
                <w:sz w:val="17"/>
              </w:rPr>
              <w:t>AZ-500 / AZ-700</w:t>
            </w:r>
          </w:p>
        </w:tc>
        <w:tc>
          <w:tcPr>
            <w:tcW w:type="dxa" w:w="4032"/>
            <w:tcMar>
              <w:top w:w="80" w:type="dxa"/>
              <w:start w:w="100" w:type="dxa"/>
              <w:bottom w:w="80" w:type="dxa"/>
              <w:end w:w="100" w:type="dxa"/>
            </w:tcMar>
            <w:vAlign w:val="top"/>
          </w:tcPr>
          <w:p>
            <w:pPr>
              <w:spacing w:after="0"/>
            </w:pPr>
            <w:r>
              <w:rPr>
                <w:sz w:val="17"/>
              </w:rPr>
              <w:t>Defender, Sentinel, Key Vault, firewall, private access, hybrid network.</w:t>
            </w:r>
          </w:p>
        </w:tc>
      </w:tr>
    </w:tbl>
    <w:p>
      <w:pPr>
        <w:spacing w:after="20"/>
      </w:pPr>
    </w:p>
    <w:p>
      <w:pPr>
        <w:pStyle w:val="Heading2"/>
      </w:pPr>
      <w:r>
        <w:t>68.2 Gap-Based Study Method</w:t>
      </w:r>
    </w:p>
    <w:p>
      <w:pPr>
        <w:spacing w:after="120"/>
      </w:pPr>
      <w:r>
        <w:rPr>
          <w:i w:val="0"/>
        </w:rPr>
        <w:t>Start with the official study guide and skills measured. Rate each domain: explain, configure, troubleshoot, and design. Build labs that force evidence and failure diagnosis. Use spaced repetition for terminology and limits, but spend most time on architecture and operations.</w:t>
      </w:r>
    </w:p>
    <w:p>
      <w:pPr>
        <w:pStyle w:val="Heading2"/>
      </w:pPr>
      <w:r>
        <w:t>68.3 Exam Technique</w:t>
      </w:r>
    </w:p>
    <w:p>
      <w:pPr>
        <w:spacing w:after="120"/>
      </w:pPr>
      <w:r>
        <w:rPr>
          <w:i w:val="0"/>
        </w:rPr>
        <w:t>Read the requirement before the scenario detail. Identify constraints, scope, identity, region, availability, recovery, cost, and management overhead. Eliminate answers that violate explicit constraints. Mark uncertain questions and protect time.</w:t>
      </w:r>
    </w:p>
    <w:p>
      <w:pPr>
        <w:pStyle w:val="Heading2"/>
      </w:pPr>
      <w:r>
        <w:t>68.4 Portfolio and Career Integration</w:t>
      </w:r>
    </w:p>
    <w:p>
      <w:pPr>
        <w:spacing w:after="120"/>
      </w:pPr>
      <w:r>
        <w:rPr>
          <w:i w:val="0"/>
        </w:rPr>
        <w:t>Convert labs into sanitized portfolio artifacts: diagram, README, ADR, IaC, pipeline, validation, troubleshooting, cost, and cleanup. Certification proves structured knowledge; portfolio evidence demonstrates applied engineering.</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Practice scores do not improve</w:t>
            </w:r>
          </w:p>
        </w:tc>
        <w:tc>
          <w:tcPr>
            <w:tcW w:type="dxa" w:w="2592"/>
            <w:tcMar>
              <w:top w:w="80" w:type="dxa"/>
              <w:start w:w="100" w:type="dxa"/>
              <w:bottom w:w="80" w:type="dxa"/>
              <w:end w:w="100" w:type="dxa"/>
            </w:tcMar>
            <w:vAlign w:val="top"/>
          </w:tcPr>
          <w:p>
            <w:pPr>
              <w:spacing w:after="0"/>
            </w:pPr>
            <w:r>
              <w:rPr>
                <w:sz w:val="17"/>
              </w:rPr>
              <w:t>Reviewing answers rather than closing skill gaps</w:t>
            </w:r>
          </w:p>
        </w:tc>
        <w:tc>
          <w:tcPr>
            <w:tcW w:type="dxa" w:w="5328"/>
            <w:tcMar>
              <w:top w:w="80" w:type="dxa"/>
              <w:start w:w="100" w:type="dxa"/>
              <w:bottom w:w="80" w:type="dxa"/>
              <w:end w:w="100" w:type="dxa"/>
            </w:tcMar>
            <w:vAlign w:val="top"/>
          </w:tcPr>
          <w:p>
            <w:pPr>
              <w:spacing w:after="0"/>
            </w:pPr>
            <w:r>
              <w:rPr>
                <w:sz w:val="17"/>
              </w:rPr>
              <w:t>Map each error to objective, build a lab, and explain the concept without notes.</w:t>
            </w:r>
          </w:p>
        </w:tc>
      </w:tr>
      <w:tr>
        <w:trPr>
          <w:cantSplit/>
        </w:trPr>
        <w:tc>
          <w:tcPr>
            <w:tcW w:type="dxa" w:w="2160"/>
            <w:tcMar>
              <w:top w:w="80" w:type="dxa"/>
              <w:start w:w="100" w:type="dxa"/>
              <w:bottom w:w="80" w:type="dxa"/>
              <w:end w:w="100" w:type="dxa"/>
            </w:tcMar>
            <w:vAlign w:val="top"/>
          </w:tcPr>
          <w:p>
            <w:pPr>
              <w:spacing w:after="0"/>
            </w:pPr>
            <w:r>
              <w:rPr>
                <w:sz w:val="17"/>
              </w:rPr>
              <w:t>Labs work but design questions fail</w:t>
            </w:r>
          </w:p>
        </w:tc>
        <w:tc>
          <w:tcPr>
            <w:tcW w:type="dxa" w:w="2592"/>
            <w:tcMar>
              <w:top w:w="80" w:type="dxa"/>
              <w:start w:w="100" w:type="dxa"/>
              <w:bottom w:w="80" w:type="dxa"/>
              <w:end w:w="100" w:type="dxa"/>
            </w:tcMar>
            <w:vAlign w:val="top"/>
          </w:tcPr>
          <w:p>
            <w:pPr>
              <w:spacing w:after="0"/>
            </w:pPr>
            <w:r>
              <w:rPr>
                <w:sz w:val="17"/>
              </w:rPr>
              <w:t>Command-focused study without trade-offs</w:t>
            </w:r>
          </w:p>
        </w:tc>
        <w:tc>
          <w:tcPr>
            <w:tcW w:type="dxa" w:w="5328"/>
            <w:tcMar>
              <w:top w:w="80" w:type="dxa"/>
              <w:start w:w="100" w:type="dxa"/>
              <w:bottom w:w="80" w:type="dxa"/>
              <w:end w:w="100" w:type="dxa"/>
            </w:tcMar>
            <w:vAlign w:val="top"/>
          </w:tcPr>
          <w:p>
            <w:pPr>
              <w:spacing w:after="0"/>
            </w:pPr>
            <w:r>
              <w:rPr>
                <w:sz w:val="17"/>
              </w:rPr>
              <w:t>Practice scenario decomposition, constraints, and decision records.</w:t>
            </w:r>
          </w:p>
        </w:tc>
      </w:tr>
      <w:tr>
        <w:trPr>
          <w:cantSplit/>
        </w:trPr>
        <w:tc>
          <w:tcPr>
            <w:tcW w:type="dxa" w:w="2160"/>
            <w:tcMar>
              <w:top w:w="80" w:type="dxa"/>
              <w:start w:w="100" w:type="dxa"/>
              <w:bottom w:w="80" w:type="dxa"/>
              <w:end w:w="100" w:type="dxa"/>
            </w:tcMar>
            <w:vAlign w:val="top"/>
          </w:tcPr>
          <w:p>
            <w:pPr>
              <w:spacing w:after="0"/>
            </w:pPr>
            <w:r>
              <w:rPr>
                <w:sz w:val="17"/>
              </w:rPr>
              <w:t>Exam plan becomes outdated</w:t>
            </w:r>
          </w:p>
        </w:tc>
        <w:tc>
          <w:tcPr>
            <w:tcW w:type="dxa" w:w="2592"/>
            <w:tcMar>
              <w:top w:w="80" w:type="dxa"/>
              <w:start w:w="100" w:type="dxa"/>
              <w:bottom w:w="80" w:type="dxa"/>
              <w:end w:w="100" w:type="dxa"/>
            </w:tcMar>
            <w:vAlign w:val="top"/>
          </w:tcPr>
          <w:p>
            <w:pPr>
              <w:spacing w:after="0"/>
            </w:pPr>
            <w:r>
              <w:rPr>
                <w:sz w:val="17"/>
              </w:rPr>
              <w:t>Using unofficial old objectives</w:t>
            </w:r>
          </w:p>
        </w:tc>
        <w:tc>
          <w:tcPr>
            <w:tcW w:type="dxa" w:w="5328"/>
            <w:tcMar>
              <w:top w:w="80" w:type="dxa"/>
              <w:start w:w="100" w:type="dxa"/>
              <w:bottom w:w="80" w:type="dxa"/>
              <w:end w:w="100" w:type="dxa"/>
            </w:tcMar>
            <w:vAlign w:val="top"/>
          </w:tcPr>
          <w:p>
            <w:pPr>
              <w:spacing w:after="0"/>
            </w:pPr>
            <w:r>
              <w:rPr>
                <w:sz w:val="17"/>
              </w:rPr>
              <w:t>Check current official certification and exam pages regularly.</w:t>
            </w:r>
          </w:p>
        </w:tc>
      </w:tr>
    </w:tbl>
    <w:p>
      <w:pPr>
        <w:spacing w:after="20"/>
      </w:pPr>
    </w:p>
    <w:p>
      <w:pPr>
        <w:pStyle w:val="Heading2"/>
      </w:pPr>
      <w:r>
        <w:t>Hands-on Lab 68: Create a 90-Day Azure Certification Plan</w:t>
      </w:r>
    </w:p>
    <w:p>
      <w:pPr>
        <w:pStyle w:val="Heading3"/>
      </w:pPr>
      <w:r>
        <w:t>Prerequisites</w:t>
      </w:r>
    </w:p>
    <w:p>
      <w:pPr>
        <w:pStyle w:val="ListBullet"/>
        <w:spacing w:after="60"/>
      </w:pPr>
      <w:r>
        <w:t>Official Microsoft Learn exam pages and the completed Volume 7 labs.</w:t>
      </w:r>
    </w:p>
    <w:p>
      <w:pPr>
        <w:pStyle w:val="Heading3"/>
      </w:pPr>
      <w:r>
        <w:t>Implementation</w:t>
      </w:r>
    </w:p>
    <w:p>
      <w:pPr>
        <w:spacing w:after="60"/>
        <w:ind w:left="360" w:hanging="259"/>
      </w:pPr>
      <w:r>
        <w:rPr>
          <w:b/>
        </w:rPr>
        <w:t xml:space="preserve">1. </w:t>
      </w:r>
      <w:r>
        <w:t>Choose one role outcome and target exam.</w:t>
      </w:r>
    </w:p>
    <w:p>
      <w:pPr>
        <w:spacing w:after="60"/>
        <w:ind w:left="360" w:hanging="259"/>
      </w:pPr>
      <w:r>
        <w:rPr>
          <w:b/>
        </w:rPr>
        <w:t xml:space="preserve">2. </w:t>
      </w:r>
      <w:r>
        <w:t>Copy the current skills measured into a tracking matrix.</w:t>
      </w:r>
    </w:p>
    <w:p>
      <w:pPr>
        <w:spacing w:after="60"/>
        <w:ind w:left="360" w:hanging="259"/>
      </w:pPr>
      <w:r>
        <w:rPr>
          <w:b/>
        </w:rPr>
        <w:t xml:space="preserve">3. </w:t>
      </w:r>
      <w:r>
        <w:t>Rate explain/configure/troubleshoot/design ability for each domain.</w:t>
      </w:r>
    </w:p>
    <w:p>
      <w:pPr>
        <w:spacing w:after="60"/>
        <w:ind w:left="360" w:hanging="259"/>
      </w:pPr>
      <w:r>
        <w:rPr>
          <w:b/>
        </w:rPr>
        <w:t xml:space="preserve">4. </w:t>
      </w:r>
      <w:r>
        <w:t>Map Volume 7 chapters and labs to gaps.</w:t>
      </w:r>
    </w:p>
    <w:p>
      <w:pPr>
        <w:spacing w:after="60"/>
        <w:ind w:left="360" w:hanging="259"/>
      </w:pPr>
      <w:r>
        <w:rPr>
          <w:b/>
        </w:rPr>
        <w:t xml:space="preserve">5. </w:t>
      </w:r>
      <w:r>
        <w:t>Schedule weekly labs, review, practice assessment, and mock design sessions.</w:t>
      </w:r>
    </w:p>
    <w:p>
      <w:pPr>
        <w:spacing w:after="60"/>
        <w:ind w:left="360" w:hanging="259"/>
      </w:pPr>
      <w:r>
        <w:rPr>
          <w:b/>
        </w:rPr>
        <w:t xml:space="preserve">6. </w:t>
      </w:r>
      <w:r>
        <w:t>Define readiness thresholds and rescheduling rules.</w:t>
      </w:r>
    </w:p>
    <w:p>
      <w:pPr>
        <w:pStyle w:val="Heading3"/>
      </w:pPr>
      <w:r>
        <w:t>Validation Evidence</w:t>
      </w:r>
    </w:p>
    <w:p>
      <w:pPr>
        <w:pStyle w:val="ListBullet"/>
        <w:spacing w:after="60"/>
      </w:pPr>
      <w:r>
        <w:t>Every objective has a learning source and lab.</w:t>
      </w:r>
    </w:p>
    <w:p>
      <w:pPr>
        <w:pStyle w:val="ListBullet"/>
        <w:spacing w:after="60"/>
      </w:pPr>
      <w:r>
        <w:t>Weak domains receive more time than familiar topics.</w:t>
      </w:r>
    </w:p>
    <w:p>
      <w:pPr>
        <w:pStyle w:val="ListBullet"/>
        <w:spacing w:after="60"/>
      </w:pPr>
      <w:r>
        <w:t>The plan includes troubleshooting and architecture practice.</w:t>
      </w:r>
    </w:p>
    <w:p>
      <w:pPr>
        <w:pStyle w:val="ListBullet"/>
        <w:spacing w:after="60"/>
      </w:pPr>
      <w:r>
        <w:t>Exam requirements were verified on official pages.</w:t>
      </w:r>
    </w:p>
    <w:p>
      <w:pPr>
        <w:pStyle w:val="Heading3"/>
      </w:pPr>
      <w:r>
        <w:t>Cleanup</w:t>
      </w:r>
    </w:p>
    <w:p>
      <w:pPr>
        <w:pStyle w:val="ListBullet"/>
        <w:spacing w:after="60"/>
      </w:pPr>
      <w:r>
        <w:t>Remove personal exam-account information from shared artifacts.</w:t>
      </w:r>
    </w:p>
    <w:p>
      <w:pPr>
        <w:pStyle w:val="ListBullet"/>
        <w:spacing w:after="60"/>
      </w:pPr>
      <w:r>
        <w:t>Archive the plan and update it after each practice cycle.</w:t>
      </w:r>
    </w:p>
    <w:p>
      <w:pPr>
        <w:pStyle w:val="Heading2"/>
      </w:pPr>
      <w:r>
        <w:t>Interview Questions and Model Answers</w:t>
      </w:r>
    </w:p>
    <w:p>
      <w:pPr>
        <w:spacing w:after="40"/>
      </w:pPr>
      <w:r>
        <w:rPr>
          <w:b/>
        </w:rPr>
        <w:t>1. How should certification choice be made?</w:t>
      </w:r>
    </w:p>
    <w:p>
      <w:pPr>
        <w:spacing w:after="120"/>
        <w:ind w:left="216"/>
      </w:pPr>
      <w:r>
        <w:t>Choose the role and work outcomes first, then the certification that validates those skills.</w:t>
      </w:r>
    </w:p>
    <w:p>
      <w:pPr>
        <w:spacing w:after="40"/>
      </w:pPr>
      <w:r>
        <w:rPr>
          <w:b/>
        </w:rPr>
        <w:t>2. Why are labs essential?</w:t>
      </w:r>
    </w:p>
    <w:p>
      <w:pPr>
        <w:spacing w:after="120"/>
        <w:ind w:left="216"/>
      </w:pPr>
      <w:r>
        <w:t>They expose configuration, permission, dependency, and troubleshooting details that passive study hides.</w:t>
      </w:r>
    </w:p>
    <w:p>
      <w:pPr>
        <w:spacing w:after="40"/>
      </w:pPr>
      <w:r>
        <w:rPr>
          <w:b/>
        </w:rPr>
        <w:t>3. How do you use practice assessments?</w:t>
      </w:r>
    </w:p>
    <w:p>
      <w:pPr>
        <w:spacing w:after="120"/>
        <w:ind w:left="216"/>
      </w:pPr>
      <w:r>
        <w:t>Diagnose gaps, then return to official content and labs rather than memorizing answers.</w:t>
      </w:r>
    </w:p>
    <w:p>
      <w:pPr>
        <w:spacing w:after="40"/>
      </w:pPr>
      <w:r>
        <w:rPr>
          <w:b/>
        </w:rPr>
        <w:t>4. Certification versus experience?</w:t>
      </w:r>
    </w:p>
    <w:p>
      <w:pPr>
        <w:spacing w:after="120"/>
        <w:ind w:left="216"/>
      </w:pPr>
      <w:r>
        <w:t>Certification structures knowledge; experience and portfolio evidence demonstrate judgment and delivery.</w:t>
      </w:r>
    </w:p>
    <w:p>
      <w:pPr>
        <w:pStyle w:val="Heading2"/>
      </w:pPr>
      <w:r>
        <w:t>Chapter Summary</w:t>
      </w:r>
    </w:p>
    <w:p>
      <w:pPr>
        <w:pStyle w:val="ListBullet"/>
        <w:spacing w:after="60"/>
      </w:pPr>
      <w:r>
        <w:t>Verify current official exam requirements.</w:t>
      </w:r>
    </w:p>
    <w:p>
      <w:pPr>
        <w:pStyle w:val="ListBullet"/>
        <w:spacing w:after="60"/>
      </w:pPr>
      <w:r>
        <w:t>Study by skill gaps and role outcomes.</w:t>
      </w:r>
    </w:p>
    <w:p>
      <w:pPr>
        <w:pStyle w:val="ListBullet"/>
        <w:spacing w:after="60"/>
      </w:pPr>
      <w:r>
        <w:t>Combine explanation, configuration, troubleshooting, and design.</w:t>
      </w:r>
    </w:p>
    <w:p>
      <w:pPr>
        <w:pStyle w:val="ListBullet"/>
        <w:spacing w:after="60"/>
      </w:pPr>
      <w:r>
        <w:t>Turn learning into portfolio evidence.</w:t>
      </w:r>
    </w:p>
    <w:p>
      <w:pPr>
        <w:pStyle w:val="Heading1"/>
        <w:pageBreakBefore/>
      </w:pPr>
      <w:r>
        <w:t>Chapter 69 - Azure Technical Interview and System Design Mastery</w:t>
      </w:r>
    </w:p>
    <w:p>
      <w:pPr>
        <w:spacing w:after="120"/>
      </w:pPr>
      <w:r>
        <w:rPr>
          <w:i/>
          <w:color w:val="505050"/>
        </w:rPr>
        <w:t>Communicating structured reasoning, operational depth, and trade-offs in senior Azure interviews</w:t>
      </w:r>
    </w:p>
    <w:p>
      <w:pPr>
        <w:pStyle w:val="Heading2"/>
      </w:pPr>
      <w:r>
        <w:t>Learning Objectives</w:t>
      </w:r>
    </w:p>
    <w:p>
      <w:pPr>
        <w:pStyle w:val="ListBullet"/>
        <w:spacing w:after="60"/>
      </w:pPr>
      <w:r>
        <w:t>Answer behavioral, troubleshooting, architecture, security, and delivery questions clearly.</w:t>
      </w:r>
    </w:p>
    <w:p>
      <w:pPr>
        <w:pStyle w:val="ListBullet"/>
        <w:spacing w:after="60"/>
      </w:pPr>
      <w:r>
        <w:t>Structure system design from requirements to evidence and operations.</w:t>
      </w:r>
    </w:p>
    <w:p>
      <w:pPr>
        <w:pStyle w:val="ListBullet"/>
        <w:spacing w:after="60"/>
      </w:pPr>
      <w:r>
        <w:t>Demonstrate depth without guessing.</w:t>
      </w:r>
    </w:p>
    <w:p>
      <w:pPr>
        <w:pStyle w:val="ListBullet"/>
        <w:spacing w:after="60"/>
      </w:pPr>
      <w:r>
        <w:t>Build a reusable story bank from real projects and labs.</w:t>
      </w:r>
    </w:p>
    <w:p>
      <w:pPr>
        <w:pStyle w:val="Heading2"/>
      </w:pPr>
      <w:r>
        <w:t>69.1 Interview Answer Structures</w:t>
      </w:r>
    </w:p>
    <w:p>
      <w:pPr>
        <w:spacing w:after="120"/>
      </w:pPr>
      <w:r>
        <w:rPr>
          <w:i w:val="0"/>
        </w:rPr>
        <w:t>Use STAR for behavioral questions: situation, task, action, result, followed by learning. For technical diagnosis, use impact, evidence, hypotheses, test, action, validation, prevention. For design, use requirements, assumptions, constraints, architecture, data, security, reliability, operations, cost, and trade-offs.</w:t>
      </w:r>
    </w:p>
    <w:p>
      <w:pPr>
        <w:pStyle w:val="Heading2"/>
      </w:pPr>
      <w:r>
        <w:t>69.2 Azure System Design Flow</w:t>
      </w:r>
    </w:p>
    <w:p>
      <w:pPr>
        <w:spacing w:after="60"/>
        <w:ind w:left="360" w:hanging="259"/>
      </w:pPr>
      <w:r>
        <w:rPr>
          <w:b/>
        </w:rPr>
        <w:t xml:space="preserve">1. </w:t>
      </w:r>
      <w:r>
        <w:t>Clarify users, workload, data, compliance, SLO, RTO/RPO, regions, and budget.</w:t>
      </w:r>
    </w:p>
    <w:p>
      <w:pPr>
        <w:spacing w:after="60"/>
        <w:ind w:left="360" w:hanging="259"/>
      </w:pPr>
      <w:r>
        <w:rPr>
          <w:b/>
        </w:rPr>
        <w:t xml:space="preserve">2. </w:t>
      </w:r>
      <w:r>
        <w:t>Estimate traffic, storage, growth, and concurrency.</w:t>
      </w:r>
    </w:p>
    <w:p>
      <w:pPr>
        <w:spacing w:after="60"/>
        <w:ind w:left="360" w:hanging="259"/>
      </w:pPr>
      <w:r>
        <w:rPr>
          <w:b/>
        </w:rPr>
        <w:t xml:space="preserve">3. </w:t>
      </w:r>
      <w:r>
        <w:t>Define identity and trust boundaries.</w:t>
      </w:r>
    </w:p>
    <w:p>
      <w:pPr>
        <w:spacing w:after="60"/>
        <w:ind w:left="360" w:hanging="259"/>
      </w:pPr>
      <w:r>
        <w:rPr>
          <w:b/>
        </w:rPr>
        <w:t xml:space="preserve">4. </w:t>
      </w:r>
      <w:r>
        <w:t>Choose global ingress, compute, integration, data, cache, and analytics patterns.</w:t>
      </w:r>
    </w:p>
    <w:p>
      <w:pPr>
        <w:spacing w:after="60"/>
        <w:ind w:left="360" w:hanging="259"/>
      </w:pPr>
      <w:r>
        <w:rPr>
          <w:b/>
        </w:rPr>
        <w:t xml:space="preserve">5. </w:t>
      </w:r>
      <w:r>
        <w:t>Design observability, deployment, backup, failover, security, and cost controls.</w:t>
      </w:r>
    </w:p>
    <w:p>
      <w:pPr>
        <w:spacing w:after="60"/>
        <w:ind w:left="360" w:hanging="259"/>
      </w:pPr>
      <w:r>
        <w:rPr>
          <w:b/>
        </w:rPr>
        <w:t xml:space="preserve">6. </w:t>
      </w:r>
      <w:r>
        <w:t>State trade-offs, unknowns, experiments, and phased delivery.</w:t>
      </w:r>
    </w:p>
    <w:p>
      <w:pPr>
        <w:pStyle w:val="Heading2"/>
      </w:pPr>
      <w:r>
        <w:t>69.3 Depth and Honesty</w:t>
      </w:r>
    </w:p>
    <w:p>
      <w:pPr>
        <w:spacing w:after="120"/>
      </w:pPr>
      <w:r>
        <w:rPr>
          <w:i w:val="0"/>
        </w:rPr>
        <w:t>Senior candidates say what they know, what they assume, and how they would verify. Avoid inventing service limits or claiming universal best practices. Use official documentation, proof-of-concept, load test, and security review as decision mechanisms.</w:t>
      </w:r>
    </w:p>
    <w:p>
      <w:pPr>
        <w:pStyle w:val="Heading2"/>
      </w:pPr>
      <w:r>
        <w:t>69.4 Story Bank</w:t>
      </w:r>
    </w:p>
    <w:p>
      <w:pPr>
        <w:spacing w:after="120"/>
      </w:pPr>
      <w:r>
        <w:rPr>
          <w:i w:val="0"/>
        </w:rPr>
        <w:t>Prepare stories for outage, security issue, difficult migration, cost optimization, failed deployment, conflict, automation, mentoring, ambiguity, and architecture trade-off. Quantify results and explain what changed afterward.</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Answer becomes a service list</w:t>
            </w:r>
          </w:p>
        </w:tc>
        <w:tc>
          <w:tcPr>
            <w:tcW w:type="dxa" w:w="2592"/>
            <w:tcMar>
              <w:top w:w="80" w:type="dxa"/>
              <w:start w:w="100" w:type="dxa"/>
              <w:bottom w:w="80" w:type="dxa"/>
              <w:end w:w="100" w:type="dxa"/>
            </w:tcMar>
            <w:vAlign w:val="top"/>
          </w:tcPr>
          <w:p>
            <w:pPr>
              <w:spacing w:after="0"/>
            </w:pPr>
            <w:r>
              <w:rPr>
                <w:sz w:val="17"/>
              </w:rPr>
              <w:t>Requirements and trade-offs not stated</w:t>
            </w:r>
          </w:p>
        </w:tc>
        <w:tc>
          <w:tcPr>
            <w:tcW w:type="dxa" w:w="5328"/>
            <w:tcMar>
              <w:top w:w="80" w:type="dxa"/>
              <w:start w:w="100" w:type="dxa"/>
              <w:bottom w:w="80" w:type="dxa"/>
              <w:end w:w="100" w:type="dxa"/>
            </w:tcMar>
            <w:vAlign w:val="top"/>
          </w:tcPr>
          <w:p>
            <w:pPr>
              <w:spacing w:after="0"/>
            </w:pPr>
            <w:r>
              <w:rPr>
                <w:sz w:val="17"/>
              </w:rPr>
              <w:t>Pause, summarize constraints, then justify each component.</w:t>
            </w:r>
          </w:p>
        </w:tc>
      </w:tr>
      <w:tr>
        <w:trPr>
          <w:cantSplit/>
        </w:trPr>
        <w:tc>
          <w:tcPr>
            <w:tcW w:type="dxa" w:w="2160"/>
            <w:tcMar>
              <w:top w:w="80" w:type="dxa"/>
              <w:start w:w="100" w:type="dxa"/>
              <w:bottom w:w="80" w:type="dxa"/>
              <w:end w:w="100" w:type="dxa"/>
            </w:tcMar>
            <w:vAlign w:val="top"/>
          </w:tcPr>
          <w:p>
            <w:pPr>
              <w:spacing w:after="0"/>
            </w:pPr>
            <w:r>
              <w:rPr>
                <w:sz w:val="17"/>
              </w:rPr>
              <w:t>Candidate gets trapped in unknown detail</w:t>
            </w:r>
          </w:p>
        </w:tc>
        <w:tc>
          <w:tcPr>
            <w:tcW w:type="dxa" w:w="2592"/>
            <w:tcMar>
              <w:top w:w="80" w:type="dxa"/>
              <w:start w:w="100" w:type="dxa"/>
              <w:bottom w:w="80" w:type="dxa"/>
              <w:end w:w="100" w:type="dxa"/>
            </w:tcMar>
            <w:vAlign w:val="top"/>
          </w:tcPr>
          <w:p>
            <w:pPr>
              <w:spacing w:after="0"/>
            </w:pPr>
            <w:r>
              <w:rPr>
                <w:sz w:val="17"/>
              </w:rPr>
              <w:t>Attempts to guess exact limit or syntax</w:t>
            </w:r>
          </w:p>
        </w:tc>
        <w:tc>
          <w:tcPr>
            <w:tcW w:type="dxa" w:w="5328"/>
            <w:tcMar>
              <w:top w:w="80" w:type="dxa"/>
              <w:start w:w="100" w:type="dxa"/>
              <w:bottom w:w="80" w:type="dxa"/>
              <w:end w:w="100" w:type="dxa"/>
            </w:tcMar>
            <w:vAlign w:val="top"/>
          </w:tcPr>
          <w:p>
            <w:pPr>
              <w:spacing w:after="0"/>
            </w:pPr>
            <w:r>
              <w:rPr>
                <w:sz w:val="17"/>
              </w:rPr>
              <w:t>State uncertainty and describe verification method and safe design margin.</w:t>
            </w:r>
          </w:p>
        </w:tc>
      </w:tr>
      <w:tr>
        <w:trPr>
          <w:cantSplit/>
        </w:trPr>
        <w:tc>
          <w:tcPr>
            <w:tcW w:type="dxa" w:w="2160"/>
            <w:tcMar>
              <w:top w:w="80" w:type="dxa"/>
              <w:start w:w="100" w:type="dxa"/>
              <w:bottom w:w="80" w:type="dxa"/>
              <w:end w:w="100" w:type="dxa"/>
            </w:tcMar>
            <w:vAlign w:val="top"/>
          </w:tcPr>
          <w:p>
            <w:pPr>
              <w:spacing w:after="0"/>
            </w:pPr>
            <w:r>
              <w:rPr>
                <w:sz w:val="17"/>
              </w:rPr>
              <w:t>Behavioral story lacks impact</w:t>
            </w:r>
          </w:p>
        </w:tc>
        <w:tc>
          <w:tcPr>
            <w:tcW w:type="dxa" w:w="2592"/>
            <w:tcMar>
              <w:top w:w="80" w:type="dxa"/>
              <w:start w:w="100" w:type="dxa"/>
              <w:bottom w:w="80" w:type="dxa"/>
              <w:end w:w="100" w:type="dxa"/>
            </w:tcMar>
            <w:vAlign w:val="top"/>
          </w:tcPr>
          <w:p>
            <w:pPr>
              <w:spacing w:after="0"/>
            </w:pPr>
            <w:r>
              <w:rPr>
                <w:sz w:val="17"/>
              </w:rPr>
              <w:t>Actions are vague or team-only</w:t>
            </w:r>
          </w:p>
        </w:tc>
        <w:tc>
          <w:tcPr>
            <w:tcW w:type="dxa" w:w="5328"/>
            <w:tcMar>
              <w:top w:w="80" w:type="dxa"/>
              <w:start w:w="100" w:type="dxa"/>
              <w:bottom w:w="80" w:type="dxa"/>
              <w:end w:w="100" w:type="dxa"/>
            </w:tcMar>
            <w:vAlign w:val="top"/>
          </w:tcPr>
          <w:p>
            <w:pPr>
              <w:spacing w:after="0"/>
            </w:pPr>
            <w:r>
              <w:rPr>
                <w:sz w:val="17"/>
              </w:rPr>
              <w:t>Clarify personal responsibility, decisions, measurable result, and learning.</w:t>
            </w:r>
          </w:p>
        </w:tc>
      </w:tr>
    </w:tbl>
    <w:p>
      <w:pPr>
        <w:spacing w:after="20"/>
      </w:pPr>
    </w:p>
    <w:p>
      <w:pPr>
        <w:pStyle w:val="Heading2"/>
      </w:pPr>
      <w:r>
        <w:t>Hands-on Lab 69: Run a Senior Azure Mock Interview</w:t>
      </w:r>
    </w:p>
    <w:p>
      <w:pPr>
        <w:pStyle w:val="Heading3"/>
      </w:pPr>
      <w:r>
        <w:t>Prerequisites</w:t>
      </w:r>
    </w:p>
    <w:p>
      <w:pPr>
        <w:pStyle w:val="ListBullet"/>
        <w:spacing w:after="60"/>
      </w:pPr>
      <w:r>
        <w:t>A peer interviewer or recording setup and one portfolio project.</w:t>
      </w:r>
    </w:p>
    <w:p>
      <w:pPr>
        <w:pStyle w:val="Heading3"/>
      </w:pPr>
      <w:r>
        <w:t>Implementation</w:t>
      </w:r>
    </w:p>
    <w:p>
      <w:pPr>
        <w:spacing w:after="60"/>
        <w:ind w:left="360" w:hanging="259"/>
      </w:pPr>
      <w:r>
        <w:rPr>
          <w:b/>
        </w:rPr>
        <w:t xml:space="preserve">1. </w:t>
      </w:r>
      <w:r>
        <w:t>Prepare a two-minute introduction aligned to the role.</w:t>
      </w:r>
    </w:p>
    <w:p>
      <w:pPr>
        <w:spacing w:after="60"/>
        <w:ind w:left="360" w:hanging="259"/>
      </w:pPr>
      <w:r>
        <w:rPr>
          <w:b/>
        </w:rPr>
        <w:t xml:space="preserve">2. </w:t>
      </w:r>
      <w:r>
        <w:t>Answer one incident, one migration, one security, and one leadership question using STAR.</w:t>
      </w:r>
    </w:p>
    <w:p>
      <w:pPr>
        <w:spacing w:after="60"/>
        <w:ind w:left="360" w:hanging="259"/>
      </w:pPr>
      <w:r>
        <w:rPr>
          <w:b/>
        </w:rPr>
        <w:t xml:space="preserve">3. </w:t>
      </w:r>
      <w:r>
        <w:t>Design a global SaaS platform in 45 minutes.</w:t>
      </w:r>
    </w:p>
    <w:p>
      <w:pPr>
        <w:spacing w:after="60"/>
        <w:ind w:left="360" w:hanging="259"/>
      </w:pPr>
      <w:r>
        <w:rPr>
          <w:b/>
        </w:rPr>
        <w:t xml:space="preserve">4. </w:t>
      </w:r>
      <w:r>
        <w:t>Perform a troubleshooting scenario involving identity, private DNS, and data throttling.</w:t>
      </w:r>
    </w:p>
    <w:p>
      <w:pPr>
        <w:spacing w:after="60"/>
        <w:ind w:left="360" w:hanging="259"/>
      </w:pPr>
      <w:r>
        <w:rPr>
          <w:b/>
        </w:rPr>
        <w:t xml:space="preserve">5. </w:t>
      </w:r>
      <w:r>
        <w:t>Review recording for structure, assumptions, trade-offs, and filler.</w:t>
      </w:r>
    </w:p>
    <w:p>
      <w:pPr>
        <w:spacing w:after="60"/>
        <w:ind w:left="360" w:hanging="259"/>
      </w:pPr>
      <w:r>
        <w:rPr>
          <w:b/>
        </w:rPr>
        <w:t xml:space="preserve">6. </w:t>
      </w:r>
      <w:r>
        <w:t>Rewrite weak answers and repeat one week later.</w:t>
      </w:r>
    </w:p>
    <w:p>
      <w:pPr>
        <w:pStyle w:val="Heading3"/>
      </w:pPr>
      <w:r>
        <w:t>Validation Evidence</w:t>
      </w:r>
    </w:p>
    <w:p>
      <w:pPr>
        <w:pStyle w:val="ListBullet"/>
        <w:spacing w:after="60"/>
      </w:pPr>
      <w:r>
        <w:t>Answers start with requirements or impact.</w:t>
      </w:r>
    </w:p>
    <w:p>
      <w:pPr>
        <w:pStyle w:val="ListBullet"/>
        <w:spacing w:after="60"/>
      </w:pPr>
      <w:r>
        <w:t>Trade-offs and operational ownership are explicit.</w:t>
      </w:r>
    </w:p>
    <w:p>
      <w:pPr>
        <w:pStyle w:val="ListBullet"/>
        <w:spacing w:after="60"/>
      </w:pPr>
      <w:r>
        <w:t>Unknown facts are handled honestly.</w:t>
      </w:r>
    </w:p>
    <w:p>
      <w:pPr>
        <w:pStyle w:val="ListBullet"/>
        <w:spacing w:after="60"/>
      </w:pPr>
      <w:r>
        <w:t>Examples include measurable outcomes.</w:t>
      </w:r>
    </w:p>
    <w:p>
      <w:pPr>
        <w:pStyle w:val="Heading3"/>
      </w:pPr>
      <w:r>
        <w:t>Cleanup</w:t>
      </w:r>
    </w:p>
    <w:p>
      <w:pPr>
        <w:pStyle w:val="ListBullet"/>
        <w:spacing w:after="60"/>
      </w:pPr>
      <w:r>
        <w:t>Delete recordings if not needed and protect any real company details.</w:t>
      </w:r>
    </w:p>
    <w:p>
      <w:pPr>
        <w:pStyle w:val="ListBullet"/>
        <w:spacing w:after="60"/>
      </w:pPr>
      <w:r>
        <w:t>Keep only sanitized notes.</w:t>
      </w:r>
    </w:p>
    <w:p>
      <w:pPr>
        <w:pStyle w:val="Heading2"/>
      </w:pPr>
      <w:r>
        <w:t>Interview Questions and Model Answers</w:t>
      </w:r>
    </w:p>
    <w:p>
      <w:pPr>
        <w:spacing w:after="40"/>
      </w:pPr>
      <w:r>
        <w:rPr>
          <w:b/>
        </w:rPr>
        <w:t>1. How do you start a system design interview?</w:t>
      </w:r>
    </w:p>
    <w:p>
      <w:pPr>
        <w:spacing w:after="120"/>
        <w:ind w:left="216"/>
      </w:pPr>
      <w:r>
        <w:t>Clarify functional and quality requirements before selecting services.</w:t>
      </w:r>
    </w:p>
    <w:p>
      <w:pPr>
        <w:spacing w:after="40"/>
      </w:pPr>
      <w:r>
        <w:rPr>
          <w:b/>
        </w:rPr>
        <w:t>2. What signals seniority?</w:t>
      </w:r>
    </w:p>
    <w:p>
      <w:pPr>
        <w:spacing w:after="120"/>
        <w:ind w:left="216"/>
      </w:pPr>
      <w:r>
        <w:t>Trade-off awareness, operations, failure modes, security, cost, and clear decision ownership.</w:t>
      </w:r>
    </w:p>
    <w:p>
      <w:pPr>
        <w:spacing w:after="40"/>
      </w:pPr>
      <w:r>
        <w:rPr>
          <w:b/>
        </w:rPr>
        <w:t>3. How should you handle an unknown Azure detail?</w:t>
      </w:r>
    </w:p>
    <w:p>
      <w:pPr>
        <w:spacing w:after="120"/>
        <w:ind w:left="216"/>
      </w:pPr>
      <w:r>
        <w:t>State uncertainty, avoid guessing, explain verification and a safe interim assumption.</w:t>
      </w:r>
    </w:p>
    <w:p>
      <w:pPr>
        <w:spacing w:after="40"/>
      </w:pPr>
      <w:r>
        <w:rPr>
          <w:b/>
        </w:rPr>
        <w:t>4. What makes a strong outage story?</w:t>
      </w:r>
    </w:p>
    <w:p>
      <w:pPr>
        <w:spacing w:after="120"/>
        <w:ind w:left="216"/>
      </w:pPr>
      <w:r>
        <w:t>Clear impact, role, evidence-driven actions, communication, recovery, and durable prevention.</w:t>
      </w:r>
    </w:p>
    <w:p>
      <w:pPr>
        <w:pStyle w:val="Heading2"/>
      </w:pPr>
      <w:r>
        <w:t>Chapter Summary</w:t>
      </w:r>
    </w:p>
    <w:p>
      <w:pPr>
        <w:pStyle w:val="ListBullet"/>
        <w:spacing w:after="60"/>
      </w:pPr>
      <w:r>
        <w:t>Structure answers before adding detail.</w:t>
      </w:r>
    </w:p>
    <w:p>
      <w:pPr>
        <w:pStyle w:val="ListBullet"/>
        <w:spacing w:after="60"/>
      </w:pPr>
      <w:r>
        <w:t>Design from requirements and constraints.</w:t>
      </w:r>
    </w:p>
    <w:p>
      <w:pPr>
        <w:pStyle w:val="ListBullet"/>
        <w:spacing w:after="60"/>
      </w:pPr>
      <w:r>
        <w:t>Show operational and failure-mode depth.</w:t>
      </w:r>
    </w:p>
    <w:p>
      <w:pPr>
        <w:pStyle w:val="ListBullet"/>
        <w:spacing w:after="60"/>
      </w:pPr>
      <w:r>
        <w:t>Use sanitized measurable stories.</w:t>
      </w:r>
    </w:p>
    <w:p>
      <w:pPr>
        <w:pStyle w:val="Heading1"/>
        <w:pageBreakBefore/>
      </w:pPr>
      <w:r>
        <w:t>Chapter 70 - Final Integrated Enterprise Azure Capstone</w:t>
      </w:r>
    </w:p>
    <w:p>
      <w:pPr>
        <w:spacing w:after="120"/>
      </w:pPr>
      <w:r>
        <w:rPr>
          <w:i/>
          <w:color w:val="505050"/>
        </w:rPr>
        <w:t>Producing a portfolio-grade Azure platform that demonstrates architecture, delivery, security, reliability, operations, and financial governance</w:t>
      </w:r>
    </w:p>
    <w:p>
      <w:pPr>
        <w:pStyle w:val="Heading2"/>
      </w:pPr>
      <w:r>
        <w:t>Learning Objectives</w:t>
      </w:r>
    </w:p>
    <w:p>
      <w:pPr>
        <w:pStyle w:val="ListBullet"/>
        <w:spacing w:after="60"/>
      </w:pPr>
      <w:r>
        <w:t>Integrate Volume 7 foundations into one coherent enterprise solution.</w:t>
      </w:r>
    </w:p>
    <w:p>
      <w:pPr>
        <w:pStyle w:val="ListBullet"/>
        <w:spacing w:after="60"/>
      </w:pPr>
      <w:r>
        <w:t>Produce deployable IaC, secure pipelines, telemetry, runbooks, tests, and governance evidence.</w:t>
      </w:r>
    </w:p>
    <w:p>
      <w:pPr>
        <w:pStyle w:val="ListBullet"/>
        <w:spacing w:after="60"/>
      </w:pPr>
      <w:r>
        <w:t>Demonstrate failure recovery, incident response, performance, and cost control.</w:t>
      </w:r>
    </w:p>
    <w:p>
      <w:pPr>
        <w:pStyle w:val="ListBullet"/>
        <w:spacing w:after="60"/>
      </w:pPr>
      <w:r>
        <w:t>Present the solution to technical and executive audiences.</w:t>
      </w:r>
    </w:p>
    <w:p>
      <w:pPr>
        <w:pStyle w:val="Heading2"/>
      </w:pPr>
      <w:r>
        <w:t>70.1 Capstone Scenario</w:t>
      </w:r>
    </w:p>
    <w:p>
      <w:pPr>
        <w:spacing w:after="120"/>
      </w:pPr>
      <w:r>
        <w:rPr>
          <w:i w:val="0"/>
        </w:rPr>
        <w:t>Design and implement a multi-tenant digital commerce platform for a regulated enterprise. The platform requires public and partner APIs, two Azure regions, tenant isolation tiers, asynchronous order workflows, managed data, audit evidence, zero-trust administration, secure software supply chain, 99.95% service objective, one-hour regional recovery target, fifteen-minute data-loss target for selected workloads, and cost allocation by tenant and product.</w:t>
      </w:r>
    </w:p>
    <w:p>
      <w:pPr>
        <w:pStyle w:val="Heading2"/>
      </w:pPr>
      <w:r>
        <w:t>70.2 Required Architecture</w:t>
      </w:r>
    </w:p>
    <w:p>
      <w:pPr>
        <w:pStyle w:val="ListBullet"/>
        <w:spacing w:after="60"/>
      </w:pPr>
      <w:r>
        <w:t>Management-group and subscription hierarchy with policy, RBAC, PIM, budgets, and diagnostic baseline.</w:t>
      </w:r>
    </w:p>
    <w:p>
      <w:pPr>
        <w:pStyle w:val="ListBullet"/>
        <w:spacing w:after="60"/>
      </w:pPr>
      <w:r>
        <w:t>Global ingress with WAF and regional application entry.</w:t>
      </w:r>
    </w:p>
    <w:p>
      <w:pPr>
        <w:pStyle w:val="ListBullet"/>
        <w:spacing w:after="60"/>
      </w:pPr>
      <w:r>
        <w:t>Compute using the simplest justified mix of App Service, Container Apps, AKS, and Functions.</w:t>
      </w:r>
    </w:p>
    <w:p>
      <w:pPr>
        <w:pStyle w:val="ListBullet"/>
        <w:spacing w:after="60"/>
      </w:pPr>
      <w:r>
        <w:t>API Management, Service Bus/Event Grid, workflow orchestration, managed database, cache, and governed data platform.</w:t>
      </w:r>
    </w:p>
    <w:p>
      <w:pPr>
        <w:pStyle w:val="ListBullet"/>
        <w:spacing w:after="60"/>
      </w:pPr>
      <w:r>
        <w:t>Private connectivity, managed identities, Key Vault, Defender for Cloud, Sentinel, and least-privilege operations.</w:t>
      </w:r>
    </w:p>
    <w:p>
      <w:pPr>
        <w:pStyle w:val="ListBullet"/>
        <w:spacing w:after="60"/>
      </w:pPr>
      <w:r>
        <w:t>Bicep or Terraform modules, workload identity federation, immutable artifacts, approvals/checks, canary release, and rollback.</w:t>
      </w:r>
    </w:p>
    <w:p>
      <w:pPr>
        <w:pStyle w:val="Heading2"/>
      </w:pPr>
      <w:r>
        <w:t>70.3 Required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Artifact</w:t>
            </w:r>
          </w:p>
        </w:tc>
        <w:tc>
          <w:tcPr>
            <w:tcW w:type="dxa" w:w="7632"/>
            <w:shd w:fill="0078D4"/>
            <w:tcMar>
              <w:top w:w="80" w:type="dxa"/>
              <w:start w:w="100" w:type="dxa"/>
              <w:bottom w:w="80" w:type="dxa"/>
              <w:end w:w="100" w:type="dxa"/>
            </w:tcMar>
            <w:vAlign w:val="center"/>
          </w:tcPr>
          <w:p>
            <w:pPr>
              <w:jc w:val="center"/>
            </w:pPr>
            <w:r>
              <w:rPr>
                <w:b/>
                <w:color w:val="FFFFFF"/>
                <w:sz w:val="17"/>
              </w:rPr>
              <w:t>Minimum Content</w:t>
            </w:r>
          </w:p>
        </w:tc>
      </w:tr>
      <w:tr>
        <w:trPr>
          <w:cantSplit/>
        </w:trPr>
        <w:tc>
          <w:tcPr>
            <w:tcW w:type="dxa" w:w="2448"/>
            <w:tcMar>
              <w:top w:w="80" w:type="dxa"/>
              <w:start w:w="100" w:type="dxa"/>
              <w:bottom w:w="80" w:type="dxa"/>
              <w:end w:w="100" w:type="dxa"/>
            </w:tcMar>
            <w:vAlign w:val="top"/>
          </w:tcPr>
          <w:p>
            <w:pPr>
              <w:spacing w:after="0"/>
            </w:pPr>
            <w:r>
              <w:rPr>
                <w:sz w:val="17"/>
              </w:rPr>
              <w:t>Architecture pack</w:t>
            </w:r>
          </w:p>
        </w:tc>
        <w:tc>
          <w:tcPr>
            <w:tcW w:type="dxa" w:w="7632"/>
            <w:tcMar>
              <w:top w:w="80" w:type="dxa"/>
              <w:start w:w="100" w:type="dxa"/>
              <w:bottom w:w="80" w:type="dxa"/>
              <w:end w:w="100" w:type="dxa"/>
            </w:tcMar>
            <w:vAlign w:val="top"/>
          </w:tcPr>
          <w:p>
            <w:pPr>
              <w:spacing w:after="0"/>
            </w:pPr>
            <w:r>
              <w:rPr>
                <w:sz w:val="17"/>
              </w:rPr>
              <w:t>Context, logical and deployment diagrams, trust boundaries, data flows, dependency map.</w:t>
            </w:r>
          </w:p>
        </w:tc>
      </w:tr>
      <w:tr>
        <w:trPr>
          <w:cantSplit/>
        </w:trPr>
        <w:tc>
          <w:tcPr>
            <w:tcW w:type="dxa" w:w="2448"/>
            <w:tcMar>
              <w:top w:w="80" w:type="dxa"/>
              <w:start w:w="100" w:type="dxa"/>
              <w:bottom w:w="80" w:type="dxa"/>
              <w:end w:w="100" w:type="dxa"/>
            </w:tcMar>
            <w:vAlign w:val="top"/>
          </w:tcPr>
          <w:p>
            <w:pPr>
              <w:spacing w:after="0"/>
            </w:pPr>
            <w:r>
              <w:rPr>
                <w:sz w:val="17"/>
              </w:rPr>
              <w:t>Decision pack</w:t>
            </w:r>
          </w:p>
        </w:tc>
        <w:tc>
          <w:tcPr>
            <w:tcW w:type="dxa" w:w="7632"/>
            <w:tcMar>
              <w:top w:w="80" w:type="dxa"/>
              <w:start w:w="100" w:type="dxa"/>
              <w:bottom w:w="80" w:type="dxa"/>
              <w:end w:w="100" w:type="dxa"/>
            </w:tcMar>
            <w:vAlign w:val="top"/>
          </w:tcPr>
          <w:p>
            <w:pPr>
              <w:spacing w:after="0"/>
            </w:pPr>
            <w:r>
              <w:rPr>
                <w:sz w:val="17"/>
              </w:rPr>
              <w:t>At least ten ADRs with alternatives, consequences, owners, and review dates.</w:t>
            </w:r>
          </w:p>
        </w:tc>
      </w:tr>
      <w:tr>
        <w:trPr>
          <w:cantSplit/>
        </w:trPr>
        <w:tc>
          <w:tcPr>
            <w:tcW w:type="dxa" w:w="2448"/>
            <w:tcMar>
              <w:top w:w="80" w:type="dxa"/>
              <w:start w:w="100" w:type="dxa"/>
              <w:bottom w:w="80" w:type="dxa"/>
              <w:end w:w="100" w:type="dxa"/>
            </w:tcMar>
            <w:vAlign w:val="top"/>
          </w:tcPr>
          <w:p>
            <w:pPr>
              <w:spacing w:after="0"/>
            </w:pPr>
            <w:r>
              <w:rPr>
                <w:sz w:val="17"/>
              </w:rPr>
              <w:t>Delivery pack</w:t>
            </w:r>
          </w:p>
        </w:tc>
        <w:tc>
          <w:tcPr>
            <w:tcW w:type="dxa" w:w="7632"/>
            <w:tcMar>
              <w:top w:w="80" w:type="dxa"/>
              <w:start w:w="100" w:type="dxa"/>
              <w:bottom w:w="80" w:type="dxa"/>
              <w:end w:w="100" w:type="dxa"/>
            </w:tcMar>
            <w:vAlign w:val="top"/>
          </w:tcPr>
          <w:p>
            <w:pPr>
              <w:spacing w:after="0"/>
            </w:pPr>
            <w:r>
              <w:rPr>
                <w:sz w:val="17"/>
              </w:rPr>
              <w:t>IaC, CI/CD, SBOM/provenance, policy results, deployment and rollback evidence.</w:t>
            </w:r>
          </w:p>
        </w:tc>
      </w:tr>
      <w:tr>
        <w:trPr>
          <w:cantSplit/>
        </w:trPr>
        <w:tc>
          <w:tcPr>
            <w:tcW w:type="dxa" w:w="2448"/>
            <w:tcMar>
              <w:top w:w="80" w:type="dxa"/>
              <w:start w:w="100" w:type="dxa"/>
              <w:bottom w:w="80" w:type="dxa"/>
              <w:end w:w="100" w:type="dxa"/>
            </w:tcMar>
            <w:vAlign w:val="top"/>
          </w:tcPr>
          <w:p>
            <w:pPr>
              <w:spacing w:after="0"/>
            </w:pPr>
            <w:r>
              <w:rPr>
                <w:sz w:val="17"/>
              </w:rPr>
              <w:t>Operations pack</w:t>
            </w:r>
          </w:p>
        </w:tc>
        <w:tc>
          <w:tcPr>
            <w:tcW w:type="dxa" w:w="7632"/>
            <w:tcMar>
              <w:top w:w="80" w:type="dxa"/>
              <w:start w:w="100" w:type="dxa"/>
              <w:bottom w:w="80" w:type="dxa"/>
              <w:end w:w="100" w:type="dxa"/>
            </w:tcMar>
            <w:vAlign w:val="top"/>
          </w:tcPr>
          <w:p>
            <w:pPr>
              <w:spacing w:after="0"/>
            </w:pPr>
            <w:r>
              <w:rPr>
                <w:sz w:val="17"/>
              </w:rPr>
              <w:t>SLOs, dashboards, alerts, runbooks, incident and escalation process.</w:t>
            </w:r>
          </w:p>
        </w:tc>
      </w:tr>
      <w:tr>
        <w:trPr>
          <w:cantSplit/>
        </w:trPr>
        <w:tc>
          <w:tcPr>
            <w:tcW w:type="dxa" w:w="2448"/>
            <w:tcMar>
              <w:top w:w="80" w:type="dxa"/>
              <w:start w:w="100" w:type="dxa"/>
              <w:bottom w:w="80" w:type="dxa"/>
              <w:end w:w="100" w:type="dxa"/>
            </w:tcMar>
            <w:vAlign w:val="top"/>
          </w:tcPr>
          <w:p>
            <w:pPr>
              <w:spacing w:after="0"/>
            </w:pPr>
            <w:r>
              <w:rPr>
                <w:sz w:val="17"/>
              </w:rPr>
              <w:t>Reliability pack</w:t>
            </w:r>
          </w:p>
        </w:tc>
        <w:tc>
          <w:tcPr>
            <w:tcW w:type="dxa" w:w="7632"/>
            <w:tcMar>
              <w:top w:w="80" w:type="dxa"/>
              <w:start w:w="100" w:type="dxa"/>
              <w:bottom w:w="80" w:type="dxa"/>
              <w:end w:w="100" w:type="dxa"/>
            </w:tcMar>
            <w:vAlign w:val="top"/>
          </w:tcPr>
          <w:p>
            <w:pPr>
              <w:spacing w:after="0"/>
            </w:pPr>
            <w:r>
              <w:rPr>
                <w:sz w:val="17"/>
              </w:rPr>
              <w:t>Backup restore, regional failover, chaos/game-day, RTO/RPO measurements.</w:t>
            </w:r>
          </w:p>
        </w:tc>
      </w:tr>
      <w:tr>
        <w:trPr>
          <w:cantSplit/>
        </w:trPr>
        <w:tc>
          <w:tcPr>
            <w:tcW w:type="dxa" w:w="2448"/>
            <w:tcMar>
              <w:top w:w="80" w:type="dxa"/>
              <w:start w:w="100" w:type="dxa"/>
              <w:bottom w:w="80" w:type="dxa"/>
              <w:end w:w="100" w:type="dxa"/>
            </w:tcMar>
            <w:vAlign w:val="top"/>
          </w:tcPr>
          <w:p>
            <w:pPr>
              <w:spacing w:after="0"/>
            </w:pPr>
            <w:r>
              <w:rPr>
                <w:sz w:val="17"/>
              </w:rPr>
              <w:t>Security/compliance pack</w:t>
            </w:r>
          </w:p>
        </w:tc>
        <w:tc>
          <w:tcPr>
            <w:tcW w:type="dxa" w:w="7632"/>
            <w:tcMar>
              <w:top w:w="80" w:type="dxa"/>
              <w:start w:w="100" w:type="dxa"/>
              <w:bottom w:w="80" w:type="dxa"/>
              <w:end w:w="100" w:type="dxa"/>
            </w:tcMar>
            <w:vAlign w:val="top"/>
          </w:tcPr>
          <w:p>
            <w:pPr>
              <w:spacing w:after="0"/>
            </w:pPr>
            <w:r>
              <w:rPr>
                <w:sz w:val="17"/>
              </w:rPr>
              <w:t>Threat model, access review, Defender/Sentinel evidence, control mapping, exceptions.</w:t>
            </w:r>
          </w:p>
        </w:tc>
      </w:tr>
      <w:tr>
        <w:trPr>
          <w:cantSplit/>
        </w:trPr>
        <w:tc>
          <w:tcPr>
            <w:tcW w:type="dxa" w:w="2448"/>
            <w:tcMar>
              <w:top w:w="80" w:type="dxa"/>
              <w:start w:w="100" w:type="dxa"/>
              <w:bottom w:w="80" w:type="dxa"/>
              <w:end w:w="100" w:type="dxa"/>
            </w:tcMar>
            <w:vAlign w:val="top"/>
          </w:tcPr>
          <w:p>
            <w:pPr>
              <w:spacing w:after="0"/>
            </w:pPr>
            <w:r>
              <w:rPr>
                <w:sz w:val="17"/>
              </w:rPr>
              <w:t>FinOps pack</w:t>
            </w:r>
          </w:p>
        </w:tc>
        <w:tc>
          <w:tcPr>
            <w:tcW w:type="dxa" w:w="7632"/>
            <w:tcMar>
              <w:top w:w="80" w:type="dxa"/>
              <w:start w:w="100" w:type="dxa"/>
              <w:bottom w:w="80" w:type="dxa"/>
              <w:end w:w="100" w:type="dxa"/>
            </w:tcMar>
            <w:vAlign w:val="top"/>
          </w:tcPr>
          <w:p>
            <w:pPr>
              <w:spacing w:after="0"/>
            </w:pPr>
            <w:r>
              <w:rPr>
                <w:sz w:val="17"/>
              </w:rPr>
              <w:t>Allocation, forecast, unit cost, budget, rightsizing and commitment analysis.</w:t>
            </w:r>
          </w:p>
        </w:tc>
      </w:tr>
    </w:tbl>
    <w:p>
      <w:pPr>
        <w:spacing w:after="20"/>
      </w:pPr>
    </w:p>
    <w:p>
      <w:pPr>
        <w:pStyle w:val="Heading2"/>
      </w:pPr>
      <w:r>
        <w:t>70.4 Delivery Phases</w:t>
      </w:r>
    </w:p>
    <w:p>
      <w:pPr>
        <w:spacing w:after="60"/>
        <w:ind w:left="360" w:hanging="259"/>
      </w:pPr>
      <w:r>
        <w:rPr>
          <w:b/>
        </w:rPr>
        <w:t xml:space="preserve">1. </w:t>
      </w:r>
      <w:r>
        <w:t>Discover and define outcomes, quality attributes, data classes, threat model, and budget.</w:t>
      </w:r>
    </w:p>
    <w:p>
      <w:pPr>
        <w:spacing w:after="60"/>
        <w:ind w:left="360" w:hanging="259"/>
      </w:pPr>
      <w:r>
        <w:rPr>
          <w:b/>
        </w:rPr>
        <w:t xml:space="preserve">2. </w:t>
      </w:r>
      <w:r>
        <w:t>Build landing-zone and platform foundations.</w:t>
      </w:r>
    </w:p>
    <w:p>
      <w:pPr>
        <w:spacing w:after="60"/>
        <w:ind w:left="360" w:hanging="259"/>
      </w:pPr>
      <w:r>
        <w:rPr>
          <w:b/>
        </w:rPr>
        <w:t xml:space="preserve">3. </w:t>
      </w:r>
      <w:r>
        <w:t>Deploy a thin end-to-end transaction through secure CI/CD.</w:t>
      </w:r>
    </w:p>
    <w:p>
      <w:pPr>
        <w:spacing w:after="60"/>
        <w:ind w:left="360" w:hanging="259"/>
      </w:pPr>
      <w:r>
        <w:rPr>
          <w:b/>
        </w:rPr>
        <w:t xml:space="preserve">4. </w:t>
      </w:r>
      <w:r>
        <w:t>Add tenant isolation, data, messaging, workflows, observability, and governance.</w:t>
      </w:r>
    </w:p>
    <w:p>
      <w:pPr>
        <w:spacing w:after="60"/>
        <w:ind w:left="360" w:hanging="259"/>
      </w:pPr>
      <w:r>
        <w:rPr>
          <w:b/>
        </w:rPr>
        <w:t xml:space="preserve">5. </w:t>
      </w:r>
      <w:r>
        <w:t>Run performance, security, recovery, and chaos qualification.</w:t>
      </w:r>
    </w:p>
    <w:p>
      <w:pPr>
        <w:spacing w:after="60"/>
        <w:ind w:left="360" w:hanging="259"/>
      </w:pPr>
      <w:r>
        <w:rPr>
          <w:b/>
        </w:rPr>
        <w:t xml:space="preserve">6. </w:t>
      </w:r>
      <w:r>
        <w:t>Present an executive summary, technical review, and live recovery demonstration.</w:t>
      </w:r>
    </w:p>
    <w:p>
      <w:pPr>
        <w:pStyle w:val="Heading2"/>
      </w:pPr>
      <w:r>
        <w:t>70.5 Graduation Standard</w:t>
      </w:r>
    </w:p>
    <w:p>
      <w:pPr>
        <w:spacing w:after="120"/>
      </w:pPr>
      <w:r>
        <w:rPr>
          <w:i w:val="0"/>
        </w:rPr>
        <w:t>The capstone is complete only when a reviewer can deploy it from documentation, trace a transaction, understand every trust boundary, reproduce policy and security evidence, execute rollback, restore data, fail over a region, explain cost, and identify residual risk.</w:t>
      </w:r>
    </w:p>
    <w:p>
      <w:pPr>
        <w:pStyle w:val="Heading2"/>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Capstone becomes too broad</w:t>
            </w:r>
          </w:p>
        </w:tc>
        <w:tc>
          <w:tcPr>
            <w:tcW w:type="dxa" w:w="2592"/>
            <w:tcMar>
              <w:top w:w="80" w:type="dxa"/>
              <w:start w:w="100" w:type="dxa"/>
              <w:bottom w:w="80" w:type="dxa"/>
              <w:end w:w="100" w:type="dxa"/>
            </w:tcMar>
            <w:vAlign w:val="top"/>
          </w:tcPr>
          <w:p>
            <w:pPr>
              <w:spacing w:after="0"/>
            </w:pPr>
            <w:r>
              <w:rPr>
                <w:sz w:val="17"/>
              </w:rPr>
              <w:t>No phased scope or critical path</w:t>
            </w:r>
          </w:p>
        </w:tc>
        <w:tc>
          <w:tcPr>
            <w:tcW w:type="dxa" w:w="5328"/>
            <w:tcMar>
              <w:top w:w="80" w:type="dxa"/>
              <w:start w:w="100" w:type="dxa"/>
              <w:bottom w:w="80" w:type="dxa"/>
              <w:end w:w="100" w:type="dxa"/>
            </w:tcMar>
            <w:vAlign w:val="top"/>
          </w:tcPr>
          <w:p>
            <w:pPr>
              <w:spacing w:after="0"/>
            </w:pPr>
            <w:r>
              <w:rPr>
                <w:sz w:val="17"/>
              </w:rPr>
              <w:t>Deliver thin vertical slice first; time-box optional capabilities and preserve evidence quality.</w:t>
            </w:r>
          </w:p>
        </w:tc>
      </w:tr>
      <w:tr>
        <w:trPr>
          <w:cantSplit/>
        </w:trPr>
        <w:tc>
          <w:tcPr>
            <w:tcW w:type="dxa" w:w="2160"/>
            <w:tcMar>
              <w:top w:w="80" w:type="dxa"/>
              <w:start w:w="100" w:type="dxa"/>
              <w:bottom w:w="80" w:type="dxa"/>
              <w:end w:w="100" w:type="dxa"/>
            </w:tcMar>
            <w:vAlign w:val="top"/>
          </w:tcPr>
          <w:p>
            <w:pPr>
              <w:spacing w:after="0"/>
            </w:pPr>
            <w:r>
              <w:rPr>
                <w:sz w:val="17"/>
              </w:rPr>
              <w:t>Architecture and implementation diverge</w:t>
            </w:r>
          </w:p>
        </w:tc>
        <w:tc>
          <w:tcPr>
            <w:tcW w:type="dxa" w:w="2592"/>
            <w:tcMar>
              <w:top w:w="80" w:type="dxa"/>
              <w:start w:w="100" w:type="dxa"/>
              <w:bottom w:w="80" w:type="dxa"/>
              <w:end w:w="100" w:type="dxa"/>
            </w:tcMar>
            <w:vAlign w:val="top"/>
          </w:tcPr>
          <w:p>
            <w:pPr>
              <w:spacing w:after="0"/>
            </w:pPr>
            <w:r>
              <w:rPr>
                <w:sz w:val="17"/>
              </w:rPr>
              <w:t>Diagrams/ADRs not updated during build</w:t>
            </w:r>
          </w:p>
        </w:tc>
        <w:tc>
          <w:tcPr>
            <w:tcW w:type="dxa" w:w="5328"/>
            <w:tcMar>
              <w:top w:w="80" w:type="dxa"/>
              <w:start w:w="100" w:type="dxa"/>
              <w:bottom w:w="80" w:type="dxa"/>
              <w:end w:w="100" w:type="dxa"/>
            </w:tcMar>
            <w:vAlign w:val="top"/>
          </w:tcPr>
          <w:p>
            <w:pPr>
              <w:spacing w:after="0"/>
            </w:pPr>
            <w:r>
              <w:rPr>
                <w:sz w:val="17"/>
              </w:rPr>
              <w:t>Use architecture-as-code where practical and update decision/evidence in each pull request.</w:t>
            </w:r>
          </w:p>
        </w:tc>
      </w:tr>
      <w:tr>
        <w:trPr>
          <w:cantSplit/>
        </w:trPr>
        <w:tc>
          <w:tcPr>
            <w:tcW w:type="dxa" w:w="2160"/>
            <w:tcMar>
              <w:top w:w="80" w:type="dxa"/>
              <w:start w:w="100" w:type="dxa"/>
              <w:bottom w:w="80" w:type="dxa"/>
              <w:end w:w="100" w:type="dxa"/>
            </w:tcMar>
            <w:vAlign w:val="top"/>
          </w:tcPr>
          <w:p>
            <w:pPr>
              <w:spacing w:after="0"/>
            </w:pPr>
            <w:r>
              <w:rPr>
                <w:sz w:val="17"/>
              </w:rPr>
              <w:t>Demo succeeds but recovery is unproven</w:t>
            </w:r>
          </w:p>
        </w:tc>
        <w:tc>
          <w:tcPr>
            <w:tcW w:type="dxa" w:w="2592"/>
            <w:tcMar>
              <w:top w:w="80" w:type="dxa"/>
              <w:start w:w="100" w:type="dxa"/>
              <w:bottom w:w="80" w:type="dxa"/>
              <w:end w:w="100" w:type="dxa"/>
            </w:tcMar>
            <w:vAlign w:val="top"/>
          </w:tcPr>
          <w:p>
            <w:pPr>
              <w:spacing w:after="0"/>
            </w:pPr>
            <w:r>
              <w:rPr>
                <w:sz w:val="17"/>
              </w:rPr>
              <w:t>Happy-path bias</w:t>
            </w:r>
          </w:p>
        </w:tc>
        <w:tc>
          <w:tcPr>
            <w:tcW w:type="dxa" w:w="5328"/>
            <w:tcMar>
              <w:top w:w="80" w:type="dxa"/>
              <w:start w:w="100" w:type="dxa"/>
              <w:bottom w:w="80" w:type="dxa"/>
              <w:end w:w="100" w:type="dxa"/>
            </w:tcMar>
            <w:vAlign w:val="top"/>
          </w:tcPr>
          <w:p>
            <w:pPr>
              <w:spacing w:after="0"/>
            </w:pPr>
            <w:r>
              <w:rPr>
                <w:sz w:val="17"/>
              </w:rPr>
              <w:t>Schedule restore, rollback, regional failover, incident, and chaos tests as release gates.</w:t>
            </w:r>
          </w:p>
        </w:tc>
      </w:tr>
    </w:tbl>
    <w:p>
      <w:pPr>
        <w:spacing w:after="20"/>
      </w:pPr>
    </w:p>
    <w:p>
      <w:pPr>
        <w:pStyle w:val="Heading2"/>
      </w:pPr>
      <w:r>
        <w:t>Hands-on Lab 70: Complete the Enterprise Azure Graduation Project</w:t>
      </w:r>
    </w:p>
    <w:p>
      <w:pPr>
        <w:pStyle w:val="Heading3"/>
      </w:pPr>
      <w:r>
        <w:t>Prerequisites</w:t>
      </w:r>
    </w:p>
    <w:p>
      <w:pPr>
        <w:pStyle w:val="ListBullet"/>
        <w:spacing w:after="60"/>
      </w:pPr>
      <w:r>
        <w:t>An approved Azure sandbox, source repository, architecture tooling, and cost budget.</w:t>
      </w:r>
    </w:p>
    <w:p>
      <w:pPr>
        <w:pStyle w:val="Heading3"/>
      </w:pPr>
      <w:r>
        <w:t>Implementation</w:t>
      </w:r>
    </w:p>
    <w:p>
      <w:pPr>
        <w:spacing w:after="60"/>
        <w:ind w:left="360" w:hanging="259"/>
      </w:pPr>
      <w:r>
        <w:rPr>
          <w:b/>
        </w:rPr>
        <w:t xml:space="preserve">1. </w:t>
      </w:r>
      <w:r>
        <w:t>Create project charter, outcomes, SLOs, RTO/RPO, threat model, data classification, and backlog.</w:t>
      </w:r>
    </w:p>
    <w:p>
      <w:pPr>
        <w:spacing w:after="60"/>
        <w:ind w:left="360" w:hanging="259"/>
      </w:pPr>
      <w:r>
        <w:rPr>
          <w:b/>
        </w:rPr>
        <w:t xml:space="preserve">2. </w:t>
      </w:r>
      <w:r>
        <w:t>Implement landing zone and secure delivery foundations as code.</w:t>
      </w:r>
    </w:p>
    <w:p>
      <w:pPr>
        <w:spacing w:after="60"/>
        <w:ind w:left="360" w:hanging="259"/>
      </w:pPr>
      <w:r>
        <w:rPr>
          <w:b/>
        </w:rPr>
        <w:t xml:space="preserve">3. </w:t>
      </w:r>
      <w:r>
        <w:t>Deploy the end-to-end commerce transaction with tenant-aware identity and data.</w:t>
      </w:r>
    </w:p>
    <w:p>
      <w:pPr>
        <w:spacing w:after="60"/>
        <w:ind w:left="360" w:hanging="259"/>
      </w:pPr>
      <w:r>
        <w:rPr>
          <w:b/>
        </w:rPr>
        <w:t xml:space="preserve">4. </w:t>
      </w:r>
      <w:r>
        <w:t>Add observability, security detections, governance, backup, and cost allocation.</w:t>
      </w:r>
    </w:p>
    <w:p>
      <w:pPr>
        <w:spacing w:after="60"/>
        <w:ind w:left="360" w:hanging="259"/>
      </w:pPr>
      <w:r>
        <w:rPr>
          <w:b/>
        </w:rPr>
        <w:t xml:space="preserve">5. </w:t>
      </w:r>
      <w:r>
        <w:t>Execute load, failure, restore, rollback, regional failover, and incident-response tests.</w:t>
      </w:r>
    </w:p>
    <w:p>
      <w:pPr>
        <w:spacing w:after="60"/>
        <w:ind w:left="360" w:hanging="259"/>
      </w:pPr>
      <w:r>
        <w:rPr>
          <w:b/>
        </w:rPr>
        <w:t xml:space="preserve">6. </w:t>
      </w:r>
      <w:r>
        <w:t>Publish sanitized portfolio documentation and deliver an architecture review presentation.</w:t>
      </w:r>
    </w:p>
    <w:p>
      <w:pPr>
        <w:pStyle w:val="Heading3"/>
      </w:pPr>
      <w:r>
        <w:t>Validation Evidence</w:t>
      </w:r>
    </w:p>
    <w:p>
      <w:pPr>
        <w:pStyle w:val="ListBullet"/>
        <w:spacing w:after="60"/>
      </w:pPr>
      <w:r>
        <w:t>A fresh reviewer can reproduce deployment.</w:t>
      </w:r>
    </w:p>
    <w:p>
      <w:pPr>
        <w:pStyle w:val="ListBullet"/>
        <w:spacing w:after="60"/>
      </w:pPr>
      <w:r>
        <w:t>Controls and evidence are traceable to requirements.</w:t>
      </w:r>
    </w:p>
    <w:p>
      <w:pPr>
        <w:pStyle w:val="ListBullet"/>
        <w:spacing w:after="60"/>
      </w:pPr>
      <w:r>
        <w:t>Measured recovery meets targets or residual risk is explicitly accepted.</w:t>
      </w:r>
    </w:p>
    <w:p>
      <w:pPr>
        <w:pStyle w:val="ListBullet"/>
        <w:spacing w:after="60"/>
      </w:pPr>
      <w:r>
        <w:t>Costs are allocated and forecast.</w:t>
      </w:r>
    </w:p>
    <w:p>
      <w:pPr>
        <w:pStyle w:val="ListBullet"/>
        <w:spacing w:after="60"/>
      </w:pPr>
      <w:r>
        <w:t>The portfolio contains no secrets, private identifiers, or sensitive data.</w:t>
      </w:r>
    </w:p>
    <w:p>
      <w:pPr>
        <w:pStyle w:val="Heading3"/>
      </w:pPr>
      <w:r>
        <w:t>Cleanup</w:t>
      </w:r>
    </w:p>
    <w:p>
      <w:pPr>
        <w:pStyle w:val="ListBullet"/>
        <w:spacing w:after="60"/>
      </w:pPr>
      <w:r>
        <w:t>Destroy the sandbox using the documented teardown process.</w:t>
      </w:r>
    </w:p>
    <w:p>
      <w:pPr>
        <w:pStyle w:val="ListBullet"/>
        <w:spacing w:after="60"/>
      </w:pPr>
      <w:r>
        <w:t>Verify deletion of identities, private endpoints, data, logs, backups, DNS, and cost-bearing resources.</w:t>
      </w:r>
    </w:p>
    <w:p>
      <w:pPr>
        <w:pStyle w:val="Heading2"/>
      </w:pPr>
      <w:r>
        <w:t>Interview Questions and Model Answers</w:t>
      </w:r>
    </w:p>
    <w:p>
      <w:pPr>
        <w:spacing w:after="40"/>
      </w:pPr>
      <w:r>
        <w:rPr>
          <w:b/>
        </w:rPr>
        <w:t>1. What is the most important capstone outcome?</w:t>
      </w:r>
    </w:p>
    <w:p>
      <w:pPr>
        <w:spacing w:after="120"/>
        <w:ind w:left="216"/>
      </w:pPr>
      <w:r>
        <w:t>Evidence that architecture, delivery, operations, security, recovery, and cost controls work together.</w:t>
      </w:r>
    </w:p>
    <w:p>
      <w:pPr>
        <w:spacing w:after="40"/>
      </w:pPr>
      <w:r>
        <w:rPr>
          <w:b/>
        </w:rPr>
        <w:t>2. How should residual risk be handled?</w:t>
      </w:r>
    </w:p>
    <w:p>
      <w:pPr>
        <w:spacing w:after="120"/>
        <w:ind w:left="216"/>
      </w:pPr>
      <w:r>
        <w:t>Document likelihood, impact, compensating controls, owner, approval, and review date.</w:t>
      </w:r>
    </w:p>
    <w:p>
      <w:pPr>
        <w:spacing w:after="40"/>
      </w:pPr>
      <w:r>
        <w:rPr>
          <w:b/>
        </w:rPr>
        <w:t>3. What makes a portfolio artifact credible?</w:t>
      </w:r>
    </w:p>
    <w:p>
      <w:pPr>
        <w:spacing w:after="120"/>
        <w:ind w:left="216"/>
      </w:pPr>
      <w:r>
        <w:t>Reproducible implementation, measured tests, honest trade-offs, sanitized evidence, and clear ownership.</w:t>
      </w:r>
    </w:p>
    <w:p>
      <w:pPr>
        <w:spacing w:after="40"/>
      </w:pPr>
      <w:r>
        <w:rPr>
          <w:b/>
        </w:rPr>
        <w:t>4. What demonstrates senior Azure capability?</w:t>
      </w:r>
    </w:p>
    <w:p>
      <w:pPr>
        <w:spacing w:after="120"/>
        <w:ind w:left="216"/>
      </w:pPr>
      <w:r>
        <w:t>Consistent decisions across business outcomes, platform constraints, failure modes, security, operations, and economics.</w:t>
      </w:r>
    </w:p>
    <w:p>
      <w:pPr>
        <w:pStyle w:val="Heading2"/>
      </w:pPr>
      <w:r>
        <w:t>Chapter Summary</w:t>
      </w:r>
    </w:p>
    <w:p>
      <w:pPr>
        <w:pStyle w:val="ListBullet"/>
        <w:spacing w:after="60"/>
      </w:pPr>
      <w:r>
        <w:t>Integrate the entire Azure operating model.</w:t>
      </w:r>
    </w:p>
    <w:p>
      <w:pPr>
        <w:pStyle w:val="ListBullet"/>
        <w:spacing w:after="60"/>
      </w:pPr>
      <w:r>
        <w:t>Produce deployable systems and audit-ready evidence.</w:t>
      </w:r>
    </w:p>
    <w:p>
      <w:pPr>
        <w:pStyle w:val="ListBullet"/>
        <w:spacing w:after="60"/>
      </w:pPr>
      <w:r>
        <w:t>Prove rollback, restore, failover, and incident response.</w:t>
      </w:r>
    </w:p>
    <w:p>
      <w:pPr>
        <w:pStyle w:val="ListBullet"/>
        <w:spacing w:after="60"/>
      </w:pPr>
      <w:r>
        <w:t>Present both technical depth and business value.</w:t>
      </w:r>
    </w:p>
    <w:p>
      <w:pPr>
        <w:pStyle w:val="Heading1"/>
        <w:pageBreakBefore/>
      </w:pPr>
      <w:r>
        <w:t>Part F Command and Investigation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078D4"/>
            <w:tcMar>
              <w:top w:w="80" w:type="dxa"/>
              <w:start w:w="100" w:type="dxa"/>
              <w:bottom w:w="80" w:type="dxa"/>
              <w:end w:w="100" w:type="dxa"/>
            </w:tcMar>
            <w:vAlign w:val="center"/>
          </w:tcPr>
          <w:p>
            <w:pPr>
              <w:jc w:val="center"/>
            </w:pPr>
            <w:r>
              <w:rPr>
                <w:b/>
                <w:color w:val="FFFFFF"/>
                <w:sz w:val="17"/>
              </w:rPr>
              <w:t>Purpose</w:t>
            </w:r>
          </w:p>
        </w:tc>
        <w:tc>
          <w:tcPr>
            <w:tcW w:type="dxa" w:w="6912"/>
            <w:shd w:fill="0078D4"/>
            <w:tcMar>
              <w:top w:w="80" w:type="dxa"/>
              <w:start w:w="100" w:type="dxa"/>
              <w:bottom w:w="80" w:type="dxa"/>
              <w:end w:w="100" w:type="dxa"/>
            </w:tcMar>
            <w:vAlign w:val="center"/>
          </w:tcPr>
          <w:p>
            <w:pPr>
              <w:jc w:val="center"/>
            </w:pPr>
            <w:r>
              <w:rPr>
                <w:b/>
                <w:color w:val="FFFFFF"/>
                <w:sz w:val="17"/>
              </w:rPr>
              <w:t>Example</w:t>
            </w:r>
          </w:p>
        </w:tc>
      </w:tr>
      <w:tr>
        <w:trPr>
          <w:cantSplit/>
        </w:trPr>
        <w:tc>
          <w:tcPr>
            <w:tcW w:type="dxa" w:w="3168"/>
            <w:tcMar>
              <w:top w:w="80" w:type="dxa"/>
              <w:start w:w="100" w:type="dxa"/>
              <w:bottom w:w="80" w:type="dxa"/>
              <w:end w:w="100" w:type="dxa"/>
            </w:tcMar>
            <w:vAlign w:val="top"/>
          </w:tcPr>
          <w:p>
            <w:pPr>
              <w:spacing w:after="0"/>
            </w:pPr>
            <w:r>
              <w:rPr>
                <w:sz w:val="17"/>
              </w:rPr>
              <w:t>Current account and subscription</w:t>
            </w:r>
          </w:p>
        </w:tc>
        <w:tc>
          <w:tcPr>
            <w:tcW w:type="dxa" w:w="6912"/>
            <w:tcMar>
              <w:top w:w="80" w:type="dxa"/>
              <w:start w:w="100" w:type="dxa"/>
              <w:bottom w:w="80" w:type="dxa"/>
              <w:end w:w="100" w:type="dxa"/>
            </w:tcMar>
            <w:vAlign w:val="top"/>
          </w:tcPr>
          <w:p>
            <w:pPr>
              <w:spacing w:after="0"/>
            </w:pPr>
            <w:r>
              <w:rPr>
                <w:sz w:val="17"/>
              </w:rPr>
              <w:t>az account show --output table</w:t>
            </w:r>
          </w:p>
        </w:tc>
      </w:tr>
      <w:tr>
        <w:trPr>
          <w:cantSplit/>
        </w:trPr>
        <w:tc>
          <w:tcPr>
            <w:tcW w:type="dxa" w:w="3168"/>
            <w:tcMar>
              <w:top w:w="80" w:type="dxa"/>
              <w:start w:w="100" w:type="dxa"/>
              <w:bottom w:w="80" w:type="dxa"/>
              <w:end w:w="100" w:type="dxa"/>
            </w:tcMar>
            <w:vAlign w:val="top"/>
          </w:tcPr>
          <w:p>
            <w:pPr>
              <w:spacing w:after="0"/>
            </w:pPr>
            <w:r>
              <w:rPr>
                <w:sz w:val="17"/>
              </w:rPr>
              <w:t>List recent failed activity</w:t>
            </w:r>
          </w:p>
        </w:tc>
        <w:tc>
          <w:tcPr>
            <w:tcW w:type="dxa" w:w="6912"/>
            <w:tcMar>
              <w:top w:w="80" w:type="dxa"/>
              <w:start w:w="100" w:type="dxa"/>
              <w:bottom w:w="80" w:type="dxa"/>
              <w:end w:w="100" w:type="dxa"/>
            </w:tcMar>
            <w:vAlign w:val="top"/>
          </w:tcPr>
          <w:p>
            <w:pPr>
              <w:spacing w:after="0"/>
            </w:pPr>
            <w:r>
              <w:rPr>
                <w:sz w:val="17"/>
              </w:rPr>
              <w:t>az monitor activity-log list --status Failed --offset 24h --output table</w:t>
            </w:r>
          </w:p>
        </w:tc>
      </w:tr>
      <w:tr>
        <w:trPr>
          <w:cantSplit/>
        </w:trPr>
        <w:tc>
          <w:tcPr>
            <w:tcW w:type="dxa" w:w="3168"/>
            <w:tcMar>
              <w:top w:w="80" w:type="dxa"/>
              <w:start w:w="100" w:type="dxa"/>
              <w:bottom w:w="80" w:type="dxa"/>
              <w:end w:w="100" w:type="dxa"/>
            </w:tcMar>
            <w:vAlign w:val="top"/>
          </w:tcPr>
          <w:p>
            <w:pPr>
              <w:spacing w:after="0"/>
            </w:pPr>
            <w:r>
              <w:rPr>
                <w:sz w:val="17"/>
              </w:rPr>
              <w:t>Resource health</w:t>
            </w:r>
          </w:p>
        </w:tc>
        <w:tc>
          <w:tcPr>
            <w:tcW w:type="dxa" w:w="6912"/>
            <w:tcMar>
              <w:top w:w="80" w:type="dxa"/>
              <w:start w:w="100" w:type="dxa"/>
              <w:bottom w:w="80" w:type="dxa"/>
              <w:end w:w="100" w:type="dxa"/>
            </w:tcMar>
            <w:vAlign w:val="top"/>
          </w:tcPr>
          <w:p>
            <w:pPr>
              <w:spacing w:after="0"/>
            </w:pPr>
            <w:r>
              <w:rPr>
                <w:sz w:val="17"/>
              </w:rPr>
              <w:t>az rest --method get --url "https://management.azure.com/subscriptions/&lt;sub&gt;/providers/Microsoft.ResourceHealth/availabilityStatuses?api-version=&lt;version&gt;"</w:t>
            </w:r>
          </w:p>
        </w:tc>
      </w:tr>
      <w:tr>
        <w:trPr>
          <w:cantSplit/>
        </w:trPr>
        <w:tc>
          <w:tcPr>
            <w:tcW w:type="dxa" w:w="3168"/>
            <w:tcMar>
              <w:top w:w="80" w:type="dxa"/>
              <w:start w:w="100" w:type="dxa"/>
              <w:bottom w:w="80" w:type="dxa"/>
              <w:end w:w="100" w:type="dxa"/>
            </w:tcMar>
            <w:vAlign w:val="top"/>
          </w:tcPr>
          <w:p>
            <w:pPr>
              <w:spacing w:after="0"/>
            </w:pPr>
            <w:r>
              <w:rPr>
                <w:sz w:val="17"/>
              </w:rPr>
              <w:t>List role assignments</w:t>
            </w:r>
          </w:p>
        </w:tc>
        <w:tc>
          <w:tcPr>
            <w:tcW w:type="dxa" w:w="6912"/>
            <w:tcMar>
              <w:top w:w="80" w:type="dxa"/>
              <w:start w:w="100" w:type="dxa"/>
              <w:bottom w:w="80" w:type="dxa"/>
              <w:end w:w="100" w:type="dxa"/>
            </w:tcMar>
            <w:vAlign w:val="top"/>
          </w:tcPr>
          <w:p>
            <w:pPr>
              <w:spacing w:after="0"/>
            </w:pPr>
            <w:r>
              <w:rPr>
                <w:sz w:val="17"/>
              </w:rPr>
              <w:t>az role assignment list --all --output table</w:t>
            </w:r>
          </w:p>
        </w:tc>
      </w:tr>
      <w:tr>
        <w:trPr>
          <w:cantSplit/>
        </w:trPr>
        <w:tc>
          <w:tcPr>
            <w:tcW w:type="dxa" w:w="3168"/>
            <w:tcMar>
              <w:top w:w="80" w:type="dxa"/>
              <w:start w:w="100" w:type="dxa"/>
              <w:bottom w:w="80" w:type="dxa"/>
              <w:end w:w="100" w:type="dxa"/>
            </w:tcMar>
            <w:vAlign w:val="top"/>
          </w:tcPr>
          <w:p>
            <w:pPr>
              <w:spacing w:after="0"/>
            </w:pPr>
            <w:r>
              <w:rPr>
                <w:sz w:val="17"/>
              </w:rPr>
              <w:t>Cost query entry point</w:t>
            </w:r>
          </w:p>
        </w:tc>
        <w:tc>
          <w:tcPr>
            <w:tcW w:type="dxa" w:w="6912"/>
            <w:tcMar>
              <w:top w:w="80" w:type="dxa"/>
              <w:start w:w="100" w:type="dxa"/>
              <w:bottom w:w="80" w:type="dxa"/>
              <w:end w:w="100" w:type="dxa"/>
            </w:tcMar>
            <w:vAlign w:val="top"/>
          </w:tcPr>
          <w:p>
            <w:pPr>
              <w:spacing w:after="0"/>
            </w:pPr>
            <w:r>
              <w:rPr>
                <w:sz w:val="17"/>
              </w:rPr>
              <w:t>az consumption usage list --start-date YYYY-MM-DD --end-date YYYY-MM-DD</w:t>
            </w:r>
          </w:p>
        </w:tc>
      </w:tr>
      <w:tr>
        <w:trPr>
          <w:cantSplit/>
        </w:trPr>
        <w:tc>
          <w:tcPr>
            <w:tcW w:type="dxa" w:w="3168"/>
            <w:tcMar>
              <w:top w:w="80" w:type="dxa"/>
              <w:start w:w="100" w:type="dxa"/>
              <w:bottom w:w="80" w:type="dxa"/>
              <w:end w:w="100" w:type="dxa"/>
            </w:tcMar>
            <w:vAlign w:val="top"/>
          </w:tcPr>
          <w:p>
            <w:pPr>
              <w:spacing w:after="0"/>
            </w:pPr>
            <w:r>
              <w:rPr>
                <w:sz w:val="17"/>
              </w:rPr>
              <w:t>Front Door profile/origin inventory</w:t>
            </w:r>
          </w:p>
        </w:tc>
        <w:tc>
          <w:tcPr>
            <w:tcW w:type="dxa" w:w="6912"/>
            <w:tcMar>
              <w:top w:w="80" w:type="dxa"/>
              <w:start w:w="100" w:type="dxa"/>
              <w:bottom w:w="80" w:type="dxa"/>
              <w:end w:w="100" w:type="dxa"/>
            </w:tcMar>
            <w:vAlign w:val="top"/>
          </w:tcPr>
          <w:p>
            <w:pPr>
              <w:spacing w:after="0"/>
            </w:pPr>
            <w:r>
              <w:rPr>
                <w:sz w:val="17"/>
              </w:rPr>
              <w:t>az afd profile list -g &lt;rg&gt; &amp;&amp; az afd origin-group list -g &lt;rg&gt; --profile-name &lt;profile&gt;</w:t>
            </w:r>
          </w:p>
        </w:tc>
      </w:tr>
      <w:tr>
        <w:trPr>
          <w:cantSplit/>
        </w:trPr>
        <w:tc>
          <w:tcPr>
            <w:tcW w:type="dxa" w:w="3168"/>
            <w:tcMar>
              <w:top w:w="80" w:type="dxa"/>
              <w:start w:w="100" w:type="dxa"/>
              <w:bottom w:w="80" w:type="dxa"/>
              <w:end w:w="100" w:type="dxa"/>
            </w:tcMar>
            <w:vAlign w:val="top"/>
          </w:tcPr>
          <w:p>
            <w:pPr>
              <w:spacing w:after="0"/>
            </w:pPr>
            <w:r>
              <w:rPr>
                <w:sz w:val="17"/>
              </w:rPr>
              <w:t>Policy compliance summary</w:t>
            </w:r>
          </w:p>
        </w:tc>
        <w:tc>
          <w:tcPr>
            <w:tcW w:type="dxa" w:w="6912"/>
            <w:tcMar>
              <w:top w:w="80" w:type="dxa"/>
              <w:start w:w="100" w:type="dxa"/>
              <w:bottom w:w="80" w:type="dxa"/>
              <w:end w:w="100" w:type="dxa"/>
            </w:tcMar>
            <w:vAlign w:val="top"/>
          </w:tcPr>
          <w:p>
            <w:pPr>
              <w:spacing w:after="0"/>
            </w:pPr>
            <w:r>
              <w:rPr>
                <w:sz w:val="17"/>
              </w:rPr>
              <w:t>az policy state summarize --subscription &lt;subscription-id&gt;</w:t>
            </w:r>
          </w:p>
        </w:tc>
      </w:tr>
      <w:tr>
        <w:trPr>
          <w:cantSplit/>
        </w:trPr>
        <w:tc>
          <w:tcPr>
            <w:tcW w:type="dxa" w:w="3168"/>
            <w:tcMar>
              <w:top w:w="80" w:type="dxa"/>
              <w:start w:w="100" w:type="dxa"/>
              <w:bottom w:w="80" w:type="dxa"/>
              <w:end w:w="100" w:type="dxa"/>
            </w:tcMar>
            <w:vAlign w:val="top"/>
          </w:tcPr>
          <w:p>
            <w:pPr>
              <w:spacing w:after="0"/>
            </w:pPr>
            <w:r>
              <w:rPr>
                <w:sz w:val="17"/>
              </w:rPr>
              <w:t>Deployment history</w:t>
            </w:r>
          </w:p>
        </w:tc>
        <w:tc>
          <w:tcPr>
            <w:tcW w:type="dxa" w:w="6912"/>
            <w:tcMar>
              <w:top w:w="80" w:type="dxa"/>
              <w:start w:w="100" w:type="dxa"/>
              <w:bottom w:w="80" w:type="dxa"/>
              <w:end w:w="100" w:type="dxa"/>
            </w:tcMar>
            <w:vAlign w:val="top"/>
          </w:tcPr>
          <w:p>
            <w:pPr>
              <w:spacing w:after="0"/>
            </w:pPr>
            <w:r>
              <w:rPr>
                <w:sz w:val="17"/>
              </w:rPr>
              <w:t>az deployment sub list --output table</w:t>
            </w:r>
          </w:p>
        </w:tc>
      </w:tr>
      <w:tr>
        <w:trPr>
          <w:cantSplit/>
        </w:trPr>
        <w:tc>
          <w:tcPr>
            <w:tcW w:type="dxa" w:w="3168"/>
            <w:tcMar>
              <w:top w:w="80" w:type="dxa"/>
              <w:start w:w="100" w:type="dxa"/>
              <w:bottom w:w="80" w:type="dxa"/>
              <w:end w:w="100" w:type="dxa"/>
            </w:tcMar>
            <w:vAlign w:val="top"/>
          </w:tcPr>
          <w:p>
            <w:pPr>
              <w:spacing w:after="0"/>
            </w:pPr>
            <w:r>
              <w:rPr>
                <w:sz w:val="17"/>
              </w:rPr>
              <w:t>Network connectivity test</w:t>
            </w:r>
          </w:p>
        </w:tc>
        <w:tc>
          <w:tcPr>
            <w:tcW w:type="dxa" w:w="6912"/>
            <w:tcMar>
              <w:top w:w="80" w:type="dxa"/>
              <w:start w:w="100" w:type="dxa"/>
              <w:bottom w:w="80" w:type="dxa"/>
              <w:end w:w="100" w:type="dxa"/>
            </w:tcMar>
            <w:vAlign w:val="top"/>
          </w:tcPr>
          <w:p>
            <w:pPr>
              <w:spacing w:after="0"/>
            </w:pPr>
            <w:r>
              <w:rPr>
                <w:sz w:val="17"/>
              </w:rPr>
              <w:t>az network watcher test-connectivity --source-resource &lt;id&gt; --dest-address &lt;host&gt; --dest-port 443</w:t>
            </w:r>
          </w:p>
        </w:tc>
      </w:tr>
      <w:tr>
        <w:trPr>
          <w:cantSplit/>
        </w:trPr>
        <w:tc>
          <w:tcPr>
            <w:tcW w:type="dxa" w:w="3168"/>
            <w:tcMar>
              <w:top w:w="80" w:type="dxa"/>
              <w:start w:w="100" w:type="dxa"/>
              <w:bottom w:w="80" w:type="dxa"/>
              <w:end w:w="100" w:type="dxa"/>
            </w:tcMar>
            <w:vAlign w:val="top"/>
          </w:tcPr>
          <w:p>
            <w:pPr>
              <w:spacing w:after="0"/>
            </w:pPr>
            <w:r>
              <w:rPr>
                <w:sz w:val="17"/>
              </w:rPr>
              <w:t>Resource inventory</w:t>
            </w:r>
          </w:p>
        </w:tc>
        <w:tc>
          <w:tcPr>
            <w:tcW w:type="dxa" w:w="6912"/>
            <w:tcMar>
              <w:top w:w="80" w:type="dxa"/>
              <w:start w:w="100" w:type="dxa"/>
              <w:bottom w:w="80" w:type="dxa"/>
              <w:end w:w="100" w:type="dxa"/>
            </w:tcMar>
            <w:vAlign w:val="top"/>
          </w:tcPr>
          <w:p>
            <w:pPr>
              <w:spacing w:after="0"/>
            </w:pPr>
            <w:r>
              <w:rPr>
                <w:sz w:val="17"/>
              </w:rPr>
              <w:t>az graph query -q "Resources | project name,type,location,resourceGroup"</w:t>
            </w:r>
          </w:p>
        </w:tc>
      </w:tr>
    </w:tbl>
    <w:p>
      <w:pPr>
        <w:spacing w:after="20"/>
      </w:pPr>
    </w:p>
    <w:p>
      <w:pPr>
        <w:spacing w:after="120"/>
      </w:pPr>
      <w:r>
        <w:rPr>
          <w:i w:val="0"/>
        </w:rPr>
        <w:t>Examples are intentionally generic. Verify command syntax, API version, permissions, service support, and current Azure CLI extensions before use. Never paste secrets or production identifiers into shared logs or documentation.</w:t>
      </w:r>
    </w:p>
    <w:p>
      <w:pPr>
        <w:pStyle w:val="Heading1"/>
      </w:pPr>
      <w:r>
        <w:t>Production Readiness Graduation Checklist</w:t>
      </w:r>
    </w:p>
    <w:p>
      <w:pPr>
        <w:pStyle w:val="ListBullet"/>
        <w:spacing w:after="60"/>
      </w:pPr>
      <w:r>
        <w:t>Business owner, technical owner, on-call owner, data owner, security owner, and cost owner are named.</w:t>
      </w:r>
    </w:p>
    <w:p>
      <w:pPr>
        <w:pStyle w:val="ListBullet"/>
        <w:spacing w:after="60"/>
      </w:pPr>
      <w:r>
        <w:t>SLOs, SLIs, error budgets, RTO, RPO, capacity assumptions, and dependency objectives are documented.</w:t>
      </w:r>
    </w:p>
    <w:p>
      <w:pPr>
        <w:pStyle w:val="ListBullet"/>
        <w:spacing w:after="60"/>
      </w:pPr>
      <w:r>
        <w:t>Trust boundaries, data classification, identity flows, private/public paths, and threat model are current.</w:t>
      </w:r>
    </w:p>
    <w:p>
      <w:pPr>
        <w:pStyle w:val="ListBullet"/>
        <w:spacing w:after="60"/>
      </w:pPr>
      <w:r>
        <w:t>Infrastructure and configuration are versioned, reviewed, tested, and deployed through short-lived identities.</w:t>
      </w:r>
    </w:p>
    <w:p>
      <w:pPr>
        <w:pStyle w:val="ListBullet"/>
        <w:spacing w:after="60"/>
      </w:pPr>
      <w:r>
        <w:t>Rollback, restore, regional failover, security containment, and break-glass procedures have measured evidence.</w:t>
      </w:r>
    </w:p>
    <w:p>
      <w:pPr>
        <w:pStyle w:val="ListBullet"/>
        <w:spacing w:after="60"/>
      </w:pPr>
      <w:r>
        <w:t>Observability covers business transactions, metrics, logs, traces, queues, data correctness, cost, and security.</w:t>
      </w:r>
    </w:p>
    <w:p>
      <w:pPr>
        <w:pStyle w:val="ListBullet"/>
        <w:spacing w:after="60"/>
      </w:pPr>
      <w:r>
        <w:t>Policy, Defender, Sentinel, vulnerability, access-review, backup, and deployment evidence can be reproduced.</w:t>
      </w:r>
    </w:p>
    <w:p>
      <w:pPr>
        <w:pStyle w:val="ListBullet"/>
        <w:spacing w:after="60"/>
      </w:pPr>
      <w:r>
        <w:t>Cost allocation, unit economics, budgets, anomaly response, rightsizing, and commitment ownership are active.</w:t>
      </w:r>
    </w:p>
    <w:p>
      <w:pPr>
        <w:pStyle w:val="ListBullet"/>
        <w:spacing w:after="60"/>
      </w:pPr>
      <w:r>
        <w:t>Runbooks, incident roles, escalation, communication, and post-incident improvement processes are tested.</w:t>
      </w:r>
    </w:p>
    <w:p>
      <w:pPr>
        <w:pStyle w:val="ListBullet"/>
        <w:spacing w:after="60"/>
      </w:pPr>
      <w:r>
        <w:t>Residual risks and exceptions have owners, approvals, compensating controls, expiry, and review dates.</w:t>
      </w:r>
    </w:p>
    <w:p>
      <w:pPr>
        <w:pStyle w:val="Heading1"/>
      </w:pPr>
      <w:r>
        <w:t>Ten Additional Enterprise Portfolio Projects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78D4"/>
            <w:tcMar>
              <w:top w:w="80" w:type="dxa"/>
              <w:start w:w="100" w:type="dxa"/>
              <w:bottom w:w="80" w:type="dxa"/>
              <w:end w:w="100" w:type="dxa"/>
            </w:tcMar>
            <w:vAlign w:val="center"/>
          </w:tcPr>
          <w:p>
            <w:pPr>
              <w:jc w:val="center"/>
            </w:pPr>
            <w:r>
              <w:rPr>
                <w:b/>
                <w:color w:val="FFFFFF"/>
                <w:sz w:val="17"/>
              </w:rPr>
              <w:t>Project</w:t>
            </w:r>
          </w:p>
        </w:tc>
        <w:tc>
          <w:tcPr>
            <w:tcW w:type="dxa" w:w="7200"/>
            <w:shd w:fill="0078D4"/>
            <w:tcMar>
              <w:top w:w="80" w:type="dxa"/>
              <w:start w:w="100" w:type="dxa"/>
              <w:bottom w:w="80" w:type="dxa"/>
              <w:end w:w="100" w:type="dxa"/>
            </w:tcMar>
            <w:vAlign w:val="center"/>
          </w:tcPr>
          <w:p>
            <w:pPr>
              <w:jc w:val="center"/>
            </w:pPr>
            <w:r>
              <w:rPr>
                <w:b/>
                <w:color w:val="FFFFFF"/>
                <w:sz w:val="17"/>
              </w:rPr>
              <w:t>Evidence</w:t>
            </w:r>
          </w:p>
        </w:tc>
      </w:tr>
      <w:tr>
        <w:trPr>
          <w:cantSplit/>
        </w:trPr>
        <w:tc>
          <w:tcPr>
            <w:tcW w:type="dxa" w:w="2880"/>
            <w:tcMar>
              <w:top w:w="80" w:type="dxa"/>
              <w:start w:w="100" w:type="dxa"/>
              <w:bottom w:w="80" w:type="dxa"/>
              <w:end w:w="100" w:type="dxa"/>
            </w:tcMar>
            <w:vAlign w:val="top"/>
          </w:tcPr>
          <w:p>
            <w:pPr>
              <w:spacing w:after="0"/>
            </w:pPr>
            <w:r>
              <w:rPr>
                <w:sz w:val="17"/>
              </w:rPr>
              <w:t>Global API Platform</w:t>
            </w:r>
          </w:p>
        </w:tc>
        <w:tc>
          <w:tcPr>
            <w:tcW w:type="dxa" w:w="7200"/>
            <w:tcMar>
              <w:top w:w="80" w:type="dxa"/>
              <w:start w:w="100" w:type="dxa"/>
              <w:bottom w:w="80" w:type="dxa"/>
              <w:end w:w="100" w:type="dxa"/>
            </w:tcMar>
            <w:vAlign w:val="top"/>
          </w:tcPr>
          <w:p>
            <w:pPr>
              <w:spacing w:after="0"/>
            </w:pPr>
            <w:r>
              <w:rPr>
                <w:sz w:val="17"/>
              </w:rPr>
              <w:t>Front Door, WAF, API Management, private regional origins, canary deployment, global failover.</w:t>
            </w:r>
          </w:p>
        </w:tc>
      </w:tr>
      <w:tr>
        <w:trPr>
          <w:cantSplit/>
        </w:trPr>
        <w:tc>
          <w:tcPr>
            <w:tcW w:type="dxa" w:w="2880"/>
            <w:tcMar>
              <w:top w:w="80" w:type="dxa"/>
              <w:start w:w="100" w:type="dxa"/>
              <w:bottom w:w="80" w:type="dxa"/>
              <w:end w:w="100" w:type="dxa"/>
            </w:tcMar>
            <w:vAlign w:val="top"/>
          </w:tcPr>
          <w:p>
            <w:pPr>
              <w:spacing w:after="0"/>
            </w:pPr>
            <w:r>
              <w:rPr>
                <w:sz w:val="17"/>
              </w:rPr>
              <w:t>Hybrid Migration Factory</w:t>
            </w:r>
          </w:p>
        </w:tc>
        <w:tc>
          <w:tcPr>
            <w:tcW w:type="dxa" w:w="7200"/>
            <w:tcMar>
              <w:top w:w="80" w:type="dxa"/>
              <w:start w:w="100" w:type="dxa"/>
              <w:bottom w:w="80" w:type="dxa"/>
              <w:end w:w="100" w:type="dxa"/>
            </w:tcMar>
            <w:vAlign w:val="top"/>
          </w:tcPr>
          <w:p>
            <w:pPr>
              <w:spacing w:after="0"/>
            </w:pPr>
            <w:r>
              <w:rPr>
                <w:sz w:val="17"/>
              </w:rPr>
              <w:t>Azure Migrate assessment, wave plan, landing-zone prerequisites, Arc governance, rehearsal evidence.</w:t>
            </w:r>
          </w:p>
        </w:tc>
      </w:tr>
      <w:tr>
        <w:trPr>
          <w:cantSplit/>
        </w:trPr>
        <w:tc>
          <w:tcPr>
            <w:tcW w:type="dxa" w:w="2880"/>
            <w:tcMar>
              <w:top w:w="80" w:type="dxa"/>
              <w:start w:w="100" w:type="dxa"/>
              <w:bottom w:w="80" w:type="dxa"/>
              <w:end w:w="100" w:type="dxa"/>
            </w:tcMar>
            <w:vAlign w:val="top"/>
          </w:tcPr>
          <w:p>
            <w:pPr>
              <w:spacing w:after="0"/>
            </w:pPr>
            <w:r>
              <w:rPr>
                <w:sz w:val="17"/>
              </w:rPr>
              <w:t>Cell-Based SaaS</w:t>
            </w:r>
          </w:p>
        </w:tc>
        <w:tc>
          <w:tcPr>
            <w:tcW w:type="dxa" w:w="7200"/>
            <w:tcMar>
              <w:top w:w="80" w:type="dxa"/>
              <w:start w:w="100" w:type="dxa"/>
              <w:bottom w:w="80" w:type="dxa"/>
              <w:end w:w="100" w:type="dxa"/>
            </w:tcMar>
            <w:vAlign w:val="top"/>
          </w:tcPr>
          <w:p>
            <w:pPr>
              <w:spacing w:after="0"/>
            </w:pPr>
            <w:r>
              <w:rPr>
                <w:sz w:val="17"/>
              </w:rPr>
              <w:t>Tenant placement, isolation tiers, metering, quotas, onboarding/offboarding, cross-tenant tests.</w:t>
            </w:r>
          </w:p>
        </w:tc>
      </w:tr>
      <w:tr>
        <w:trPr>
          <w:cantSplit/>
        </w:trPr>
        <w:tc>
          <w:tcPr>
            <w:tcW w:type="dxa" w:w="2880"/>
            <w:tcMar>
              <w:top w:w="80" w:type="dxa"/>
              <w:start w:w="100" w:type="dxa"/>
              <w:bottom w:w="80" w:type="dxa"/>
              <w:end w:w="100" w:type="dxa"/>
            </w:tcMar>
            <w:vAlign w:val="top"/>
          </w:tcPr>
          <w:p>
            <w:pPr>
              <w:spacing w:after="0"/>
            </w:pPr>
            <w:r>
              <w:rPr>
                <w:sz w:val="17"/>
              </w:rPr>
              <w:t>Regulated Data Platform</w:t>
            </w:r>
          </w:p>
        </w:tc>
        <w:tc>
          <w:tcPr>
            <w:tcW w:type="dxa" w:w="7200"/>
            <w:tcMar>
              <w:top w:w="80" w:type="dxa"/>
              <w:start w:w="100" w:type="dxa"/>
              <w:bottom w:w="80" w:type="dxa"/>
              <w:end w:w="100" w:type="dxa"/>
            </w:tcMar>
            <w:vAlign w:val="top"/>
          </w:tcPr>
          <w:p>
            <w:pPr>
              <w:spacing w:after="0"/>
            </w:pPr>
            <w:r>
              <w:rPr>
                <w:sz w:val="17"/>
              </w:rPr>
              <w:t>Private data lake/lakehouse, managed identities, Purview-style governance, audit and recovery.</w:t>
            </w:r>
          </w:p>
        </w:tc>
      </w:tr>
      <w:tr>
        <w:trPr>
          <w:cantSplit/>
        </w:trPr>
        <w:tc>
          <w:tcPr>
            <w:tcW w:type="dxa" w:w="2880"/>
            <w:tcMar>
              <w:top w:w="80" w:type="dxa"/>
              <w:start w:w="100" w:type="dxa"/>
              <w:bottom w:w="80" w:type="dxa"/>
              <w:end w:w="100" w:type="dxa"/>
            </w:tcMar>
            <w:vAlign w:val="top"/>
          </w:tcPr>
          <w:p>
            <w:pPr>
              <w:spacing w:after="0"/>
            </w:pPr>
            <w:r>
              <w:rPr>
                <w:sz w:val="17"/>
              </w:rPr>
              <w:t>AKS Platform Product</w:t>
            </w:r>
          </w:p>
        </w:tc>
        <w:tc>
          <w:tcPr>
            <w:tcW w:type="dxa" w:w="7200"/>
            <w:tcMar>
              <w:top w:w="80" w:type="dxa"/>
              <w:start w:w="100" w:type="dxa"/>
              <w:bottom w:w="80" w:type="dxa"/>
              <w:end w:w="100" w:type="dxa"/>
            </w:tcMar>
            <w:vAlign w:val="top"/>
          </w:tcPr>
          <w:p>
            <w:pPr>
              <w:spacing w:after="0"/>
            </w:pPr>
            <w:r>
              <w:rPr>
                <w:sz w:val="17"/>
              </w:rPr>
              <w:t>Private cluster, workload identity, GitOps or pipeline delivery, policy, observability, upgrade game day.</w:t>
            </w:r>
          </w:p>
        </w:tc>
      </w:tr>
      <w:tr>
        <w:trPr>
          <w:cantSplit/>
        </w:trPr>
        <w:tc>
          <w:tcPr>
            <w:tcW w:type="dxa" w:w="2880"/>
            <w:tcMar>
              <w:top w:w="80" w:type="dxa"/>
              <w:start w:w="100" w:type="dxa"/>
              <w:bottom w:w="80" w:type="dxa"/>
              <w:end w:w="100" w:type="dxa"/>
            </w:tcMar>
            <w:vAlign w:val="top"/>
          </w:tcPr>
          <w:p>
            <w:pPr>
              <w:spacing w:after="0"/>
            </w:pPr>
            <w:r>
              <w:rPr>
                <w:sz w:val="17"/>
              </w:rPr>
              <w:t>Serverless Order Workflow</w:t>
            </w:r>
          </w:p>
        </w:tc>
        <w:tc>
          <w:tcPr>
            <w:tcW w:type="dxa" w:w="7200"/>
            <w:tcMar>
              <w:top w:w="80" w:type="dxa"/>
              <w:start w:w="100" w:type="dxa"/>
              <w:bottom w:w="80" w:type="dxa"/>
              <w:end w:w="100" w:type="dxa"/>
            </w:tcMar>
            <w:vAlign w:val="top"/>
          </w:tcPr>
          <w:p>
            <w:pPr>
              <w:spacing w:after="0"/>
            </w:pPr>
            <w:r>
              <w:rPr>
                <w:sz w:val="17"/>
              </w:rPr>
              <w:t>Functions, Service Bus, Event Grid, Durable orchestration, idempotency, reconciliation, DLQ operations.</w:t>
            </w:r>
          </w:p>
        </w:tc>
      </w:tr>
      <w:tr>
        <w:trPr>
          <w:cantSplit/>
        </w:trPr>
        <w:tc>
          <w:tcPr>
            <w:tcW w:type="dxa" w:w="2880"/>
            <w:tcMar>
              <w:top w:w="80" w:type="dxa"/>
              <w:start w:w="100" w:type="dxa"/>
              <w:bottom w:w="80" w:type="dxa"/>
              <w:end w:w="100" w:type="dxa"/>
            </w:tcMar>
            <w:vAlign w:val="top"/>
          </w:tcPr>
          <w:p>
            <w:pPr>
              <w:spacing w:after="0"/>
            </w:pPr>
            <w:r>
              <w:rPr>
                <w:sz w:val="17"/>
              </w:rPr>
              <w:t>Security Operations Lab</w:t>
            </w:r>
          </w:p>
        </w:tc>
        <w:tc>
          <w:tcPr>
            <w:tcW w:type="dxa" w:w="7200"/>
            <w:tcMar>
              <w:top w:w="80" w:type="dxa"/>
              <w:start w:w="100" w:type="dxa"/>
              <w:bottom w:w="80" w:type="dxa"/>
              <w:end w:w="100" w:type="dxa"/>
            </w:tcMar>
            <w:vAlign w:val="top"/>
          </w:tcPr>
          <w:p>
            <w:pPr>
              <w:spacing w:after="0"/>
            </w:pPr>
            <w:r>
              <w:rPr>
                <w:sz w:val="17"/>
              </w:rPr>
              <w:t>Defender, Sentinel detections, compromised identity simulation, evidence preservation, recovery.</w:t>
            </w:r>
          </w:p>
        </w:tc>
      </w:tr>
      <w:tr>
        <w:trPr>
          <w:cantSplit/>
        </w:trPr>
        <w:tc>
          <w:tcPr>
            <w:tcW w:type="dxa" w:w="2880"/>
            <w:tcMar>
              <w:top w:w="80" w:type="dxa"/>
              <w:start w:w="100" w:type="dxa"/>
              <w:bottom w:w="80" w:type="dxa"/>
              <w:end w:w="100" w:type="dxa"/>
            </w:tcMar>
            <w:vAlign w:val="top"/>
          </w:tcPr>
          <w:p>
            <w:pPr>
              <w:spacing w:after="0"/>
            </w:pPr>
            <w:r>
              <w:rPr>
                <w:sz w:val="17"/>
              </w:rPr>
              <w:t>Resilience Qualification</w:t>
            </w:r>
          </w:p>
        </w:tc>
        <w:tc>
          <w:tcPr>
            <w:tcW w:type="dxa" w:w="7200"/>
            <w:tcMar>
              <w:top w:w="80" w:type="dxa"/>
              <w:start w:w="100" w:type="dxa"/>
              <w:bottom w:w="80" w:type="dxa"/>
              <w:end w:w="100" w:type="dxa"/>
            </w:tcMar>
            <w:vAlign w:val="top"/>
          </w:tcPr>
          <w:p>
            <w:pPr>
              <w:spacing w:after="0"/>
            </w:pPr>
            <w:r>
              <w:rPr>
                <w:sz w:val="17"/>
              </w:rPr>
              <w:t>Chaos Studio, load under fault, restore, regional failover, RTO/RPO and improvement backlog.</w:t>
            </w:r>
          </w:p>
        </w:tc>
      </w:tr>
      <w:tr>
        <w:trPr>
          <w:cantSplit/>
        </w:trPr>
        <w:tc>
          <w:tcPr>
            <w:tcW w:type="dxa" w:w="2880"/>
            <w:tcMar>
              <w:top w:w="80" w:type="dxa"/>
              <w:start w:w="100" w:type="dxa"/>
              <w:bottom w:w="80" w:type="dxa"/>
              <w:end w:w="100" w:type="dxa"/>
            </w:tcMar>
            <w:vAlign w:val="top"/>
          </w:tcPr>
          <w:p>
            <w:pPr>
              <w:spacing w:after="0"/>
            </w:pPr>
            <w:r>
              <w:rPr>
                <w:sz w:val="17"/>
              </w:rPr>
              <w:t>FinOps Control Plane</w:t>
            </w:r>
          </w:p>
        </w:tc>
        <w:tc>
          <w:tcPr>
            <w:tcW w:type="dxa" w:w="7200"/>
            <w:tcMar>
              <w:top w:w="80" w:type="dxa"/>
              <w:start w:w="100" w:type="dxa"/>
              <w:bottom w:w="80" w:type="dxa"/>
              <w:end w:w="100" w:type="dxa"/>
            </w:tcMar>
            <w:vAlign w:val="top"/>
          </w:tcPr>
          <w:p>
            <w:pPr>
              <w:spacing w:after="0"/>
            </w:pPr>
            <w:r>
              <w:rPr>
                <w:sz w:val="17"/>
              </w:rPr>
              <w:t>Allocation, budgets, anomaly detection, expiry automation, unit cost, commitment analysis.</w:t>
            </w:r>
          </w:p>
        </w:tc>
      </w:tr>
      <w:tr>
        <w:trPr>
          <w:cantSplit/>
        </w:trPr>
        <w:tc>
          <w:tcPr>
            <w:tcW w:type="dxa" w:w="2880"/>
            <w:tcMar>
              <w:top w:w="80" w:type="dxa"/>
              <w:start w:w="100" w:type="dxa"/>
              <w:bottom w:w="80" w:type="dxa"/>
              <w:end w:w="100" w:type="dxa"/>
            </w:tcMar>
            <w:vAlign w:val="top"/>
          </w:tcPr>
          <w:p>
            <w:pPr>
              <w:spacing w:after="0"/>
            </w:pPr>
            <w:r>
              <w:rPr>
                <w:sz w:val="17"/>
              </w:rPr>
              <w:t>Internal Developer Platform</w:t>
            </w:r>
          </w:p>
        </w:tc>
        <w:tc>
          <w:tcPr>
            <w:tcW w:type="dxa" w:w="7200"/>
            <w:tcMar>
              <w:top w:w="80" w:type="dxa"/>
              <w:start w:w="100" w:type="dxa"/>
              <w:bottom w:w="80" w:type="dxa"/>
              <w:end w:w="100" w:type="dxa"/>
            </w:tcMar>
            <w:vAlign w:val="top"/>
          </w:tcPr>
          <w:p>
            <w:pPr>
              <w:spacing w:after="0"/>
            </w:pPr>
            <w:r>
              <w:rPr>
                <w:sz w:val="17"/>
              </w:rPr>
              <w:t>Environment vending, golden path, Bicep modules, secure pipelines, telemetry, support and adoption metrics.</w:t>
            </w:r>
          </w:p>
        </w:tc>
      </w:tr>
    </w:tbl>
    <w:p>
      <w:pPr>
        <w:spacing w:after="20"/>
      </w:pPr>
    </w:p>
    <w:p>
      <w:pPr>
        <w:pStyle w:val="Heading1"/>
      </w:pPr>
      <w:r>
        <w:t>90-Day Azure Engineering Practice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078D4"/>
            <w:tcMar>
              <w:top w:w="80" w:type="dxa"/>
              <w:start w:w="100" w:type="dxa"/>
              <w:bottom w:w="80" w:type="dxa"/>
              <w:end w:w="100" w:type="dxa"/>
            </w:tcMar>
            <w:vAlign w:val="center"/>
          </w:tcPr>
          <w:p>
            <w:pPr>
              <w:jc w:val="center"/>
            </w:pPr>
            <w:r>
              <w:rPr>
                <w:b/>
                <w:color w:val="FFFFFF"/>
                <w:sz w:val="17"/>
              </w:rPr>
              <w:t>Weeks</w:t>
            </w:r>
          </w:p>
        </w:tc>
        <w:tc>
          <w:tcPr>
            <w:tcW w:type="dxa" w:w="3456"/>
            <w:shd w:fill="0078D4"/>
            <w:tcMar>
              <w:top w:w="80" w:type="dxa"/>
              <w:start w:w="100" w:type="dxa"/>
              <w:bottom w:w="80" w:type="dxa"/>
              <w:end w:w="100" w:type="dxa"/>
            </w:tcMar>
            <w:vAlign w:val="center"/>
          </w:tcPr>
          <w:p>
            <w:pPr>
              <w:jc w:val="center"/>
            </w:pPr>
            <w:r>
              <w:rPr>
                <w:b/>
                <w:color w:val="FFFFFF"/>
                <w:sz w:val="17"/>
              </w:rPr>
              <w:t>Focus</w:t>
            </w:r>
          </w:p>
        </w:tc>
        <w:tc>
          <w:tcPr>
            <w:tcW w:type="dxa" w:w="5184"/>
            <w:shd w:fill="0078D4"/>
            <w:tcMar>
              <w:top w:w="80" w:type="dxa"/>
              <w:start w:w="100" w:type="dxa"/>
              <w:bottom w:w="80" w:type="dxa"/>
              <w:end w:w="100" w:type="dxa"/>
            </w:tcMar>
            <w:vAlign w:val="center"/>
          </w:tcPr>
          <w:p>
            <w:pPr>
              <w:jc w:val="center"/>
            </w:pPr>
            <w:r>
              <w:rPr>
                <w:b/>
                <w:color w:val="FFFFFF"/>
                <w:sz w:val="17"/>
              </w:rPr>
              <w:t>Output</w:t>
            </w:r>
          </w:p>
        </w:tc>
      </w:tr>
      <w:tr>
        <w:trPr>
          <w:cantSplit/>
        </w:trPr>
        <w:tc>
          <w:tcPr>
            <w:tcW w:type="dxa" w:w="1440"/>
            <w:tcMar>
              <w:top w:w="80" w:type="dxa"/>
              <w:start w:w="100" w:type="dxa"/>
              <w:bottom w:w="80" w:type="dxa"/>
              <w:end w:w="100" w:type="dxa"/>
            </w:tcMar>
            <w:vAlign w:val="top"/>
          </w:tcPr>
          <w:p>
            <w:pPr>
              <w:spacing w:after="0"/>
            </w:pPr>
            <w:r>
              <w:rPr>
                <w:sz w:val="17"/>
              </w:rPr>
              <w:t>1-2</w:t>
            </w:r>
          </w:p>
        </w:tc>
        <w:tc>
          <w:tcPr>
            <w:tcW w:type="dxa" w:w="3456"/>
            <w:tcMar>
              <w:top w:w="80" w:type="dxa"/>
              <w:start w:w="100" w:type="dxa"/>
              <w:bottom w:w="80" w:type="dxa"/>
              <w:end w:w="100" w:type="dxa"/>
            </w:tcMar>
            <w:vAlign w:val="top"/>
          </w:tcPr>
          <w:p>
            <w:pPr>
              <w:spacing w:after="0"/>
            </w:pPr>
            <w:r>
              <w:rPr>
                <w:sz w:val="17"/>
              </w:rPr>
              <w:t>Architecture requirements, ADRs, Well-Architected review</w:t>
            </w:r>
          </w:p>
        </w:tc>
        <w:tc>
          <w:tcPr>
            <w:tcW w:type="dxa" w:w="5184"/>
            <w:tcMar>
              <w:top w:w="80" w:type="dxa"/>
              <w:start w:w="100" w:type="dxa"/>
              <w:bottom w:w="80" w:type="dxa"/>
              <w:end w:w="100" w:type="dxa"/>
            </w:tcMar>
            <w:vAlign w:val="top"/>
          </w:tcPr>
          <w:p>
            <w:pPr>
              <w:spacing w:after="0"/>
            </w:pPr>
            <w:r>
              <w:rPr>
                <w:sz w:val="17"/>
              </w:rPr>
              <w:t>Requirements pack, risk register, three ADRs.</w:t>
            </w:r>
          </w:p>
        </w:tc>
      </w:tr>
      <w:tr>
        <w:trPr>
          <w:cantSplit/>
        </w:trPr>
        <w:tc>
          <w:tcPr>
            <w:tcW w:type="dxa" w:w="1440"/>
            <w:tcMar>
              <w:top w:w="80" w:type="dxa"/>
              <w:start w:w="100" w:type="dxa"/>
              <w:bottom w:w="80" w:type="dxa"/>
              <w:end w:w="100" w:type="dxa"/>
            </w:tcMar>
            <w:vAlign w:val="top"/>
          </w:tcPr>
          <w:p>
            <w:pPr>
              <w:spacing w:after="0"/>
            </w:pPr>
            <w:r>
              <w:rPr>
                <w:sz w:val="17"/>
              </w:rPr>
              <w:t>3-4</w:t>
            </w:r>
          </w:p>
        </w:tc>
        <w:tc>
          <w:tcPr>
            <w:tcW w:type="dxa" w:w="3456"/>
            <w:tcMar>
              <w:top w:w="80" w:type="dxa"/>
              <w:start w:w="100" w:type="dxa"/>
              <w:bottom w:w="80" w:type="dxa"/>
              <w:end w:w="100" w:type="dxa"/>
            </w:tcMar>
            <w:vAlign w:val="top"/>
          </w:tcPr>
          <w:p>
            <w:pPr>
              <w:spacing w:after="0"/>
            </w:pPr>
            <w:r>
              <w:rPr>
                <w:sz w:val="17"/>
              </w:rPr>
              <w:t>SaaS, migration, modernization</w:t>
            </w:r>
          </w:p>
        </w:tc>
        <w:tc>
          <w:tcPr>
            <w:tcW w:type="dxa" w:w="5184"/>
            <w:tcMar>
              <w:top w:w="80" w:type="dxa"/>
              <w:start w:w="100" w:type="dxa"/>
              <w:bottom w:w="80" w:type="dxa"/>
              <w:end w:w="100" w:type="dxa"/>
            </w:tcMar>
            <w:vAlign w:val="top"/>
          </w:tcPr>
          <w:p>
            <w:pPr>
              <w:spacing w:after="0"/>
            </w:pPr>
            <w:r>
              <w:rPr>
                <w:sz w:val="17"/>
              </w:rPr>
              <w:t>Tenant model, wave plan, extracted service demo.</w:t>
            </w:r>
          </w:p>
        </w:tc>
      </w:tr>
      <w:tr>
        <w:trPr>
          <w:cantSplit/>
        </w:trPr>
        <w:tc>
          <w:tcPr>
            <w:tcW w:type="dxa" w:w="1440"/>
            <w:tcMar>
              <w:top w:w="80" w:type="dxa"/>
              <w:start w:w="100" w:type="dxa"/>
              <w:bottom w:w="80" w:type="dxa"/>
              <w:end w:w="100" w:type="dxa"/>
            </w:tcMar>
            <w:vAlign w:val="top"/>
          </w:tcPr>
          <w:p>
            <w:pPr>
              <w:spacing w:after="0"/>
            </w:pPr>
            <w:r>
              <w:rPr>
                <w:sz w:val="17"/>
              </w:rPr>
              <w:t>5-6</w:t>
            </w:r>
          </w:p>
        </w:tc>
        <w:tc>
          <w:tcPr>
            <w:tcW w:type="dxa" w:w="3456"/>
            <w:tcMar>
              <w:top w:w="80" w:type="dxa"/>
              <w:start w:w="100" w:type="dxa"/>
              <w:bottom w:w="80" w:type="dxa"/>
              <w:end w:w="100" w:type="dxa"/>
            </w:tcMar>
            <w:vAlign w:val="top"/>
          </w:tcPr>
          <w:p>
            <w:pPr>
              <w:spacing w:after="0"/>
            </w:pPr>
            <w:r>
              <w:rPr>
                <w:sz w:val="17"/>
              </w:rPr>
              <w:t>Global reliability and incident response</w:t>
            </w:r>
          </w:p>
        </w:tc>
        <w:tc>
          <w:tcPr>
            <w:tcW w:type="dxa" w:w="5184"/>
            <w:tcMar>
              <w:top w:w="80" w:type="dxa"/>
              <w:start w:w="100" w:type="dxa"/>
              <w:bottom w:w="80" w:type="dxa"/>
              <w:end w:w="100" w:type="dxa"/>
            </w:tcMar>
            <w:vAlign w:val="top"/>
          </w:tcPr>
          <w:p>
            <w:pPr>
              <w:spacing w:after="0"/>
            </w:pPr>
            <w:r>
              <w:rPr>
                <w:sz w:val="17"/>
              </w:rPr>
              <w:t>Regional failover evidence and incident package.</w:t>
            </w:r>
          </w:p>
        </w:tc>
      </w:tr>
      <w:tr>
        <w:trPr>
          <w:cantSplit/>
        </w:trPr>
        <w:tc>
          <w:tcPr>
            <w:tcW w:type="dxa" w:w="1440"/>
            <w:tcMar>
              <w:top w:w="80" w:type="dxa"/>
              <w:start w:w="100" w:type="dxa"/>
              <w:bottom w:w="80" w:type="dxa"/>
              <w:end w:w="100" w:type="dxa"/>
            </w:tcMar>
            <w:vAlign w:val="top"/>
          </w:tcPr>
          <w:p>
            <w:pPr>
              <w:spacing w:after="0"/>
            </w:pPr>
            <w:r>
              <w:rPr>
                <w:sz w:val="17"/>
              </w:rPr>
              <w:t>7-8</w:t>
            </w:r>
          </w:p>
        </w:tc>
        <w:tc>
          <w:tcPr>
            <w:tcW w:type="dxa" w:w="3456"/>
            <w:tcMar>
              <w:top w:w="80" w:type="dxa"/>
              <w:start w:w="100" w:type="dxa"/>
              <w:bottom w:w="80" w:type="dxa"/>
              <w:end w:w="100" w:type="dxa"/>
            </w:tcMar>
            <w:vAlign w:val="top"/>
          </w:tcPr>
          <w:p>
            <w:pPr>
              <w:spacing w:after="0"/>
            </w:pPr>
            <w:r>
              <w:rPr>
                <w:sz w:val="17"/>
              </w:rPr>
              <w:t>Performance and FinOps</w:t>
            </w:r>
          </w:p>
        </w:tc>
        <w:tc>
          <w:tcPr>
            <w:tcW w:type="dxa" w:w="5184"/>
            <w:tcMar>
              <w:top w:w="80" w:type="dxa"/>
              <w:start w:w="100" w:type="dxa"/>
              <w:bottom w:w="80" w:type="dxa"/>
              <w:end w:w="100" w:type="dxa"/>
            </w:tcMar>
            <w:vAlign w:val="top"/>
          </w:tcPr>
          <w:p>
            <w:pPr>
              <w:spacing w:after="0"/>
            </w:pPr>
            <w:r>
              <w:rPr>
                <w:sz w:val="17"/>
              </w:rPr>
              <w:t>Qualification report, capacity model, cost backlog.</w:t>
            </w:r>
          </w:p>
        </w:tc>
      </w:tr>
      <w:tr>
        <w:trPr>
          <w:cantSplit/>
        </w:trPr>
        <w:tc>
          <w:tcPr>
            <w:tcW w:type="dxa" w:w="1440"/>
            <w:tcMar>
              <w:top w:w="80" w:type="dxa"/>
              <w:start w:w="100" w:type="dxa"/>
              <w:bottom w:w="80" w:type="dxa"/>
              <w:end w:w="100" w:type="dxa"/>
            </w:tcMar>
            <w:vAlign w:val="top"/>
          </w:tcPr>
          <w:p>
            <w:pPr>
              <w:spacing w:after="0"/>
            </w:pPr>
            <w:r>
              <w:rPr>
                <w:sz w:val="17"/>
              </w:rPr>
              <w:t>9-10</w:t>
            </w:r>
          </w:p>
        </w:tc>
        <w:tc>
          <w:tcPr>
            <w:tcW w:type="dxa" w:w="3456"/>
            <w:tcMar>
              <w:top w:w="80" w:type="dxa"/>
              <w:start w:w="100" w:type="dxa"/>
              <w:bottom w:w="80" w:type="dxa"/>
              <w:end w:w="100" w:type="dxa"/>
            </w:tcMar>
            <w:vAlign w:val="top"/>
          </w:tcPr>
          <w:p>
            <w:pPr>
              <w:spacing w:after="0"/>
            </w:pPr>
            <w:r>
              <w:rPr>
                <w:sz w:val="17"/>
              </w:rPr>
              <w:t>Platform engineering and governance</w:t>
            </w:r>
          </w:p>
        </w:tc>
        <w:tc>
          <w:tcPr>
            <w:tcW w:type="dxa" w:w="5184"/>
            <w:tcMar>
              <w:top w:w="80" w:type="dxa"/>
              <w:start w:w="100" w:type="dxa"/>
              <w:bottom w:w="80" w:type="dxa"/>
              <w:end w:w="100" w:type="dxa"/>
            </w:tcMar>
            <w:vAlign w:val="top"/>
          </w:tcPr>
          <w:p>
            <w:pPr>
              <w:spacing w:after="0"/>
            </w:pPr>
            <w:r>
              <w:rPr>
                <w:sz w:val="17"/>
              </w:rPr>
              <w:t>Golden path, policy/evidence pack, developer test.</w:t>
            </w:r>
          </w:p>
        </w:tc>
      </w:tr>
      <w:tr>
        <w:trPr>
          <w:cantSplit/>
        </w:trPr>
        <w:tc>
          <w:tcPr>
            <w:tcW w:type="dxa" w:w="1440"/>
            <w:tcMar>
              <w:top w:w="80" w:type="dxa"/>
              <w:start w:w="100" w:type="dxa"/>
              <w:bottom w:w="80" w:type="dxa"/>
              <w:end w:w="100" w:type="dxa"/>
            </w:tcMar>
            <w:vAlign w:val="top"/>
          </w:tcPr>
          <w:p>
            <w:pPr>
              <w:spacing w:after="0"/>
            </w:pPr>
            <w:r>
              <w:rPr>
                <w:sz w:val="17"/>
              </w:rPr>
              <w:t>11</w:t>
            </w:r>
          </w:p>
        </w:tc>
        <w:tc>
          <w:tcPr>
            <w:tcW w:type="dxa" w:w="3456"/>
            <w:tcMar>
              <w:top w:w="80" w:type="dxa"/>
              <w:start w:w="100" w:type="dxa"/>
              <w:bottom w:w="80" w:type="dxa"/>
              <w:end w:w="100" w:type="dxa"/>
            </w:tcMar>
            <w:vAlign w:val="top"/>
          </w:tcPr>
          <w:p>
            <w:pPr>
              <w:spacing w:after="0"/>
            </w:pPr>
            <w:r>
              <w:rPr>
                <w:sz w:val="17"/>
              </w:rPr>
              <w:t>Certification and interview drills</w:t>
            </w:r>
          </w:p>
        </w:tc>
        <w:tc>
          <w:tcPr>
            <w:tcW w:type="dxa" w:w="5184"/>
            <w:tcMar>
              <w:top w:w="80" w:type="dxa"/>
              <w:start w:w="100" w:type="dxa"/>
              <w:bottom w:w="80" w:type="dxa"/>
              <w:end w:w="100" w:type="dxa"/>
            </w:tcMar>
            <w:vAlign w:val="top"/>
          </w:tcPr>
          <w:p>
            <w:pPr>
              <w:spacing w:after="0"/>
            </w:pPr>
            <w:r>
              <w:rPr>
                <w:sz w:val="17"/>
              </w:rPr>
              <w:t>Gap matrix, practice assessment, mock interviews.</w:t>
            </w:r>
          </w:p>
        </w:tc>
      </w:tr>
      <w:tr>
        <w:trPr>
          <w:cantSplit/>
        </w:trPr>
        <w:tc>
          <w:tcPr>
            <w:tcW w:type="dxa" w:w="1440"/>
            <w:tcMar>
              <w:top w:w="80" w:type="dxa"/>
              <w:start w:w="100" w:type="dxa"/>
              <w:bottom w:w="80" w:type="dxa"/>
              <w:end w:w="100" w:type="dxa"/>
            </w:tcMar>
            <w:vAlign w:val="top"/>
          </w:tcPr>
          <w:p>
            <w:pPr>
              <w:spacing w:after="0"/>
            </w:pPr>
            <w:r>
              <w:rPr>
                <w:sz w:val="17"/>
              </w:rPr>
              <w:t>12-13</w:t>
            </w:r>
          </w:p>
        </w:tc>
        <w:tc>
          <w:tcPr>
            <w:tcW w:type="dxa" w:w="3456"/>
            <w:tcMar>
              <w:top w:w="80" w:type="dxa"/>
              <w:start w:w="100" w:type="dxa"/>
              <w:bottom w:w="80" w:type="dxa"/>
              <w:end w:w="100" w:type="dxa"/>
            </w:tcMar>
            <w:vAlign w:val="top"/>
          </w:tcPr>
          <w:p>
            <w:pPr>
              <w:spacing w:after="0"/>
            </w:pPr>
            <w:r>
              <w:rPr>
                <w:sz w:val="17"/>
              </w:rPr>
              <w:t>Final capstone</w:t>
            </w:r>
          </w:p>
        </w:tc>
        <w:tc>
          <w:tcPr>
            <w:tcW w:type="dxa" w:w="5184"/>
            <w:tcMar>
              <w:top w:w="80" w:type="dxa"/>
              <w:start w:w="100" w:type="dxa"/>
              <w:bottom w:w="80" w:type="dxa"/>
              <w:end w:w="100" w:type="dxa"/>
            </w:tcMar>
            <w:vAlign w:val="top"/>
          </w:tcPr>
          <w:p>
            <w:pPr>
              <w:spacing w:after="0"/>
            </w:pPr>
            <w:r>
              <w:rPr>
                <w:sz w:val="17"/>
              </w:rPr>
              <w:t>Deployable portfolio, recovery demo, executive and technical presentation.</w:t>
            </w:r>
          </w:p>
        </w:tc>
      </w:tr>
    </w:tbl>
    <w:p>
      <w:pPr>
        <w:spacing w:after="20"/>
      </w:pP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Term</w:t>
            </w:r>
          </w:p>
        </w:tc>
        <w:tc>
          <w:tcPr>
            <w:tcW w:type="dxa" w:w="7632"/>
            <w:shd w:fill="0078D4"/>
            <w:tcMar>
              <w:top w:w="80" w:type="dxa"/>
              <w:start w:w="100" w:type="dxa"/>
              <w:bottom w:w="80" w:type="dxa"/>
              <w:end w:w="100" w:type="dxa"/>
            </w:tcMar>
            <w:vAlign w:val="center"/>
          </w:tcPr>
          <w:p>
            <w:pPr>
              <w:jc w:val="center"/>
            </w:pPr>
            <w:r>
              <w:rPr>
                <w:b/>
                <w:color w:val="FFFFFF"/>
                <w:sz w:val="17"/>
              </w:rPr>
              <w:t>Definition</w:t>
            </w:r>
          </w:p>
        </w:tc>
      </w:tr>
      <w:tr>
        <w:trPr>
          <w:cantSplit/>
        </w:trPr>
        <w:tc>
          <w:tcPr>
            <w:tcW w:type="dxa" w:w="2448"/>
            <w:tcMar>
              <w:top w:w="80" w:type="dxa"/>
              <w:start w:w="100" w:type="dxa"/>
              <w:bottom w:w="80" w:type="dxa"/>
              <w:end w:w="100" w:type="dxa"/>
            </w:tcMar>
            <w:vAlign w:val="top"/>
          </w:tcPr>
          <w:p>
            <w:pPr>
              <w:spacing w:after="0"/>
            </w:pPr>
            <w:r>
              <w:rPr>
                <w:sz w:val="17"/>
              </w:rPr>
              <w:t>ADR</w:t>
            </w:r>
          </w:p>
        </w:tc>
        <w:tc>
          <w:tcPr>
            <w:tcW w:type="dxa" w:w="7632"/>
            <w:tcMar>
              <w:top w:w="80" w:type="dxa"/>
              <w:start w:w="100" w:type="dxa"/>
              <w:bottom w:w="80" w:type="dxa"/>
              <w:end w:w="100" w:type="dxa"/>
            </w:tcMar>
            <w:vAlign w:val="top"/>
          </w:tcPr>
          <w:p>
            <w:pPr>
              <w:spacing w:after="0"/>
            </w:pPr>
            <w:r>
              <w:rPr>
                <w:sz w:val="17"/>
              </w:rPr>
              <w:t>Architecture Decision Record documenting context, choice, alternatives, and consequences.</w:t>
            </w:r>
          </w:p>
        </w:tc>
      </w:tr>
      <w:tr>
        <w:trPr>
          <w:cantSplit/>
        </w:trPr>
        <w:tc>
          <w:tcPr>
            <w:tcW w:type="dxa" w:w="2448"/>
            <w:tcMar>
              <w:top w:w="80" w:type="dxa"/>
              <w:start w:w="100" w:type="dxa"/>
              <w:bottom w:w="80" w:type="dxa"/>
              <w:end w:w="100" w:type="dxa"/>
            </w:tcMar>
            <w:vAlign w:val="top"/>
          </w:tcPr>
          <w:p>
            <w:pPr>
              <w:spacing w:after="0"/>
            </w:pPr>
            <w:r>
              <w:rPr>
                <w:sz w:val="17"/>
              </w:rPr>
              <w:t>Blast radius</w:t>
            </w:r>
          </w:p>
        </w:tc>
        <w:tc>
          <w:tcPr>
            <w:tcW w:type="dxa" w:w="7632"/>
            <w:tcMar>
              <w:top w:w="80" w:type="dxa"/>
              <w:start w:w="100" w:type="dxa"/>
              <w:bottom w:w="80" w:type="dxa"/>
              <w:end w:w="100" w:type="dxa"/>
            </w:tcMar>
            <w:vAlign w:val="top"/>
          </w:tcPr>
          <w:p>
            <w:pPr>
              <w:spacing w:after="0"/>
            </w:pPr>
            <w:r>
              <w:rPr>
                <w:sz w:val="17"/>
              </w:rPr>
              <w:t>Maximum scope of impact from a fault, change, or compromise.</w:t>
            </w:r>
          </w:p>
        </w:tc>
      </w:tr>
      <w:tr>
        <w:trPr>
          <w:cantSplit/>
        </w:trPr>
        <w:tc>
          <w:tcPr>
            <w:tcW w:type="dxa" w:w="2448"/>
            <w:tcMar>
              <w:top w:w="80" w:type="dxa"/>
              <w:start w:w="100" w:type="dxa"/>
              <w:bottom w:w="80" w:type="dxa"/>
              <w:end w:w="100" w:type="dxa"/>
            </w:tcMar>
            <w:vAlign w:val="top"/>
          </w:tcPr>
          <w:p>
            <w:pPr>
              <w:spacing w:after="0"/>
            </w:pPr>
            <w:r>
              <w:rPr>
                <w:sz w:val="17"/>
              </w:rPr>
              <w:t>Cell</w:t>
            </w:r>
          </w:p>
        </w:tc>
        <w:tc>
          <w:tcPr>
            <w:tcW w:type="dxa" w:w="7632"/>
            <w:tcMar>
              <w:top w:w="80" w:type="dxa"/>
              <w:start w:w="100" w:type="dxa"/>
              <w:bottom w:w="80" w:type="dxa"/>
              <w:end w:w="100" w:type="dxa"/>
            </w:tcMar>
            <w:vAlign w:val="top"/>
          </w:tcPr>
          <w:p>
            <w:pPr>
              <w:spacing w:after="0"/>
            </w:pPr>
            <w:r>
              <w:rPr>
                <w:sz w:val="17"/>
              </w:rPr>
              <w:t>Repeatable deployment unit serving a bounded tenant or workload set.</w:t>
            </w:r>
          </w:p>
        </w:tc>
      </w:tr>
      <w:tr>
        <w:trPr>
          <w:cantSplit/>
        </w:trPr>
        <w:tc>
          <w:tcPr>
            <w:tcW w:type="dxa" w:w="2448"/>
            <w:tcMar>
              <w:top w:w="80" w:type="dxa"/>
              <w:start w:w="100" w:type="dxa"/>
              <w:bottom w:w="80" w:type="dxa"/>
              <w:end w:w="100" w:type="dxa"/>
            </w:tcMar>
            <w:vAlign w:val="top"/>
          </w:tcPr>
          <w:p>
            <w:pPr>
              <w:spacing w:after="0"/>
            </w:pPr>
            <w:r>
              <w:rPr>
                <w:sz w:val="17"/>
              </w:rPr>
              <w:t>Error budget</w:t>
            </w:r>
          </w:p>
        </w:tc>
        <w:tc>
          <w:tcPr>
            <w:tcW w:type="dxa" w:w="7632"/>
            <w:tcMar>
              <w:top w:w="80" w:type="dxa"/>
              <w:start w:w="100" w:type="dxa"/>
              <w:bottom w:w="80" w:type="dxa"/>
              <w:end w:w="100" w:type="dxa"/>
            </w:tcMar>
            <w:vAlign w:val="top"/>
          </w:tcPr>
          <w:p>
            <w:pPr>
              <w:spacing w:after="0"/>
            </w:pPr>
            <w:r>
              <w:rPr>
                <w:sz w:val="17"/>
              </w:rPr>
              <w:t>Allowed unreliability derived from an SLO.</w:t>
            </w:r>
          </w:p>
        </w:tc>
      </w:tr>
      <w:tr>
        <w:trPr>
          <w:cantSplit/>
        </w:trPr>
        <w:tc>
          <w:tcPr>
            <w:tcW w:type="dxa" w:w="2448"/>
            <w:tcMar>
              <w:top w:w="80" w:type="dxa"/>
              <w:start w:w="100" w:type="dxa"/>
              <w:bottom w:w="80" w:type="dxa"/>
              <w:end w:w="100" w:type="dxa"/>
            </w:tcMar>
            <w:vAlign w:val="top"/>
          </w:tcPr>
          <w:p>
            <w:pPr>
              <w:spacing w:after="0"/>
            </w:pPr>
            <w:r>
              <w:rPr>
                <w:sz w:val="17"/>
              </w:rPr>
              <w:t>Golden path</w:t>
            </w:r>
          </w:p>
        </w:tc>
        <w:tc>
          <w:tcPr>
            <w:tcW w:type="dxa" w:w="7632"/>
            <w:tcMar>
              <w:top w:w="80" w:type="dxa"/>
              <w:start w:w="100" w:type="dxa"/>
              <w:bottom w:w="80" w:type="dxa"/>
              <w:end w:w="100" w:type="dxa"/>
            </w:tcMar>
            <w:vAlign w:val="top"/>
          </w:tcPr>
          <w:p>
            <w:pPr>
              <w:spacing w:after="0"/>
            </w:pPr>
            <w:r>
              <w:rPr>
                <w:sz w:val="17"/>
              </w:rPr>
              <w:t>Supported end-to-end platform route for a common workload.</w:t>
            </w:r>
          </w:p>
        </w:tc>
      </w:tr>
      <w:tr>
        <w:trPr>
          <w:cantSplit/>
        </w:trPr>
        <w:tc>
          <w:tcPr>
            <w:tcW w:type="dxa" w:w="2448"/>
            <w:tcMar>
              <w:top w:w="80" w:type="dxa"/>
              <w:start w:w="100" w:type="dxa"/>
              <w:bottom w:w="80" w:type="dxa"/>
              <w:end w:w="100" w:type="dxa"/>
            </w:tcMar>
            <w:vAlign w:val="top"/>
          </w:tcPr>
          <w:p>
            <w:pPr>
              <w:spacing w:after="0"/>
            </w:pPr>
            <w:r>
              <w:rPr>
                <w:sz w:val="17"/>
              </w:rPr>
              <w:t>RPO</w:t>
            </w:r>
          </w:p>
        </w:tc>
        <w:tc>
          <w:tcPr>
            <w:tcW w:type="dxa" w:w="7632"/>
            <w:tcMar>
              <w:top w:w="80" w:type="dxa"/>
              <w:start w:w="100" w:type="dxa"/>
              <w:bottom w:w="80" w:type="dxa"/>
              <w:end w:w="100" w:type="dxa"/>
            </w:tcMar>
            <w:vAlign w:val="top"/>
          </w:tcPr>
          <w:p>
            <w:pPr>
              <w:spacing w:after="0"/>
            </w:pPr>
            <w:r>
              <w:rPr>
                <w:sz w:val="17"/>
              </w:rPr>
              <w:t>Recovery point objective: acceptable data-loss window.</w:t>
            </w:r>
          </w:p>
        </w:tc>
      </w:tr>
      <w:tr>
        <w:trPr>
          <w:cantSplit/>
        </w:trPr>
        <w:tc>
          <w:tcPr>
            <w:tcW w:type="dxa" w:w="2448"/>
            <w:tcMar>
              <w:top w:w="80" w:type="dxa"/>
              <w:start w:w="100" w:type="dxa"/>
              <w:bottom w:w="80" w:type="dxa"/>
              <w:end w:w="100" w:type="dxa"/>
            </w:tcMar>
            <w:vAlign w:val="top"/>
          </w:tcPr>
          <w:p>
            <w:pPr>
              <w:spacing w:after="0"/>
            </w:pPr>
            <w:r>
              <w:rPr>
                <w:sz w:val="17"/>
              </w:rPr>
              <w:t>RTO</w:t>
            </w:r>
          </w:p>
        </w:tc>
        <w:tc>
          <w:tcPr>
            <w:tcW w:type="dxa" w:w="7632"/>
            <w:tcMar>
              <w:top w:w="80" w:type="dxa"/>
              <w:start w:w="100" w:type="dxa"/>
              <w:bottom w:w="80" w:type="dxa"/>
              <w:end w:w="100" w:type="dxa"/>
            </w:tcMar>
            <w:vAlign w:val="top"/>
          </w:tcPr>
          <w:p>
            <w:pPr>
              <w:spacing w:after="0"/>
            </w:pPr>
            <w:r>
              <w:rPr>
                <w:sz w:val="17"/>
              </w:rPr>
              <w:t>Recovery time objective: target duration to restore service.</w:t>
            </w:r>
          </w:p>
        </w:tc>
      </w:tr>
      <w:tr>
        <w:trPr>
          <w:cantSplit/>
        </w:trPr>
        <w:tc>
          <w:tcPr>
            <w:tcW w:type="dxa" w:w="2448"/>
            <w:tcMar>
              <w:top w:w="80" w:type="dxa"/>
              <w:start w:w="100" w:type="dxa"/>
              <w:bottom w:w="80" w:type="dxa"/>
              <w:end w:w="100" w:type="dxa"/>
            </w:tcMar>
            <w:vAlign w:val="top"/>
          </w:tcPr>
          <w:p>
            <w:pPr>
              <w:spacing w:after="0"/>
            </w:pPr>
            <w:r>
              <w:rPr>
                <w:sz w:val="17"/>
              </w:rPr>
              <w:t>SLI</w:t>
            </w:r>
          </w:p>
        </w:tc>
        <w:tc>
          <w:tcPr>
            <w:tcW w:type="dxa" w:w="7632"/>
            <w:tcMar>
              <w:top w:w="80" w:type="dxa"/>
              <w:start w:w="100" w:type="dxa"/>
              <w:bottom w:w="80" w:type="dxa"/>
              <w:end w:w="100" w:type="dxa"/>
            </w:tcMar>
            <w:vAlign w:val="top"/>
          </w:tcPr>
          <w:p>
            <w:pPr>
              <w:spacing w:after="0"/>
            </w:pPr>
            <w:r>
              <w:rPr>
                <w:sz w:val="17"/>
              </w:rPr>
              <w:t>Service-level indicator: measured behavior such as availability or latency.</w:t>
            </w:r>
          </w:p>
        </w:tc>
      </w:tr>
      <w:tr>
        <w:trPr>
          <w:cantSplit/>
        </w:trPr>
        <w:tc>
          <w:tcPr>
            <w:tcW w:type="dxa" w:w="2448"/>
            <w:tcMar>
              <w:top w:w="80" w:type="dxa"/>
              <w:start w:w="100" w:type="dxa"/>
              <w:bottom w:w="80" w:type="dxa"/>
              <w:end w:w="100" w:type="dxa"/>
            </w:tcMar>
            <w:vAlign w:val="top"/>
          </w:tcPr>
          <w:p>
            <w:pPr>
              <w:spacing w:after="0"/>
            </w:pPr>
            <w:r>
              <w:rPr>
                <w:sz w:val="17"/>
              </w:rPr>
              <w:t>SLO</w:t>
            </w:r>
          </w:p>
        </w:tc>
        <w:tc>
          <w:tcPr>
            <w:tcW w:type="dxa" w:w="7632"/>
            <w:tcMar>
              <w:top w:w="80" w:type="dxa"/>
              <w:start w:w="100" w:type="dxa"/>
              <w:bottom w:w="80" w:type="dxa"/>
              <w:end w:w="100" w:type="dxa"/>
            </w:tcMar>
            <w:vAlign w:val="top"/>
          </w:tcPr>
          <w:p>
            <w:pPr>
              <w:spacing w:after="0"/>
            </w:pPr>
            <w:r>
              <w:rPr>
                <w:sz w:val="17"/>
              </w:rPr>
              <w:t>Service-level objective: target value for an SLI.</w:t>
            </w:r>
          </w:p>
        </w:tc>
      </w:tr>
      <w:tr>
        <w:trPr>
          <w:cantSplit/>
        </w:trPr>
        <w:tc>
          <w:tcPr>
            <w:tcW w:type="dxa" w:w="2448"/>
            <w:tcMar>
              <w:top w:w="80" w:type="dxa"/>
              <w:start w:w="100" w:type="dxa"/>
              <w:bottom w:w="80" w:type="dxa"/>
              <w:end w:w="100" w:type="dxa"/>
            </w:tcMar>
            <w:vAlign w:val="top"/>
          </w:tcPr>
          <w:p>
            <w:pPr>
              <w:spacing w:after="0"/>
            </w:pPr>
            <w:r>
              <w:rPr>
                <w:sz w:val="17"/>
              </w:rPr>
              <w:t>Unit economics</w:t>
            </w:r>
          </w:p>
        </w:tc>
        <w:tc>
          <w:tcPr>
            <w:tcW w:type="dxa" w:w="7632"/>
            <w:tcMar>
              <w:top w:w="80" w:type="dxa"/>
              <w:start w:w="100" w:type="dxa"/>
              <w:bottom w:w="80" w:type="dxa"/>
              <w:end w:w="100" w:type="dxa"/>
            </w:tcMar>
            <w:vAlign w:val="top"/>
          </w:tcPr>
          <w:p>
            <w:pPr>
              <w:spacing w:after="0"/>
            </w:pPr>
            <w:r>
              <w:rPr>
                <w:sz w:val="17"/>
              </w:rPr>
              <w:t>Cost normalized to a useful business or technical unit.</w:t>
            </w:r>
          </w:p>
        </w:tc>
      </w:tr>
      <w:tr>
        <w:trPr>
          <w:cantSplit/>
        </w:trPr>
        <w:tc>
          <w:tcPr>
            <w:tcW w:type="dxa" w:w="2448"/>
            <w:tcMar>
              <w:top w:w="80" w:type="dxa"/>
              <w:start w:w="100" w:type="dxa"/>
              <w:bottom w:w="80" w:type="dxa"/>
              <w:end w:w="100" w:type="dxa"/>
            </w:tcMar>
            <w:vAlign w:val="top"/>
          </w:tcPr>
          <w:p>
            <w:pPr>
              <w:spacing w:after="0"/>
            </w:pPr>
            <w:r>
              <w:rPr>
                <w:sz w:val="17"/>
              </w:rPr>
              <w:t>Workload identity</w:t>
            </w:r>
          </w:p>
        </w:tc>
        <w:tc>
          <w:tcPr>
            <w:tcW w:type="dxa" w:w="7632"/>
            <w:tcMar>
              <w:top w:w="80" w:type="dxa"/>
              <w:start w:w="100" w:type="dxa"/>
              <w:bottom w:w="80" w:type="dxa"/>
              <w:end w:w="100" w:type="dxa"/>
            </w:tcMar>
            <w:vAlign w:val="top"/>
          </w:tcPr>
          <w:p>
            <w:pPr>
              <w:spacing w:after="0"/>
            </w:pPr>
            <w:r>
              <w:rPr>
                <w:sz w:val="17"/>
              </w:rPr>
              <w:t>Nonhuman identity used by applications or automation without embedded long-lived secrets.</w:t>
            </w:r>
          </w:p>
        </w:tc>
      </w:tr>
      <w:tr>
        <w:trPr>
          <w:cantSplit/>
        </w:trPr>
        <w:tc>
          <w:tcPr>
            <w:tcW w:type="dxa" w:w="2448"/>
            <w:tcMar>
              <w:top w:w="80" w:type="dxa"/>
              <w:start w:w="100" w:type="dxa"/>
              <w:bottom w:w="80" w:type="dxa"/>
              <w:end w:w="100" w:type="dxa"/>
            </w:tcMar>
            <w:vAlign w:val="top"/>
          </w:tcPr>
          <w:p>
            <w:pPr>
              <w:spacing w:after="0"/>
            </w:pPr>
            <w:r>
              <w:rPr>
                <w:sz w:val="17"/>
              </w:rPr>
              <w:t>Well-Architected review</w:t>
            </w:r>
          </w:p>
        </w:tc>
        <w:tc>
          <w:tcPr>
            <w:tcW w:type="dxa" w:w="7632"/>
            <w:tcMar>
              <w:top w:w="80" w:type="dxa"/>
              <w:start w:w="100" w:type="dxa"/>
              <w:bottom w:w="80" w:type="dxa"/>
              <w:end w:w="100" w:type="dxa"/>
            </w:tcMar>
            <w:vAlign w:val="top"/>
          </w:tcPr>
          <w:p>
            <w:pPr>
              <w:spacing w:after="0"/>
            </w:pPr>
            <w:r>
              <w:rPr>
                <w:sz w:val="17"/>
              </w:rPr>
              <w:t>Structured evaluation across reliability, security, cost, operations, and performance.</w:t>
            </w:r>
          </w:p>
        </w:tc>
      </w:tr>
    </w:tbl>
    <w:p>
      <w:pPr>
        <w:spacing w:after="20"/>
      </w:pPr>
    </w:p>
    <w:p>
      <w:pPr>
        <w:pStyle w:val="Heading1"/>
      </w:pPr>
      <w:r>
        <w:t>Official Microsoft Documentation Index</w:t>
      </w:r>
    </w:p>
    <w:p>
      <w:pPr>
        <w:pStyle w:val="ListBullet"/>
        <w:spacing w:after="60"/>
      </w:pPr>
      <w:r>
        <w:t>Azure Well-Architected Framework and Azure Architecture Center</w:t>
      </w:r>
    </w:p>
    <w:p>
      <w:pPr>
        <w:pStyle w:val="ListBullet"/>
        <w:spacing w:after="60"/>
      </w:pPr>
      <w:r>
        <w:t>Microsoft Cloud Adoption Framework and Azure Migration guidance</w:t>
      </w:r>
    </w:p>
    <w:p>
      <w:pPr>
        <w:pStyle w:val="ListBullet"/>
        <w:spacing w:after="60"/>
      </w:pPr>
      <w:r>
        <w:t>Azure Migrate and Azure Arc documentation</w:t>
      </w:r>
    </w:p>
    <w:p>
      <w:pPr>
        <w:pStyle w:val="ListBullet"/>
        <w:spacing w:after="60"/>
      </w:pPr>
      <w:r>
        <w:t>Azure Front Door, Traffic Manager, Cosmos DB, Azure SQL, and regional reliability documentation</w:t>
      </w:r>
    </w:p>
    <w:p>
      <w:pPr>
        <w:pStyle w:val="ListBullet"/>
        <w:spacing w:after="60"/>
      </w:pPr>
      <w:r>
        <w:t>Microsoft Sentinel, Microsoft Defender for Cloud, Microsoft Entra, and Azure security documentation</w:t>
      </w:r>
    </w:p>
    <w:p>
      <w:pPr>
        <w:pStyle w:val="ListBullet"/>
        <w:spacing w:after="60"/>
      </w:pPr>
      <w:r>
        <w:t>Azure Chaos Studio documentation, fault library, permissions, targets, and capabilities</w:t>
      </w:r>
    </w:p>
    <w:p>
      <w:pPr>
        <w:pStyle w:val="ListBullet"/>
        <w:spacing w:after="60"/>
      </w:pPr>
      <w:r>
        <w:t>Azure Monitor, Application Insights, Network Watcher, Service Health, and Resource Health documentation</w:t>
      </w:r>
    </w:p>
    <w:p>
      <w:pPr>
        <w:pStyle w:val="ListBullet"/>
        <w:spacing w:after="60"/>
      </w:pPr>
      <w:r>
        <w:t>Azure Cost Management, reservations, savings plans, Advisor, and FinOps guidance</w:t>
      </w:r>
    </w:p>
    <w:p>
      <w:pPr>
        <w:pStyle w:val="ListBullet"/>
        <w:spacing w:after="60"/>
      </w:pPr>
      <w:r>
        <w:t>Azure landing zones, Azure Policy, Bicep, Deployment Environments, and platform engineering guidance</w:t>
      </w:r>
    </w:p>
    <w:p>
      <w:pPr>
        <w:pStyle w:val="ListBullet"/>
        <w:spacing w:after="60"/>
      </w:pPr>
      <w:r>
        <w:t>Microsoft Learn certification pages, exam study guides, practice assessments, and renewal guidance</w:t>
      </w:r>
    </w:p>
    <w:p>
      <w:pPr>
        <w:spacing w:after="120"/>
      </w:pPr>
      <w:r>
        <w:rPr>
          <w:i/>
          <w:color w:val="505050"/>
        </w:rPr>
        <w:t>Cloud services, regional availability, feature status, exam requirements, pricing, limits, and licensing change over time. Use the official Microsoft documentation as the authoritative source before production decisions or exam registration.</w:t>
      </w:r>
    </w:p>
    <w:p>
      <w:pPr>
        <w:pStyle w:val="Heading1"/>
      </w:pPr>
      <w:r>
        <w:t>Volume 7 Completion</w:t>
      </w:r>
    </w:p>
    <w:p>
      <w:pPr>
        <w:spacing w:after="120"/>
      </w:pPr>
      <w:r>
        <w:rPr>
          <w:i w:val="0"/>
        </w:rPr>
        <w:t>With Volume 7F complete, the Azure volume now spans foundations, core infrastructure, data platforms, containers and serverless, enterprise DevOps and security, and senior-level projects and interview mastery. The recommended next volume in the DevOps Master Course is Volume 8 - Google Cloud Platform Engineering for DevOps.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7F - AZURE ENTERPRISE PROJECTS &amp; INTERVIEW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ascadia Mono" w:hAnsi="Cascadia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7F: Azure Enterprise Projects and Interview Mastery</dc:title>
  <dc:subject>Azure enterprise architecture, migration, modernization, resilience, security incidents, FinOps, platform engineering, certifications, interviews, and capstone projects</dc:subject>
  <dc:creator>DevOps Master Course</dc:creator>
  <cp:keywords>Azure, architecture, SaaS, migration, modernization, multi-region, incident response, Chaos Studio, performance, FinOps, platform engineering, AZ-104, AZ-305, AZ-400, interviews</cp:keywords>
  <dc:description>2026 Edition</dc:description>
  <cp:lastModifiedBy/>
  <cp:revision>1</cp:revision>
  <dcterms:created xsi:type="dcterms:W3CDTF">2013-12-23T23:15:00Z</dcterms:created>
  <dcterms:modified xsi:type="dcterms:W3CDTF">2013-12-23T23:15:00Z</dcterms:modified>
  <cp:category/>
</cp:coreProperties>
</file>