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Aptos Display" w:hAnsi="Aptos Display"/>
          <w:b/>
          <w:color w:val="174EA6"/>
          <w:sz w:val="38"/>
        </w:rPr>
        <w:t>DEVOPS MASTER COURSE</w:t>
      </w:r>
    </w:p>
    <w:p>
      <w:pPr>
        <w:spacing w:after="200"/>
        <w:jc w:val="center"/>
      </w:pPr>
      <w:r>
        <w:rPr>
          <w:rFonts w:ascii="Aptos Display" w:hAnsi="Aptos Display"/>
          <w:b/>
          <w:color w:val="1A73E8"/>
          <w:sz w:val="50"/>
        </w:rPr>
        <w:t>Volume 8A</w:t>
      </w:r>
    </w:p>
    <w:p>
      <w:pPr>
        <w:spacing w:after="200"/>
        <w:jc w:val="center"/>
      </w:pPr>
      <w:r>
        <w:rPr>
          <w:rFonts w:ascii="Aptos Display" w:hAnsi="Aptos Display"/>
          <w:b/>
          <w:color w:val="174EA6"/>
          <w:sz w:val="60"/>
        </w:rPr>
        <w:t>Google Cloud Foundations</w:t>
      </w:r>
    </w:p>
    <w:p>
      <w:pPr>
        <w:spacing w:after="600"/>
        <w:jc w:val="center"/>
      </w:pPr>
      <w:r>
        <w:rPr>
          <w:rFonts w:ascii="Aptos Display" w:hAnsi="Aptos Display"/>
          <w:b/>
          <w:color w:val="4285F4"/>
          <w:sz w:val="36"/>
        </w:rPr>
        <w:t>Chapters 1-10</w:t>
      </w:r>
    </w:p>
    <w:tbl>
      <w:tblPr>
        <w:tblW w:type="auto" w:w="0"/>
        <w:jc w:val="center"/>
        <w:tblLayout w:type="fixed"/>
        <w:tblLook w:firstColumn="1" w:firstRow="1" w:lastColumn="0" w:lastRow="0" w:noHBand="0" w:noVBand="1" w:val="04A0"/>
      </w:tblPr>
      <w:tblGrid>
        <w:gridCol w:w="10166"/>
      </w:tblGrid>
      <w:tr>
        <w:tc>
          <w:tcPr>
            <w:tcW w:type="dxa" w:w="10080"/>
            <w:shd w:fill="1A73E8"/>
            <w:tcMar>
              <w:top w:w="160" w:type="dxa"/>
              <w:start w:w="120" w:type="dxa"/>
              <w:bottom w:w="160" w:type="dxa"/>
              <w:end w:w="120" w:type="dxa"/>
            </w:tcMar>
          </w:tcPr>
          <w:p>
            <w:pPr>
              <w:jc w:val="center"/>
            </w:pPr>
            <w:r>
              <w:rPr>
                <w:b/>
                <w:color w:val="FFFFFF"/>
                <w:sz w:val="21"/>
              </w:rPr>
              <w:t>Cloud Fundamentals • Global Infrastructure • Resource Hierarchy • IAM • Service Accounts • gcloud • Compute Engine • VPC • Billing • Capstone</w:t>
            </w:r>
          </w:p>
        </w:tc>
      </w:tr>
    </w:tbl>
    <w:p>
      <w:pPr>
        <w:spacing w:after="360"/>
        <w:jc w:val="center"/>
      </w:pPr>
      <w:r>
        <w:rPr>
          <w:rFonts w:ascii="Aptos Display" w:hAnsi="Aptos Display"/>
          <w:b w:val="0"/>
          <w:color w:val="505050"/>
          <w:sz w:val="22"/>
        </w:rPr>
        <w:t>2026 Edition</w:t>
      </w:r>
    </w:p>
    <w:p>
      <w:r>
        <w:br w:type="page"/>
      </w:r>
    </w:p>
    <w:p>
      <w:pPr>
        <w:pStyle w:val="Heading1"/>
        <w:keepNext/>
      </w:pPr>
      <w:r>
        <w:t>About This Part</w:t>
      </w:r>
    </w:p>
    <w:p>
      <w:pPr>
        <w:spacing w:after="120"/>
      </w:pPr>
      <w:r>
        <w:rPr>
          <w:i w:val="0"/>
        </w:rPr>
        <w:t>Volume 8A establishes the operating model required to use Google Cloud safely and professionally. It begins with cloud principles and Google Cloud global infrastructure, then moves through resource hierarchy, identity, command-line automation, compute, networking, cost governance, and an integrated foundation capstone.</w:t>
      </w:r>
    </w:p>
    <w:p>
      <w:pPr>
        <w:spacing w:after="120"/>
      </w:pPr>
      <w:r>
        <w:rPr>
          <w:i w:val="0"/>
        </w:rPr>
        <w:t>The objective is not simply to create resources. A production engineer must understand ownership, inherited policy, billing boundaries, blast radius, identity paths, quotas, location constraints, logging, cleanup, and evidence. Every lab therefore includes validation and cost-control steps.</w:t>
      </w:r>
    </w:p>
    <w:p>
      <w:pPr>
        <w:pStyle w:val="Heading1"/>
        <w:keepNext/>
      </w:pPr>
      <w:r>
        <w:t>Volume 8 Structure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864"/>
            <w:shd w:fill="1A73E8"/>
            <w:tcMar>
              <w:top w:w="80" w:type="dxa"/>
              <w:start w:w="100" w:type="dxa"/>
              <w:bottom w:w="80" w:type="dxa"/>
              <w:end w:w="100" w:type="dxa"/>
            </w:tcMar>
            <w:vAlign w:val="center"/>
          </w:tcPr>
          <w:p>
            <w:pPr>
              <w:jc w:val="center"/>
            </w:pPr>
            <w:r>
              <w:rPr>
                <w:b/>
                <w:color w:val="FFFFFF"/>
                <w:sz w:val="17"/>
              </w:rPr>
              <w:t>Part</w:t>
            </w:r>
          </w:p>
        </w:tc>
        <w:tc>
          <w:tcPr>
            <w:tcW w:type="dxa" w:w="6912"/>
            <w:shd w:fill="1A73E8"/>
            <w:tcMar>
              <w:top w:w="80" w:type="dxa"/>
              <w:start w:w="100" w:type="dxa"/>
              <w:bottom w:w="80" w:type="dxa"/>
              <w:end w:w="100" w:type="dxa"/>
            </w:tcMar>
            <w:vAlign w:val="center"/>
          </w:tcPr>
          <w:p>
            <w:pPr>
              <w:jc w:val="center"/>
            </w:pPr>
            <w:r>
              <w:rPr>
                <w:b/>
                <w:color w:val="FFFFFF"/>
                <w:sz w:val="17"/>
              </w:rPr>
              <w:t>Coverage</w:t>
            </w:r>
          </w:p>
        </w:tc>
        <w:tc>
          <w:tcPr>
            <w:tcW w:type="dxa" w:w="1584"/>
            <w:shd w:fill="1A73E8"/>
            <w:tcMar>
              <w:top w:w="80" w:type="dxa"/>
              <w:start w:w="100" w:type="dxa"/>
              <w:bottom w:w="80" w:type="dxa"/>
              <w:end w:w="100" w:type="dxa"/>
            </w:tcMar>
            <w:vAlign w:val="center"/>
          </w:tcPr>
          <w:p>
            <w:pPr>
              <w:jc w:val="center"/>
            </w:pPr>
            <w:r>
              <w:rPr>
                <w:b/>
                <w:color w:val="FFFFFF"/>
                <w:sz w:val="17"/>
              </w:rPr>
              <w:t>Status</w:t>
            </w:r>
          </w:p>
        </w:tc>
      </w:tr>
      <w:tr>
        <w:trPr>
          <w:cantSplit/>
        </w:trPr>
        <w:tc>
          <w:tcPr>
            <w:tcW w:type="dxa" w:w="864"/>
            <w:tcMar>
              <w:top w:w="80" w:type="dxa"/>
              <w:start w:w="100" w:type="dxa"/>
              <w:bottom w:w="80" w:type="dxa"/>
              <w:end w:w="100" w:type="dxa"/>
            </w:tcMar>
            <w:vAlign w:val="top"/>
          </w:tcPr>
          <w:p>
            <w:pPr>
              <w:spacing w:after="0"/>
            </w:pPr>
            <w:r>
              <w:rPr>
                <w:sz w:val="16"/>
              </w:rPr>
              <w:t>8A</w:t>
            </w:r>
          </w:p>
        </w:tc>
        <w:tc>
          <w:tcPr>
            <w:tcW w:type="dxa" w:w="6912"/>
            <w:tcMar>
              <w:top w:w="80" w:type="dxa"/>
              <w:start w:w="100" w:type="dxa"/>
              <w:bottom w:w="80" w:type="dxa"/>
              <w:end w:w="100" w:type="dxa"/>
            </w:tcMar>
            <w:vAlign w:val="top"/>
          </w:tcPr>
          <w:p>
            <w:pPr>
              <w:spacing w:after="0"/>
            </w:pPr>
            <w:r>
              <w:rPr>
                <w:sz w:val="16"/>
              </w:rPr>
              <w:t>Foundations: hierarchy, IAM, tools, compute, VPC, billing</w:t>
            </w:r>
          </w:p>
        </w:tc>
        <w:tc>
          <w:tcPr>
            <w:tcW w:type="dxa" w:w="1584"/>
            <w:tcMar>
              <w:top w:w="80" w:type="dxa"/>
              <w:start w:w="100" w:type="dxa"/>
              <w:bottom w:w="80" w:type="dxa"/>
              <w:end w:w="100" w:type="dxa"/>
            </w:tcMar>
            <w:vAlign w:val="top"/>
          </w:tcPr>
          <w:p>
            <w:pPr>
              <w:spacing w:after="0"/>
            </w:pPr>
            <w:r>
              <w:rPr>
                <w:sz w:val="16"/>
              </w:rPr>
              <w:t>This book</w:t>
            </w:r>
          </w:p>
        </w:tc>
      </w:tr>
      <w:tr>
        <w:trPr>
          <w:cantSplit/>
        </w:trPr>
        <w:tc>
          <w:tcPr>
            <w:tcW w:type="dxa" w:w="864"/>
            <w:tcMar>
              <w:top w:w="80" w:type="dxa"/>
              <w:start w:w="100" w:type="dxa"/>
              <w:bottom w:w="80" w:type="dxa"/>
              <w:end w:w="100" w:type="dxa"/>
            </w:tcMar>
            <w:vAlign w:val="top"/>
          </w:tcPr>
          <w:p>
            <w:pPr>
              <w:spacing w:after="0"/>
            </w:pPr>
            <w:r>
              <w:rPr>
                <w:sz w:val="16"/>
              </w:rPr>
              <w:t>8B</w:t>
            </w:r>
          </w:p>
        </w:tc>
        <w:tc>
          <w:tcPr>
            <w:tcW w:type="dxa" w:w="6912"/>
            <w:tcMar>
              <w:top w:w="80" w:type="dxa"/>
              <w:start w:w="100" w:type="dxa"/>
              <w:bottom w:w="80" w:type="dxa"/>
              <w:end w:w="100" w:type="dxa"/>
            </w:tcMar>
            <w:vAlign w:val="top"/>
          </w:tcPr>
          <w:p>
            <w:pPr>
              <w:spacing w:after="0"/>
            </w:pPr>
            <w:r>
              <w:rPr>
                <w:sz w:val="16"/>
              </w:rPr>
              <w:t>Core infrastructure: managed instance groups, load balancing, DNS, storage, hybrid connectivity, DR</w:t>
            </w:r>
          </w:p>
        </w:tc>
        <w:tc>
          <w:tcPr>
            <w:tcW w:type="dxa" w:w="1584"/>
            <w:tcMar>
              <w:top w:w="80" w:type="dxa"/>
              <w:start w:w="100" w:type="dxa"/>
              <w:bottom w:w="80" w:type="dxa"/>
              <w:end w:w="100" w:type="dxa"/>
            </w:tcMar>
            <w:vAlign w:val="top"/>
          </w:tcPr>
          <w:p>
            <w:pPr>
              <w:spacing w:after="0"/>
            </w:pPr>
            <w:r>
              <w:rPr>
                <w:sz w:val="16"/>
              </w:rPr>
              <w:t>Next</w:t>
            </w:r>
          </w:p>
        </w:tc>
      </w:tr>
      <w:tr>
        <w:trPr>
          <w:cantSplit/>
        </w:trPr>
        <w:tc>
          <w:tcPr>
            <w:tcW w:type="dxa" w:w="864"/>
            <w:tcMar>
              <w:top w:w="80" w:type="dxa"/>
              <w:start w:w="100" w:type="dxa"/>
              <w:bottom w:w="80" w:type="dxa"/>
              <w:end w:w="100" w:type="dxa"/>
            </w:tcMar>
            <w:vAlign w:val="top"/>
          </w:tcPr>
          <w:p>
            <w:pPr>
              <w:spacing w:after="0"/>
            </w:pPr>
            <w:r>
              <w:rPr>
                <w:sz w:val="16"/>
              </w:rPr>
              <w:t>8C</w:t>
            </w:r>
          </w:p>
        </w:tc>
        <w:tc>
          <w:tcPr>
            <w:tcW w:type="dxa" w:w="6912"/>
            <w:tcMar>
              <w:top w:w="80" w:type="dxa"/>
              <w:start w:w="100" w:type="dxa"/>
              <w:bottom w:w="80" w:type="dxa"/>
              <w:end w:w="100" w:type="dxa"/>
            </w:tcMar>
            <w:vAlign w:val="top"/>
          </w:tcPr>
          <w:p>
            <w:pPr>
              <w:spacing w:after="0"/>
            </w:pPr>
            <w:r>
              <w:rPr>
                <w:sz w:val="16"/>
              </w:rPr>
              <w:t>Databases, analytics, data engineering, AI-ready data platforms, migration</w:t>
            </w:r>
          </w:p>
        </w:tc>
        <w:tc>
          <w:tcPr>
            <w:tcW w:type="dxa" w:w="1584"/>
            <w:tcMar>
              <w:top w:w="80" w:type="dxa"/>
              <w:start w:w="100" w:type="dxa"/>
              <w:bottom w:w="80" w:type="dxa"/>
              <w:end w:w="100" w:type="dxa"/>
            </w:tcMar>
            <w:vAlign w:val="top"/>
          </w:tcPr>
          <w:p>
            <w:pPr>
              <w:spacing w:after="0"/>
            </w:pPr>
            <w:r>
              <w:rPr>
                <w:sz w:val="16"/>
              </w:rPr>
              <w:t>Planned</w:t>
            </w:r>
          </w:p>
        </w:tc>
      </w:tr>
      <w:tr>
        <w:trPr>
          <w:cantSplit/>
        </w:trPr>
        <w:tc>
          <w:tcPr>
            <w:tcW w:type="dxa" w:w="864"/>
            <w:tcMar>
              <w:top w:w="80" w:type="dxa"/>
              <w:start w:w="100" w:type="dxa"/>
              <w:bottom w:w="80" w:type="dxa"/>
              <w:end w:w="100" w:type="dxa"/>
            </w:tcMar>
            <w:vAlign w:val="top"/>
          </w:tcPr>
          <w:p>
            <w:pPr>
              <w:spacing w:after="0"/>
            </w:pPr>
            <w:r>
              <w:rPr>
                <w:sz w:val="16"/>
              </w:rPr>
              <w:t>8D</w:t>
            </w:r>
          </w:p>
        </w:tc>
        <w:tc>
          <w:tcPr>
            <w:tcW w:type="dxa" w:w="6912"/>
            <w:tcMar>
              <w:top w:w="80" w:type="dxa"/>
              <w:start w:w="100" w:type="dxa"/>
              <w:bottom w:w="80" w:type="dxa"/>
              <w:end w:w="100" w:type="dxa"/>
            </w:tcMar>
            <w:vAlign w:val="top"/>
          </w:tcPr>
          <w:p>
            <w:pPr>
              <w:spacing w:after="0"/>
            </w:pPr>
            <w:r>
              <w:rPr>
                <w:sz w:val="16"/>
              </w:rPr>
              <w:t>GKE, Cloud Run, functions, APIs, Pub/Sub, Eventarc, workflows</w:t>
            </w:r>
          </w:p>
        </w:tc>
        <w:tc>
          <w:tcPr>
            <w:tcW w:type="dxa" w:w="1584"/>
            <w:tcMar>
              <w:top w:w="80" w:type="dxa"/>
              <w:start w:w="100" w:type="dxa"/>
              <w:bottom w:w="80" w:type="dxa"/>
              <w:end w:w="100" w:type="dxa"/>
            </w:tcMar>
            <w:vAlign w:val="top"/>
          </w:tcPr>
          <w:p>
            <w:pPr>
              <w:spacing w:after="0"/>
            </w:pPr>
            <w:r>
              <w:rPr>
                <w:sz w:val="16"/>
              </w:rPr>
              <w:t>Planned</w:t>
            </w:r>
          </w:p>
        </w:tc>
      </w:tr>
      <w:tr>
        <w:trPr>
          <w:cantSplit/>
        </w:trPr>
        <w:tc>
          <w:tcPr>
            <w:tcW w:type="dxa" w:w="864"/>
            <w:tcMar>
              <w:top w:w="80" w:type="dxa"/>
              <w:start w:w="100" w:type="dxa"/>
              <w:bottom w:w="80" w:type="dxa"/>
              <w:end w:w="100" w:type="dxa"/>
            </w:tcMar>
            <w:vAlign w:val="top"/>
          </w:tcPr>
          <w:p>
            <w:pPr>
              <w:spacing w:after="0"/>
            </w:pPr>
            <w:r>
              <w:rPr>
                <w:sz w:val="16"/>
              </w:rPr>
              <w:t>8E</w:t>
            </w:r>
          </w:p>
        </w:tc>
        <w:tc>
          <w:tcPr>
            <w:tcW w:type="dxa" w:w="6912"/>
            <w:tcMar>
              <w:top w:w="80" w:type="dxa"/>
              <w:start w:w="100" w:type="dxa"/>
              <w:bottom w:w="80" w:type="dxa"/>
              <w:end w:w="100" w:type="dxa"/>
            </w:tcMar>
            <w:vAlign w:val="top"/>
          </w:tcPr>
          <w:p>
            <w:pPr>
              <w:spacing w:after="0"/>
            </w:pPr>
            <w:r>
              <w:rPr>
                <w:sz w:val="16"/>
              </w:rPr>
              <w:t>Terraform, Cloud Build, observability, security, governance, FinOps</w:t>
            </w:r>
          </w:p>
        </w:tc>
        <w:tc>
          <w:tcPr>
            <w:tcW w:type="dxa" w:w="1584"/>
            <w:tcMar>
              <w:top w:w="80" w:type="dxa"/>
              <w:start w:w="100" w:type="dxa"/>
              <w:bottom w:w="80" w:type="dxa"/>
              <w:end w:w="100" w:type="dxa"/>
            </w:tcMar>
            <w:vAlign w:val="top"/>
          </w:tcPr>
          <w:p>
            <w:pPr>
              <w:spacing w:after="0"/>
            </w:pPr>
            <w:r>
              <w:rPr>
                <w:sz w:val="16"/>
              </w:rPr>
              <w:t>Planned</w:t>
            </w:r>
          </w:p>
        </w:tc>
      </w:tr>
      <w:tr>
        <w:trPr>
          <w:cantSplit/>
        </w:trPr>
        <w:tc>
          <w:tcPr>
            <w:tcW w:type="dxa" w:w="864"/>
            <w:tcMar>
              <w:top w:w="80" w:type="dxa"/>
              <w:start w:w="100" w:type="dxa"/>
              <w:bottom w:w="80" w:type="dxa"/>
              <w:end w:w="100" w:type="dxa"/>
            </w:tcMar>
            <w:vAlign w:val="top"/>
          </w:tcPr>
          <w:p>
            <w:pPr>
              <w:spacing w:after="0"/>
            </w:pPr>
            <w:r>
              <w:rPr>
                <w:sz w:val="16"/>
              </w:rPr>
              <w:t>8F</w:t>
            </w:r>
          </w:p>
        </w:tc>
        <w:tc>
          <w:tcPr>
            <w:tcW w:type="dxa" w:w="6912"/>
            <w:tcMar>
              <w:top w:w="80" w:type="dxa"/>
              <w:start w:w="100" w:type="dxa"/>
              <w:bottom w:w="80" w:type="dxa"/>
              <w:end w:w="100" w:type="dxa"/>
            </w:tcMar>
            <w:vAlign w:val="top"/>
          </w:tcPr>
          <w:p>
            <w:pPr>
              <w:spacing w:after="0"/>
            </w:pPr>
            <w:r>
              <w:rPr>
                <w:sz w:val="16"/>
              </w:rPr>
              <w:t>Enterprise projects, incidents, certifications, interviews, final capstone</w:t>
            </w:r>
          </w:p>
        </w:tc>
        <w:tc>
          <w:tcPr>
            <w:tcW w:type="dxa" w:w="1584"/>
            <w:tcMar>
              <w:top w:w="80" w:type="dxa"/>
              <w:start w:w="100" w:type="dxa"/>
              <w:bottom w:w="80" w:type="dxa"/>
              <w:end w:w="100" w:type="dxa"/>
            </w:tcMar>
            <w:vAlign w:val="top"/>
          </w:tcPr>
          <w:p>
            <w:pPr>
              <w:spacing w:after="0"/>
            </w:pPr>
            <w:r>
              <w:rPr>
                <w:sz w:val="16"/>
              </w:rPr>
              <w:t>Planned</w:t>
            </w:r>
          </w:p>
        </w:tc>
      </w:tr>
    </w:tbl>
    <w:p>
      <w:pPr>
        <w:spacing w:after="20"/>
      </w:pPr>
    </w:p>
    <w:p>
      <w:pPr>
        <w:pStyle w:val="Heading1"/>
        <w:keepNext/>
      </w:pPr>
      <w:r>
        <w:t>Safety, Security, and Cost Controls</w:t>
      </w:r>
    </w:p>
    <w:p>
      <w:pPr>
        <w:pStyle w:val="ListBullet"/>
        <w:spacing w:after="60"/>
      </w:pPr>
      <w:r>
        <w:t>Use a dedicated learning project and never experiment in an employer or production organization without written authorization.</w:t>
      </w:r>
    </w:p>
    <w:p>
      <w:pPr>
        <w:pStyle w:val="ListBullet"/>
        <w:spacing w:after="60"/>
      </w:pPr>
      <w:r>
        <w:t>Enable budgets and alerts before labs. Budgets notify; they are not a substitute for cleanup, quotas, and automation.</w:t>
      </w:r>
    </w:p>
    <w:p>
      <w:pPr>
        <w:pStyle w:val="ListBullet"/>
        <w:spacing w:after="60"/>
      </w:pPr>
      <w:r>
        <w:t>Prefer short-lived credentials, Cloud Shell, service account impersonation, and Workload Identity Federation. Do not create service account keys unless a documented exception requires them.</w:t>
      </w:r>
    </w:p>
    <w:p>
      <w:pPr>
        <w:pStyle w:val="ListBullet"/>
        <w:spacing w:after="60"/>
      </w:pPr>
      <w:r>
        <w:t>Use least privilege, groups instead of individual grants, and separate human identities from workload identities.</w:t>
      </w:r>
    </w:p>
    <w:p>
      <w:pPr>
        <w:pStyle w:val="ListBullet"/>
        <w:spacing w:after="60"/>
      </w:pPr>
      <w:r>
        <w:t>Choose regions deliberately for latency, service availability, compliance, resilience, and cost. Remove public IP addresses unless they are required.</w:t>
      </w:r>
    </w:p>
    <w:p>
      <w:pPr>
        <w:pStyle w:val="ListBullet"/>
        <w:spacing w:after="60"/>
      </w:pPr>
      <w:r>
        <w:t>Delete temporary VMs, disks, static IPs, snapshots, and projects after evidence is captured.</w:t>
      </w:r>
    </w:p>
    <w:p>
      <w:pPr>
        <w:pStyle w:val="Heading1"/>
        <w:keepNext/>
      </w:pPr>
      <w:r>
        <w:t>Table of Contents</w:t>
      </w:r>
    </w:p>
    <w:p>
      <w:pPr>
        <w:spacing w:after="120"/>
      </w:pPr>
      <w:r>
        <w:rPr>
          <w:i w:val="0"/>
        </w:rPr>
        <w:t>Chapter 1 - Cloud Computing and Google Cloud</w:t>
      </w:r>
    </w:p>
    <w:p>
      <w:pPr>
        <w:spacing w:after="120"/>
      </w:pPr>
      <w:r>
        <w:rPr>
          <w:i w:val="0"/>
        </w:rPr>
        <w:t>Chapter 2 - Google Cloud Global Infrastructure and Reliability</w:t>
      </w:r>
    </w:p>
    <w:p>
      <w:pPr>
        <w:spacing w:after="120"/>
      </w:pPr>
      <w:r>
        <w:rPr>
          <w:i w:val="0"/>
        </w:rPr>
        <w:t>Chapter 3 - Organizations, Folders, Projects, and Billing Accounts</w:t>
      </w:r>
    </w:p>
    <w:p>
      <w:pPr>
        <w:spacing w:after="120"/>
      </w:pPr>
      <w:r>
        <w:rPr>
          <w:i w:val="0"/>
        </w:rPr>
        <w:t>Chapter 4 - Console, Cloud Shell, gcloud CLI, APIs, and SDKs</w:t>
      </w:r>
    </w:p>
    <w:p>
      <w:pPr>
        <w:spacing w:after="120"/>
      </w:pPr>
      <w:r>
        <w:rPr>
          <w:i w:val="0"/>
        </w:rPr>
        <w:t>Chapter 5 - Cloud Identity and IAM Fundamentals</w:t>
      </w:r>
    </w:p>
    <w:p>
      <w:pPr>
        <w:spacing w:after="120"/>
      </w:pPr>
      <w:r>
        <w:rPr>
          <w:i w:val="0"/>
        </w:rPr>
        <w:t>Chapter 6 - Service Accounts, Workload Identity Federation, and Privileged Access</w:t>
      </w:r>
    </w:p>
    <w:p>
      <w:pPr>
        <w:spacing w:after="120"/>
      </w:pPr>
      <w:r>
        <w:rPr>
          <w:i w:val="0"/>
        </w:rPr>
        <w:t>Chapter 7 - Resource Governance: Organization Policy, Tags, Labels, Quotas, and APIs</w:t>
      </w:r>
    </w:p>
    <w:p>
      <w:pPr>
        <w:spacing w:after="120"/>
      </w:pPr>
      <w:r>
        <w:rPr>
          <w:i w:val="0"/>
        </w:rPr>
        <w:t>Chapter 8 - Compute Engine Foundations</w:t>
      </w:r>
    </w:p>
    <w:p>
      <w:pPr>
        <w:spacing w:after="120"/>
      </w:pPr>
      <w:r>
        <w:rPr>
          <w:i w:val="0"/>
        </w:rPr>
        <w:t>Chapter 9 - VPC Networking Foundations</w:t>
      </w:r>
    </w:p>
    <w:p>
      <w:pPr>
        <w:spacing w:after="120"/>
      </w:pPr>
      <w:r>
        <w:rPr>
          <w:i w:val="0"/>
        </w:rPr>
        <w:t>Chapter 10 - Cloud Billing, FinOps, and Foundation Capstone</w:t>
      </w:r>
    </w:p>
    <w:p>
      <w:pPr>
        <w:spacing w:after="120"/>
      </w:pPr>
      <w:r>
        <w:rPr>
          <w:i w:val="0"/>
        </w:rPr>
        <w:t>Appendix A - Google Cloud Command Reference</w:t>
      </w:r>
    </w:p>
    <w:p>
      <w:pPr>
        <w:spacing w:after="120"/>
      </w:pPr>
      <w:r>
        <w:rPr>
          <w:i w:val="0"/>
        </w:rPr>
        <w:t>Appendix B - Cross-Service Troubleshooting Matrix</w:t>
      </w:r>
    </w:p>
    <w:p>
      <w:pPr>
        <w:spacing w:after="120"/>
      </w:pPr>
      <w:r>
        <w:rPr>
          <w:i w:val="0"/>
        </w:rPr>
        <w:t>Appendix C - Foundation Production-Readiness Checklist</w:t>
      </w:r>
    </w:p>
    <w:p>
      <w:pPr>
        <w:spacing w:after="120"/>
      </w:pPr>
      <w:r>
        <w:rPr>
          <w:i w:val="0"/>
        </w:rPr>
        <w:t>Appendix D - Glossary and Official Documentation Index</w:t>
      </w:r>
    </w:p>
    <w:p>
      <w:pPr>
        <w:pStyle w:val="Heading1"/>
        <w:keepNext/>
        <w:pageBreakBefore/>
      </w:pPr>
      <w:r>
        <w:t>Chapter 1 - Cloud Computing and Google Cloud</w:t>
      </w:r>
    </w:p>
    <w:p>
      <w:pPr>
        <w:spacing w:after="120"/>
      </w:pPr>
      <w:r>
        <w:rPr>
          <w:i/>
          <w:color w:val="505050"/>
        </w:rPr>
        <w:t>Understanding cloud operating models, shared responsibility, and the Google Cloud service landscape</w:t>
      </w:r>
    </w:p>
    <w:p>
      <w:pPr>
        <w:pStyle w:val="Heading2"/>
        <w:keepNext/>
      </w:pPr>
      <w:r>
        <w:t>Learning Objectives</w:t>
      </w:r>
    </w:p>
    <w:p>
      <w:pPr>
        <w:pStyle w:val="ListBullet"/>
        <w:spacing w:after="60"/>
      </w:pPr>
      <w:r>
        <w:t>Explain cloud computing through business and engineering outcomes.</w:t>
      </w:r>
    </w:p>
    <w:p>
      <w:pPr>
        <w:pStyle w:val="ListBullet"/>
        <w:spacing w:after="60"/>
      </w:pPr>
      <w:r>
        <w:t>Differentiate IaaS, PaaS, managed services, and serverless platforms.</w:t>
      </w:r>
    </w:p>
    <w:p>
      <w:pPr>
        <w:pStyle w:val="ListBullet"/>
        <w:spacing w:after="60"/>
      </w:pPr>
      <w:r>
        <w:t>Describe shared responsibility and the control-versus-operations trade-off.</w:t>
      </w:r>
    </w:p>
    <w:p>
      <w:pPr>
        <w:pStyle w:val="ListBullet"/>
        <w:spacing w:after="60"/>
      </w:pPr>
      <w:r>
        <w:t>Map common DevOps capabilities to Google Cloud services.</w:t>
      </w:r>
    </w:p>
    <w:p>
      <w:pPr>
        <w:pStyle w:val="Heading2"/>
        <w:keepNext/>
      </w:pPr>
      <w:r>
        <w:t>1.1 Why Cloud Changes Engineering</w:t>
      </w:r>
    </w:p>
    <w:p>
      <w:pPr>
        <w:spacing w:after="120"/>
      </w:pPr>
      <w:r>
        <w:rPr>
          <w:i w:val="0"/>
        </w:rPr>
        <w:t>Cloud computing provides on-demand access to shared infrastructure and managed services through programmable APIs. The important change is not that servers are remote. The important change is that capacity, identity, networking, policy, and observability become software-defined and can be delivered through repeatable automation.</w:t>
      </w:r>
    </w:p>
    <w:p>
      <w:pPr>
        <w:pStyle w:val="ListBullet"/>
        <w:spacing w:after="60"/>
      </w:pPr>
      <w:r>
        <w:t>Elastic capacity reduces procurement delay but requires scaling limits and cost governance.</w:t>
      </w:r>
    </w:p>
    <w:p>
      <w:pPr>
        <w:pStyle w:val="ListBullet"/>
        <w:spacing w:after="60"/>
      </w:pPr>
      <w:r>
        <w:t>Managed services reduce undifferentiated operations but still require configuration, data protection, availability design, and monitoring.</w:t>
      </w:r>
    </w:p>
    <w:p>
      <w:pPr>
        <w:pStyle w:val="ListBullet"/>
        <w:spacing w:after="60"/>
      </w:pPr>
      <w:r>
        <w:t>Global infrastructure enables regional architecture but does not make every workload automatically resilient.</w:t>
      </w:r>
    </w:p>
    <w:p>
      <w:pPr>
        <w:pStyle w:val="ListBullet"/>
        <w:spacing w:after="60"/>
      </w:pPr>
      <w:r>
        <w:t>APIs improve repeatability while increasing the importance of identity, audit, and change control.</w:t>
      </w:r>
    </w:p>
    <w:p>
      <w:pPr>
        <w:pStyle w:val="Heading2"/>
        <w:keepNext/>
      </w:pPr>
      <w:r>
        <w:t>1.2 Service Models and Responsibility</w:t>
      </w:r>
    </w:p>
    <w:p>
      <w:pPr>
        <w:spacing w:after="120"/>
      </w:pPr>
      <w:r>
        <w:rPr>
          <w:i w:val="0"/>
        </w:rPr>
        <w:t>Service models represent different allocations of control and operational burden. Compute Engine gives operating-system control. Google Kubernetes Engine provides managed Kubernetes control planes with workload and cluster responsibilities shared by the customer. Cloud Run removes server and cluster management for suitable containerized applications. Managed databases transfer patching and replication work while leaving schema, queries, access, and recovery objectives with the customer.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Model</w:t>
            </w:r>
          </w:p>
        </w:tc>
        <w:tc>
          <w:tcPr>
            <w:tcW w:type="dxa" w:w="3456"/>
            <w:shd w:fill="1A73E8"/>
            <w:tcMar>
              <w:top w:w="80" w:type="dxa"/>
              <w:start w:w="100" w:type="dxa"/>
              <w:bottom w:w="80" w:type="dxa"/>
              <w:end w:w="100" w:type="dxa"/>
            </w:tcMar>
            <w:vAlign w:val="center"/>
          </w:tcPr>
          <w:p>
            <w:pPr>
              <w:jc w:val="center"/>
            </w:pPr>
            <w:r>
              <w:rPr>
                <w:b/>
                <w:color w:val="FFFFFF"/>
                <w:sz w:val="17"/>
              </w:rPr>
              <w:t>Google Cloud Examples</w:t>
            </w:r>
          </w:p>
        </w:tc>
        <w:tc>
          <w:tcPr>
            <w:tcW w:type="dxa" w:w="4320"/>
            <w:shd w:fill="1A73E8"/>
            <w:tcMar>
              <w:top w:w="80" w:type="dxa"/>
              <w:start w:w="100" w:type="dxa"/>
              <w:bottom w:w="80" w:type="dxa"/>
              <w:end w:w="100" w:type="dxa"/>
            </w:tcMar>
            <w:vAlign w:val="center"/>
          </w:tcPr>
          <w:p>
            <w:pPr>
              <w:jc w:val="center"/>
            </w:pPr>
            <w:r>
              <w:rPr>
                <w:b/>
                <w:color w:val="FFFFFF"/>
                <w:sz w:val="17"/>
              </w:rPr>
              <w:t>Customer Focus</w:t>
            </w:r>
          </w:p>
        </w:tc>
      </w:tr>
      <w:tr>
        <w:trPr>
          <w:cantSplit/>
        </w:trPr>
        <w:tc>
          <w:tcPr>
            <w:tcW w:type="dxa" w:w="2160"/>
            <w:tcMar>
              <w:top w:w="80" w:type="dxa"/>
              <w:start w:w="100" w:type="dxa"/>
              <w:bottom w:w="80" w:type="dxa"/>
              <w:end w:w="100" w:type="dxa"/>
            </w:tcMar>
            <w:vAlign w:val="top"/>
          </w:tcPr>
          <w:p>
            <w:pPr>
              <w:spacing w:after="0"/>
            </w:pPr>
            <w:r>
              <w:rPr>
                <w:sz w:val="16"/>
              </w:rPr>
              <w:t>Infrastructure</w:t>
            </w:r>
          </w:p>
        </w:tc>
        <w:tc>
          <w:tcPr>
            <w:tcW w:type="dxa" w:w="3456"/>
            <w:tcMar>
              <w:top w:w="80" w:type="dxa"/>
              <w:start w:w="100" w:type="dxa"/>
              <w:bottom w:w="80" w:type="dxa"/>
              <w:end w:w="100" w:type="dxa"/>
            </w:tcMar>
            <w:vAlign w:val="top"/>
          </w:tcPr>
          <w:p>
            <w:pPr>
              <w:spacing w:after="0"/>
            </w:pPr>
            <w:r>
              <w:rPr>
                <w:sz w:val="16"/>
              </w:rPr>
              <w:t>Compute Engine, Persistent Disk, VPC</w:t>
            </w:r>
          </w:p>
        </w:tc>
        <w:tc>
          <w:tcPr>
            <w:tcW w:type="dxa" w:w="4320"/>
            <w:tcMar>
              <w:top w:w="80" w:type="dxa"/>
              <w:start w:w="100" w:type="dxa"/>
              <w:bottom w:w="80" w:type="dxa"/>
              <w:end w:w="100" w:type="dxa"/>
            </w:tcMar>
            <w:vAlign w:val="top"/>
          </w:tcPr>
          <w:p>
            <w:pPr>
              <w:spacing w:after="0"/>
            </w:pPr>
            <w:r>
              <w:rPr>
                <w:sz w:val="16"/>
              </w:rPr>
              <w:t>OS, runtime, application, data, scaling, backup, access.</w:t>
            </w:r>
          </w:p>
        </w:tc>
      </w:tr>
      <w:tr>
        <w:trPr>
          <w:cantSplit/>
        </w:trPr>
        <w:tc>
          <w:tcPr>
            <w:tcW w:type="dxa" w:w="2160"/>
            <w:tcMar>
              <w:top w:w="80" w:type="dxa"/>
              <w:start w:w="100" w:type="dxa"/>
              <w:bottom w:w="80" w:type="dxa"/>
              <w:end w:w="100" w:type="dxa"/>
            </w:tcMar>
            <w:vAlign w:val="top"/>
          </w:tcPr>
          <w:p>
            <w:pPr>
              <w:spacing w:after="0"/>
            </w:pPr>
            <w:r>
              <w:rPr>
                <w:sz w:val="16"/>
              </w:rPr>
              <w:t>Managed platform</w:t>
            </w:r>
          </w:p>
        </w:tc>
        <w:tc>
          <w:tcPr>
            <w:tcW w:type="dxa" w:w="3456"/>
            <w:tcMar>
              <w:top w:w="80" w:type="dxa"/>
              <w:start w:w="100" w:type="dxa"/>
              <w:bottom w:w="80" w:type="dxa"/>
              <w:end w:w="100" w:type="dxa"/>
            </w:tcMar>
            <w:vAlign w:val="top"/>
          </w:tcPr>
          <w:p>
            <w:pPr>
              <w:spacing w:after="0"/>
            </w:pPr>
            <w:r>
              <w:rPr>
                <w:sz w:val="16"/>
              </w:rPr>
              <w:t>GKE, Cloud SQL, Memorystore</w:t>
            </w:r>
          </w:p>
        </w:tc>
        <w:tc>
          <w:tcPr>
            <w:tcW w:type="dxa" w:w="4320"/>
            <w:tcMar>
              <w:top w:w="80" w:type="dxa"/>
              <w:start w:w="100" w:type="dxa"/>
              <w:bottom w:w="80" w:type="dxa"/>
              <w:end w:w="100" w:type="dxa"/>
            </w:tcMar>
            <w:vAlign w:val="top"/>
          </w:tcPr>
          <w:p>
            <w:pPr>
              <w:spacing w:after="0"/>
            </w:pPr>
            <w:r>
              <w:rPr>
                <w:sz w:val="16"/>
              </w:rPr>
              <w:t>Workload configuration, data model, security, availability, cost.</w:t>
            </w:r>
          </w:p>
        </w:tc>
      </w:tr>
      <w:tr>
        <w:trPr>
          <w:cantSplit/>
        </w:trPr>
        <w:tc>
          <w:tcPr>
            <w:tcW w:type="dxa" w:w="2160"/>
            <w:tcMar>
              <w:top w:w="80" w:type="dxa"/>
              <w:start w:w="100" w:type="dxa"/>
              <w:bottom w:w="80" w:type="dxa"/>
              <w:end w:w="100" w:type="dxa"/>
            </w:tcMar>
            <w:vAlign w:val="top"/>
          </w:tcPr>
          <w:p>
            <w:pPr>
              <w:spacing w:after="0"/>
            </w:pPr>
            <w:r>
              <w:rPr>
                <w:sz w:val="16"/>
              </w:rPr>
              <w:t>Serverless application</w:t>
            </w:r>
          </w:p>
        </w:tc>
        <w:tc>
          <w:tcPr>
            <w:tcW w:type="dxa" w:w="3456"/>
            <w:tcMar>
              <w:top w:w="80" w:type="dxa"/>
              <w:start w:w="100" w:type="dxa"/>
              <w:bottom w:w="80" w:type="dxa"/>
              <w:end w:w="100" w:type="dxa"/>
            </w:tcMar>
            <w:vAlign w:val="top"/>
          </w:tcPr>
          <w:p>
            <w:pPr>
              <w:spacing w:after="0"/>
            </w:pPr>
            <w:r>
              <w:rPr>
                <w:sz w:val="16"/>
              </w:rPr>
              <w:t>Cloud Run, Cloud Run functions</w:t>
            </w:r>
          </w:p>
        </w:tc>
        <w:tc>
          <w:tcPr>
            <w:tcW w:type="dxa" w:w="4320"/>
            <w:tcMar>
              <w:top w:w="80" w:type="dxa"/>
              <w:start w:w="100" w:type="dxa"/>
              <w:bottom w:w="80" w:type="dxa"/>
              <w:end w:w="100" w:type="dxa"/>
            </w:tcMar>
            <w:vAlign w:val="top"/>
          </w:tcPr>
          <w:p>
            <w:pPr>
              <w:spacing w:after="0"/>
            </w:pPr>
            <w:r>
              <w:rPr>
                <w:sz w:val="16"/>
              </w:rPr>
              <w:t>Code/container, identity, concurrency, limits, observability.</w:t>
            </w:r>
          </w:p>
        </w:tc>
      </w:tr>
      <w:tr>
        <w:trPr>
          <w:cantSplit/>
        </w:trPr>
        <w:tc>
          <w:tcPr>
            <w:tcW w:type="dxa" w:w="2160"/>
            <w:tcMar>
              <w:top w:w="80" w:type="dxa"/>
              <w:start w:w="100" w:type="dxa"/>
              <w:bottom w:w="80" w:type="dxa"/>
              <w:end w:w="100" w:type="dxa"/>
            </w:tcMar>
            <w:vAlign w:val="top"/>
          </w:tcPr>
          <w:p>
            <w:pPr>
              <w:spacing w:after="0"/>
            </w:pPr>
            <w:r>
              <w:rPr>
                <w:sz w:val="16"/>
              </w:rPr>
              <w:t>Managed analytics</w:t>
            </w:r>
          </w:p>
        </w:tc>
        <w:tc>
          <w:tcPr>
            <w:tcW w:type="dxa" w:w="3456"/>
            <w:tcMar>
              <w:top w:w="80" w:type="dxa"/>
              <w:start w:w="100" w:type="dxa"/>
              <w:bottom w:w="80" w:type="dxa"/>
              <w:end w:w="100" w:type="dxa"/>
            </w:tcMar>
            <w:vAlign w:val="top"/>
          </w:tcPr>
          <w:p>
            <w:pPr>
              <w:spacing w:after="0"/>
            </w:pPr>
            <w:r>
              <w:rPr>
                <w:sz w:val="16"/>
              </w:rPr>
              <w:t>BigQuery, Dataflow, Pub/Sub</w:t>
            </w:r>
          </w:p>
        </w:tc>
        <w:tc>
          <w:tcPr>
            <w:tcW w:type="dxa" w:w="4320"/>
            <w:tcMar>
              <w:top w:w="80" w:type="dxa"/>
              <w:start w:w="100" w:type="dxa"/>
              <w:bottom w:w="80" w:type="dxa"/>
              <w:end w:w="100" w:type="dxa"/>
            </w:tcMar>
            <w:vAlign w:val="top"/>
          </w:tcPr>
          <w:p>
            <w:pPr>
              <w:spacing w:after="0"/>
            </w:pPr>
            <w:r>
              <w:rPr>
                <w:sz w:val="16"/>
              </w:rPr>
              <w:t>Data quality, schemas, permissions, pipelines, governance.</w:t>
            </w:r>
          </w:p>
        </w:tc>
      </w:tr>
    </w:tbl>
    <w:p>
      <w:pPr>
        <w:spacing w:after="20"/>
      </w:pPr>
    </w:p>
    <w:p>
      <w:pPr>
        <w:pStyle w:val="Heading2"/>
        <w:keepNext/>
      </w:pPr>
      <w:r>
        <w:t>1.3 Google Cloud for DevOps</w:t>
      </w:r>
    </w:p>
    <w:p>
      <w:pPr>
        <w:spacing w:after="120"/>
      </w:pPr>
      <w:r>
        <w:rPr>
          <w:i w:val="0"/>
        </w:rPr>
        <w:t>Google Cloud combines compute, networking, data, security, operations, and developer services behind a consistent project and IAM model. DevOps engineers commonly use Cloud Build or external CI systems, Artifact Registry, Compute Engine, GKE, Cloud Run, Cloud Storage, Cloud SQL, Cloud Monitoring, Cloud Logging, Secret Manager, and Infrastructure as Code.</w:t>
      </w:r>
    </w:p>
    <w:p>
      <w:pPr>
        <w:pStyle w:val="ListBullet"/>
        <w:spacing w:after="60"/>
      </w:pPr>
      <w:r>
        <w:t>Use projects as strong administrative, quota, and billing boundaries.</w:t>
      </w:r>
    </w:p>
    <w:p>
      <w:pPr>
        <w:pStyle w:val="ListBullet"/>
        <w:spacing w:after="60"/>
      </w:pPr>
      <w:r>
        <w:t>Use labels and tags for ownership, policy, automation, and cost allocation.</w:t>
      </w:r>
    </w:p>
    <w:p>
      <w:pPr>
        <w:pStyle w:val="ListBullet"/>
        <w:spacing w:after="60"/>
      </w:pPr>
      <w:r>
        <w:t>Use Cloud Audit Logs and centralized observability to preserve accountability.</w:t>
      </w:r>
    </w:p>
    <w:p>
      <w:pPr>
        <w:pStyle w:val="ListBullet"/>
        <w:spacing w:after="60"/>
      </w:pPr>
      <w:r>
        <w:t>Prefer managed identities and short-lived credentials over static secrets.</w:t>
      </w:r>
    </w:p>
    <w:p>
      <w:pPr>
        <w:pStyle w:val="Heading2"/>
        <w:keepNext/>
      </w:pPr>
      <w:r>
        <w:t>1.4 Architecture Selection</w:t>
      </w:r>
    </w:p>
    <w:p>
      <w:pPr>
        <w:spacing w:after="120"/>
      </w:pPr>
      <w:r>
        <w:rPr>
          <w:i w:val="0"/>
        </w:rPr>
        <w:t>Choose the smallest operational surface that satisfies the requirements. A simple stateless API might fit Cloud Run; a legacy operating-system workload might require Compute Engine; a Kubernetes platform can be justified when scheduling, ecosystem, or portability requirements outweigh its complexity. Selection must account for reliability, security, team capability, latency, compliance, lock-in, and total cost.</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Unexpected cost after a lab</w:t>
            </w:r>
          </w:p>
        </w:tc>
        <w:tc>
          <w:tcPr>
            <w:tcW w:type="dxa" w:w="2592"/>
            <w:tcMar>
              <w:top w:w="80" w:type="dxa"/>
              <w:start w:w="100" w:type="dxa"/>
              <w:bottom w:w="80" w:type="dxa"/>
              <w:end w:w="100" w:type="dxa"/>
            </w:tcMar>
            <w:vAlign w:val="top"/>
          </w:tcPr>
          <w:p>
            <w:pPr>
              <w:spacing w:after="0"/>
            </w:pPr>
            <w:r>
              <w:rPr>
                <w:sz w:val="16"/>
              </w:rPr>
              <w:t>Resources continue running or attached storage/IPs remain</w:t>
            </w:r>
          </w:p>
        </w:tc>
        <w:tc>
          <w:tcPr>
            <w:tcW w:type="dxa" w:w="5328"/>
            <w:tcMar>
              <w:top w:w="80" w:type="dxa"/>
              <w:start w:w="100" w:type="dxa"/>
              <w:bottom w:w="80" w:type="dxa"/>
              <w:end w:w="100" w:type="dxa"/>
            </w:tcMar>
            <w:vAlign w:val="top"/>
          </w:tcPr>
          <w:p>
            <w:pPr>
              <w:spacing w:after="0"/>
            </w:pPr>
            <w:r>
              <w:rPr>
                <w:sz w:val="16"/>
              </w:rPr>
              <w:t>Review Billing reports and asset inventory; stop or delete compute, disks, addresses, and snapshots.</w:t>
            </w:r>
          </w:p>
        </w:tc>
      </w:tr>
      <w:tr>
        <w:trPr>
          <w:cantSplit/>
        </w:trPr>
        <w:tc>
          <w:tcPr>
            <w:tcW w:type="dxa" w:w="2160"/>
            <w:tcMar>
              <w:top w:w="80" w:type="dxa"/>
              <w:start w:w="100" w:type="dxa"/>
              <w:bottom w:w="80" w:type="dxa"/>
              <w:end w:w="100" w:type="dxa"/>
            </w:tcMar>
            <w:vAlign w:val="top"/>
          </w:tcPr>
          <w:p>
            <w:pPr>
              <w:spacing w:after="0"/>
            </w:pPr>
            <w:r>
              <w:rPr>
                <w:sz w:val="16"/>
              </w:rPr>
              <w:t>Managed service still fails</w:t>
            </w:r>
          </w:p>
        </w:tc>
        <w:tc>
          <w:tcPr>
            <w:tcW w:type="dxa" w:w="2592"/>
            <w:tcMar>
              <w:top w:w="80" w:type="dxa"/>
              <w:start w:w="100" w:type="dxa"/>
              <w:bottom w:w="80" w:type="dxa"/>
              <w:end w:w="100" w:type="dxa"/>
            </w:tcMar>
            <w:vAlign w:val="top"/>
          </w:tcPr>
          <w:p>
            <w:pPr>
              <w:spacing w:after="0"/>
            </w:pPr>
            <w:r>
              <w:rPr>
                <w:sz w:val="16"/>
              </w:rPr>
              <w:t>Shared responsibility misunderstood</w:t>
            </w:r>
          </w:p>
        </w:tc>
        <w:tc>
          <w:tcPr>
            <w:tcW w:type="dxa" w:w="5328"/>
            <w:tcMar>
              <w:top w:w="80" w:type="dxa"/>
              <w:start w:w="100" w:type="dxa"/>
              <w:bottom w:w="80" w:type="dxa"/>
              <w:end w:w="100" w:type="dxa"/>
            </w:tcMar>
            <w:vAlign w:val="top"/>
          </w:tcPr>
          <w:p>
            <w:pPr>
              <w:spacing w:after="0"/>
            </w:pPr>
            <w:r>
              <w:rPr>
                <w:sz w:val="16"/>
              </w:rPr>
              <w:t>Inspect configuration, quotas, IAM, dependencies, application errors, and recovery design.</w:t>
            </w:r>
          </w:p>
        </w:tc>
      </w:tr>
      <w:tr>
        <w:trPr>
          <w:cantSplit/>
        </w:trPr>
        <w:tc>
          <w:tcPr>
            <w:tcW w:type="dxa" w:w="2160"/>
            <w:tcMar>
              <w:top w:w="80" w:type="dxa"/>
              <w:start w:w="100" w:type="dxa"/>
              <w:bottom w:w="80" w:type="dxa"/>
              <w:end w:w="100" w:type="dxa"/>
            </w:tcMar>
            <w:vAlign w:val="top"/>
          </w:tcPr>
          <w:p>
            <w:pPr>
              <w:spacing w:after="0"/>
            </w:pPr>
            <w:r>
              <w:rPr>
                <w:sz w:val="16"/>
              </w:rPr>
              <w:t>Team chooses Kubernetes for every app</w:t>
            </w:r>
          </w:p>
        </w:tc>
        <w:tc>
          <w:tcPr>
            <w:tcW w:type="dxa" w:w="2592"/>
            <w:tcMar>
              <w:top w:w="80" w:type="dxa"/>
              <w:start w:w="100" w:type="dxa"/>
              <w:bottom w:w="80" w:type="dxa"/>
              <w:end w:w="100" w:type="dxa"/>
            </w:tcMar>
            <w:vAlign w:val="top"/>
          </w:tcPr>
          <w:p>
            <w:pPr>
              <w:spacing w:after="0"/>
            </w:pPr>
            <w:r>
              <w:rPr>
                <w:sz w:val="16"/>
              </w:rPr>
              <w:t>Platform preference instead of requirements</w:t>
            </w:r>
          </w:p>
        </w:tc>
        <w:tc>
          <w:tcPr>
            <w:tcW w:type="dxa" w:w="5328"/>
            <w:tcMar>
              <w:top w:w="80" w:type="dxa"/>
              <w:start w:w="100" w:type="dxa"/>
              <w:bottom w:w="80" w:type="dxa"/>
              <w:end w:w="100" w:type="dxa"/>
            </w:tcMar>
            <w:vAlign w:val="top"/>
          </w:tcPr>
          <w:p>
            <w:pPr>
              <w:spacing w:after="0"/>
            </w:pPr>
            <w:r>
              <w:rPr>
                <w:sz w:val="16"/>
              </w:rPr>
              <w:t>Use an architecture decision record comparing Cloud Run, GKE, Compute Engine, and managed services.</w:t>
            </w:r>
          </w:p>
        </w:tc>
      </w:tr>
    </w:tbl>
    <w:p>
      <w:pPr>
        <w:spacing w:after="20"/>
      </w:pPr>
    </w:p>
    <w:p>
      <w:pPr>
        <w:pStyle w:val="Heading2"/>
        <w:keepNext/>
      </w:pPr>
      <w:r>
        <w:t>Hands-on Lab 1: Create a Google Cloud Learning Environment</w:t>
      </w:r>
    </w:p>
    <w:p>
      <w:pPr>
        <w:pStyle w:val="Heading3"/>
        <w:keepNext/>
      </w:pPr>
      <w:r>
        <w:t>Prerequisites</w:t>
      </w:r>
    </w:p>
    <w:p>
      <w:pPr>
        <w:pStyle w:val="ListBullet"/>
        <w:spacing w:after="60"/>
      </w:pPr>
      <w:r>
        <w:t>A personal Google account or approved Cloud Identity account.</w:t>
      </w:r>
    </w:p>
    <w:p>
      <w:pPr>
        <w:pStyle w:val="ListBullet"/>
        <w:spacing w:after="60"/>
      </w:pPr>
      <w:r>
        <w:t>A payment method or approved training billing account.</w:t>
      </w:r>
    </w:p>
    <w:p>
      <w:pPr>
        <w:pStyle w:val="Heading3"/>
        <w:keepNext/>
      </w:pPr>
      <w:r>
        <w:t>Implementation</w:t>
      </w:r>
    </w:p>
    <w:p>
      <w:pPr>
        <w:spacing w:after="60"/>
        <w:ind w:left="360" w:hanging="259"/>
      </w:pPr>
      <w:r>
        <w:rPr>
          <w:b/>
        </w:rPr>
        <w:t xml:space="preserve">1. </w:t>
      </w:r>
      <w:r>
        <w:t>Create or select a dedicated Google Cloud project with a globally unique project ID.</w:t>
      </w:r>
    </w:p>
    <w:p>
      <w:pPr>
        <w:spacing w:after="60"/>
        <w:ind w:left="360" w:hanging="259"/>
      </w:pPr>
      <w:r>
        <w:rPr>
          <w:b/>
        </w:rPr>
        <w:t xml:space="preserve">2. </w:t>
      </w:r>
      <w:r>
        <w:t>Link the project to a billing account and record the project number and billing account boundary.</w:t>
      </w:r>
    </w:p>
    <w:p>
      <w:pPr>
        <w:spacing w:after="60"/>
        <w:ind w:left="360" w:hanging="259"/>
      </w:pPr>
      <w:r>
        <w:rPr>
          <w:b/>
        </w:rPr>
        <w:t xml:space="preserve">3. </w:t>
      </w:r>
      <w:r>
        <w:t>Open Cloud Shell and run gcloud config list.</w:t>
      </w:r>
    </w:p>
    <w:p>
      <w:pPr>
        <w:spacing w:after="60"/>
        <w:ind w:left="360" w:hanging="259"/>
      </w:pPr>
      <w:r>
        <w:rPr>
          <w:b/>
        </w:rPr>
        <w:t xml:space="preserve">4. </w:t>
      </w:r>
      <w:r>
        <w:t>Enable only the APIs needed for later labs.</w:t>
      </w:r>
    </w:p>
    <w:p>
      <w:pPr>
        <w:spacing w:after="60"/>
        <w:ind w:left="360" w:hanging="259"/>
      </w:pPr>
      <w:r>
        <w:rPr>
          <w:b/>
        </w:rPr>
        <w:t xml:space="preserve">5. </w:t>
      </w:r>
      <w:r>
        <w:t>Create a budget and at least three notification thresholds.</w:t>
      </w:r>
    </w:p>
    <w:p>
      <w:pPr>
        <w:spacing w:after="60"/>
        <w:ind w:left="360" w:hanging="259"/>
      </w:pPr>
      <w:r>
        <w:rPr>
          <w:b/>
        </w:rPr>
        <w:t xml:space="preserve">6. </w:t>
      </w:r>
      <w:r>
        <w:t>Record an owner, environment, expiry date, and cleanup plan in the project documentation.</w:t>
      </w:r>
    </w:p>
    <w:p>
      <w:pPr>
        <w:pStyle w:val="Heading3"/>
        <w:keepNext/>
      </w:pPr>
      <w:r>
        <w:t>Validation Evidence</w:t>
      </w:r>
    </w:p>
    <w:p>
      <w:pPr>
        <w:pStyle w:val="ListBullet"/>
        <w:spacing w:after="60"/>
      </w:pPr>
      <w:r>
        <w:t>The active account and project are correct.</w:t>
      </w:r>
    </w:p>
    <w:p>
      <w:pPr>
        <w:pStyle w:val="ListBullet"/>
        <w:spacing w:after="60"/>
      </w:pPr>
      <w:r>
        <w:t>A budget is visible for the learning scope.</w:t>
      </w:r>
    </w:p>
    <w:p>
      <w:pPr>
        <w:pStyle w:val="ListBullet"/>
        <w:spacing w:after="60"/>
      </w:pPr>
      <w:r>
        <w:t>No production organization or shared project is used.</w:t>
      </w:r>
    </w:p>
    <w:p>
      <w:pPr>
        <w:pStyle w:val="ListBullet"/>
        <w:spacing w:after="60"/>
      </w:pPr>
      <w:r>
        <w:t>The project has an explicit owner and expiry decision.</w:t>
      </w:r>
    </w:p>
    <w:p>
      <w:pPr>
        <w:pStyle w:val="Heading3"/>
        <w:keepNext/>
      </w:pPr>
      <w:r>
        <w:t>Cleanup</w:t>
      </w:r>
    </w:p>
    <w:p>
      <w:pPr>
        <w:pStyle w:val="ListBullet"/>
        <w:spacing w:after="60"/>
      </w:pPr>
      <w:r>
        <w:t>Disable unused APIs if required.</w:t>
      </w:r>
    </w:p>
    <w:p>
      <w:pPr>
        <w:pStyle w:val="ListBullet"/>
        <w:spacing w:after="60"/>
      </w:pPr>
      <w:r>
        <w:t>Do not delete the project yet; it is reused in later labs.</w:t>
      </w:r>
    </w:p>
    <w:p>
      <w:pPr>
        <w:pStyle w:val="Heading2"/>
        <w:keepNext/>
      </w:pPr>
      <w:r>
        <w:t>Interview Questions and Model Answers</w:t>
      </w:r>
    </w:p>
    <w:p>
      <w:pPr>
        <w:spacing w:after="40"/>
      </w:pPr>
      <w:r>
        <w:rPr>
          <w:b/>
        </w:rPr>
        <w:t>1. What is the main engineering benefit of cloud?</w:t>
      </w:r>
    </w:p>
    <w:p>
      <w:pPr>
        <w:spacing w:after="120"/>
        <w:ind w:left="216"/>
      </w:pPr>
      <w:r>
        <w:t>Programmable, on-demand access to infrastructure and managed capabilities with measurable consumption.</w:t>
      </w:r>
    </w:p>
    <w:p>
      <w:pPr>
        <w:spacing w:after="40"/>
      </w:pPr>
      <w:r>
        <w:rPr>
          <w:b/>
        </w:rPr>
        <w:t>2. Does a managed service remove customer responsibility?</w:t>
      </w:r>
    </w:p>
    <w:p>
      <w:pPr>
        <w:spacing w:after="120"/>
        <w:ind w:left="216"/>
      </w:pPr>
      <w:r>
        <w:t>No. It changes responsibility; customers still own configuration, identities, data, application behavior, and recovery objectives.</w:t>
      </w:r>
    </w:p>
    <w:p>
      <w:pPr>
        <w:spacing w:after="40"/>
      </w:pPr>
      <w:r>
        <w:rPr>
          <w:b/>
        </w:rPr>
        <w:t>3. How do you choose between Compute Engine and Cloud Run?</w:t>
      </w:r>
    </w:p>
    <w:p>
      <w:pPr>
        <w:spacing w:after="120"/>
        <w:ind w:left="216"/>
      </w:pPr>
      <w:r>
        <w:t>Compare OS/control requirements, workload shape, scaling, networking, runtime constraints, team skill, and operations cost.</w:t>
      </w:r>
    </w:p>
    <w:p>
      <w:pPr>
        <w:spacing w:after="40"/>
      </w:pPr>
      <w:r>
        <w:rPr>
          <w:b/>
        </w:rPr>
        <w:t>4. Why are projects important?</w:t>
      </w:r>
    </w:p>
    <w:p>
      <w:pPr>
        <w:spacing w:after="120"/>
        <w:ind w:left="216"/>
      </w:pPr>
      <w:r>
        <w:t>They are core boundaries for resources, APIs, IAM, quotas, billing association, and lifecycle management.</w:t>
      </w:r>
    </w:p>
    <w:p>
      <w:pPr>
        <w:pStyle w:val="Heading2"/>
        <w:keepNext/>
      </w:pPr>
      <w:r>
        <w:t>Chapter Summary</w:t>
      </w:r>
    </w:p>
    <w:p>
      <w:pPr>
        <w:pStyle w:val="ListBullet"/>
        <w:spacing w:after="60"/>
      </w:pPr>
      <w:r>
        <w:t>Cloud is an operating model based on programmable services.</w:t>
      </w:r>
    </w:p>
    <w:p>
      <w:pPr>
        <w:pStyle w:val="ListBullet"/>
        <w:spacing w:after="60"/>
      </w:pPr>
      <w:r>
        <w:t>Service selection is a control-versus-operations decision.</w:t>
      </w:r>
    </w:p>
    <w:p>
      <w:pPr>
        <w:pStyle w:val="ListBullet"/>
        <w:spacing w:after="60"/>
      </w:pPr>
      <w:r>
        <w:t>Shared responsibility remains essential.</w:t>
      </w:r>
    </w:p>
    <w:p>
      <w:pPr>
        <w:pStyle w:val="ListBullet"/>
        <w:spacing w:after="60"/>
      </w:pPr>
      <w:r>
        <w:t>Projects, identity, audit, automation, and cost controls form the foundation.</w:t>
      </w:r>
    </w:p>
    <w:p>
      <w:pPr>
        <w:pStyle w:val="Heading1"/>
        <w:keepNext/>
        <w:pageBreakBefore/>
      </w:pPr>
      <w:r>
        <w:t>Chapter 2 - Google Cloud Global Infrastructure and Reliability</w:t>
      </w:r>
    </w:p>
    <w:p>
      <w:pPr>
        <w:spacing w:after="120"/>
      </w:pPr>
      <w:r>
        <w:rPr>
          <w:i/>
          <w:color w:val="505050"/>
        </w:rPr>
        <w:t>Designing location-aware systems using regions, zones, edge infrastructure, and failure domains</w:t>
      </w:r>
    </w:p>
    <w:p>
      <w:pPr>
        <w:pStyle w:val="Heading2"/>
        <w:keepNext/>
      </w:pPr>
      <w:r>
        <w:t>Learning Objectives</w:t>
      </w:r>
    </w:p>
    <w:p>
      <w:pPr>
        <w:pStyle w:val="ListBullet"/>
        <w:spacing w:after="60"/>
      </w:pPr>
      <w:r>
        <w:t>Differentiate regions, zones, and global resources.</w:t>
      </w:r>
    </w:p>
    <w:p>
      <w:pPr>
        <w:pStyle w:val="ListBullet"/>
        <w:spacing w:after="60"/>
      </w:pPr>
      <w:r>
        <w:t>Select locations using availability, latency, compliance, and cost requirements.</w:t>
      </w:r>
    </w:p>
    <w:p>
      <w:pPr>
        <w:pStyle w:val="ListBullet"/>
        <w:spacing w:after="60"/>
      </w:pPr>
      <w:r>
        <w:t>Explain zonal, regional, and multi-region reliability patterns.</w:t>
      </w:r>
    </w:p>
    <w:p>
      <w:pPr>
        <w:pStyle w:val="ListBullet"/>
        <w:spacing w:after="60"/>
      </w:pPr>
      <w:r>
        <w:t>Identify hidden regional and global dependencies.</w:t>
      </w:r>
    </w:p>
    <w:p>
      <w:pPr>
        <w:pStyle w:val="Heading2"/>
        <w:keepNext/>
      </w:pPr>
      <w:r>
        <w:t>2.1 Regions and Zones</w:t>
      </w:r>
    </w:p>
    <w:p>
      <w:pPr>
        <w:spacing w:after="120"/>
      </w:pPr>
      <w:r>
        <w:rPr>
          <w:i w:val="0"/>
        </w:rPr>
        <w:t>A Google Cloud region is an independent geographic area that contains multiple zones. A zone is a deployment area within a region and represents a failure domain for zonal resources. Many Compute Engine resources are zonal or regional, while other resources such as VPC networks are global.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A73E8"/>
            <w:tcMar>
              <w:top w:w="80" w:type="dxa"/>
              <w:start w:w="100" w:type="dxa"/>
              <w:bottom w:w="80" w:type="dxa"/>
              <w:end w:w="100" w:type="dxa"/>
            </w:tcMar>
            <w:vAlign w:val="center"/>
          </w:tcPr>
          <w:p>
            <w:pPr>
              <w:jc w:val="center"/>
            </w:pPr>
            <w:r>
              <w:rPr>
                <w:b/>
                <w:color w:val="FFFFFF"/>
                <w:sz w:val="17"/>
              </w:rPr>
              <w:t>Scope</w:t>
            </w:r>
          </w:p>
        </w:tc>
        <w:tc>
          <w:tcPr>
            <w:tcW w:type="dxa" w:w="3744"/>
            <w:shd w:fill="1A73E8"/>
            <w:tcMar>
              <w:top w:w="80" w:type="dxa"/>
              <w:start w:w="100" w:type="dxa"/>
              <w:bottom w:w="80" w:type="dxa"/>
              <w:end w:w="100" w:type="dxa"/>
            </w:tcMar>
            <w:vAlign w:val="center"/>
          </w:tcPr>
          <w:p>
            <w:pPr>
              <w:jc w:val="center"/>
            </w:pPr>
            <w:r>
              <w:rPr>
                <w:b/>
                <w:color w:val="FFFFFF"/>
                <w:sz w:val="17"/>
              </w:rPr>
              <w:t>Examples</w:t>
            </w:r>
          </w:p>
        </w:tc>
        <w:tc>
          <w:tcPr>
            <w:tcW w:type="dxa" w:w="4320"/>
            <w:shd w:fill="1A73E8"/>
            <w:tcMar>
              <w:top w:w="80" w:type="dxa"/>
              <w:start w:w="100" w:type="dxa"/>
              <w:bottom w:w="80" w:type="dxa"/>
              <w:end w:w="100" w:type="dxa"/>
            </w:tcMar>
            <w:vAlign w:val="center"/>
          </w:tcPr>
          <w:p>
            <w:pPr>
              <w:jc w:val="center"/>
            </w:pPr>
            <w:r>
              <w:rPr>
                <w:b/>
                <w:color w:val="FFFFFF"/>
                <w:sz w:val="17"/>
              </w:rPr>
              <w:t>Design Implication</w:t>
            </w:r>
          </w:p>
        </w:tc>
      </w:tr>
      <w:tr>
        <w:trPr>
          <w:cantSplit/>
        </w:trPr>
        <w:tc>
          <w:tcPr>
            <w:tcW w:type="dxa" w:w="1872"/>
            <w:tcMar>
              <w:top w:w="80" w:type="dxa"/>
              <w:start w:w="100" w:type="dxa"/>
              <w:bottom w:w="80" w:type="dxa"/>
              <w:end w:w="100" w:type="dxa"/>
            </w:tcMar>
            <w:vAlign w:val="top"/>
          </w:tcPr>
          <w:p>
            <w:pPr>
              <w:spacing w:after="0"/>
            </w:pPr>
            <w:r>
              <w:rPr>
                <w:sz w:val="16"/>
              </w:rPr>
              <w:t>Zonal</w:t>
            </w:r>
          </w:p>
        </w:tc>
        <w:tc>
          <w:tcPr>
            <w:tcW w:type="dxa" w:w="3744"/>
            <w:tcMar>
              <w:top w:w="80" w:type="dxa"/>
              <w:start w:w="100" w:type="dxa"/>
              <w:bottom w:w="80" w:type="dxa"/>
              <w:end w:w="100" w:type="dxa"/>
            </w:tcMar>
            <w:vAlign w:val="top"/>
          </w:tcPr>
          <w:p>
            <w:pPr>
              <w:spacing w:after="0"/>
            </w:pPr>
            <w:r>
              <w:rPr>
                <w:sz w:val="16"/>
              </w:rPr>
              <w:t>VM instances, zonal managed instance groups</w:t>
            </w:r>
          </w:p>
        </w:tc>
        <w:tc>
          <w:tcPr>
            <w:tcW w:type="dxa" w:w="4320"/>
            <w:tcMar>
              <w:top w:w="80" w:type="dxa"/>
              <w:start w:w="100" w:type="dxa"/>
              <w:bottom w:w="80" w:type="dxa"/>
              <w:end w:w="100" w:type="dxa"/>
            </w:tcMar>
            <w:vAlign w:val="top"/>
          </w:tcPr>
          <w:p>
            <w:pPr>
              <w:spacing w:after="0"/>
            </w:pPr>
            <w:r>
              <w:rPr>
                <w:sz w:val="16"/>
              </w:rPr>
              <w:t>A zone failure can affect the resource; distribute replicas.</w:t>
            </w:r>
          </w:p>
        </w:tc>
      </w:tr>
      <w:tr>
        <w:trPr>
          <w:cantSplit/>
        </w:trPr>
        <w:tc>
          <w:tcPr>
            <w:tcW w:type="dxa" w:w="1872"/>
            <w:tcMar>
              <w:top w:w="80" w:type="dxa"/>
              <w:start w:w="100" w:type="dxa"/>
              <w:bottom w:w="80" w:type="dxa"/>
              <w:end w:w="100" w:type="dxa"/>
            </w:tcMar>
            <w:vAlign w:val="top"/>
          </w:tcPr>
          <w:p>
            <w:pPr>
              <w:spacing w:after="0"/>
            </w:pPr>
            <w:r>
              <w:rPr>
                <w:sz w:val="16"/>
              </w:rPr>
              <w:t>Regional</w:t>
            </w:r>
          </w:p>
        </w:tc>
        <w:tc>
          <w:tcPr>
            <w:tcW w:type="dxa" w:w="3744"/>
            <w:tcMar>
              <w:top w:w="80" w:type="dxa"/>
              <w:start w:w="100" w:type="dxa"/>
              <w:bottom w:w="80" w:type="dxa"/>
              <w:end w:w="100" w:type="dxa"/>
            </w:tcMar>
            <w:vAlign w:val="top"/>
          </w:tcPr>
          <w:p>
            <w:pPr>
              <w:spacing w:after="0"/>
            </w:pPr>
            <w:r>
              <w:rPr>
                <w:sz w:val="16"/>
              </w:rPr>
              <w:t>Subnets, regional managed instance groups, regional disks</w:t>
            </w:r>
          </w:p>
        </w:tc>
        <w:tc>
          <w:tcPr>
            <w:tcW w:type="dxa" w:w="4320"/>
            <w:tcMar>
              <w:top w:w="80" w:type="dxa"/>
              <w:start w:w="100" w:type="dxa"/>
              <w:bottom w:w="80" w:type="dxa"/>
              <w:end w:w="100" w:type="dxa"/>
            </w:tcMar>
            <w:vAlign w:val="top"/>
          </w:tcPr>
          <w:p>
            <w:pPr>
              <w:spacing w:after="0"/>
            </w:pPr>
            <w:r>
              <w:rPr>
                <w:sz w:val="16"/>
              </w:rPr>
              <w:t>Use multiple zones and understand regional failure scenarios.</w:t>
            </w:r>
          </w:p>
        </w:tc>
      </w:tr>
      <w:tr>
        <w:trPr>
          <w:cantSplit/>
        </w:trPr>
        <w:tc>
          <w:tcPr>
            <w:tcW w:type="dxa" w:w="1872"/>
            <w:tcMar>
              <w:top w:w="80" w:type="dxa"/>
              <w:start w:w="100" w:type="dxa"/>
              <w:bottom w:w="80" w:type="dxa"/>
              <w:end w:w="100" w:type="dxa"/>
            </w:tcMar>
            <w:vAlign w:val="top"/>
          </w:tcPr>
          <w:p>
            <w:pPr>
              <w:spacing w:after="0"/>
            </w:pPr>
            <w:r>
              <w:rPr>
                <w:sz w:val="16"/>
              </w:rPr>
              <w:t>Global</w:t>
            </w:r>
          </w:p>
        </w:tc>
        <w:tc>
          <w:tcPr>
            <w:tcW w:type="dxa" w:w="3744"/>
            <w:tcMar>
              <w:top w:w="80" w:type="dxa"/>
              <w:start w:w="100" w:type="dxa"/>
              <w:bottom w:w="80" w:type="dxa"/>
              <w:end w:w="100" w:type="dxa"/>
            </w:tcMar>
            <w:vAlign w:val="top"/>
          </w:tcPr>
          <w:p>
            <w:pPr>
              <w:spacing w:after="0"/>
            </w:pPr>
            <w:r>
              <w:rPr>
                <w:sz w:val="16"/>
              </w:rPr>
              <w:t>VPC networks, many firewall policies, global load-balancing resources</w:t>
            </w:r>
          </w:p>
        </w:tc>
        <w:tc>
          <w:tcPr>
            <w:tcW w:type="dxa" w:w="4320"/>
            <w:tcMar>
              <w:top w:w="80" w:type="dxa"/>
              <w:start w:w="100" w:type="dxa"/>
              <w:bottom w:w="80" w:type="dxa"/>
              <w:end w:w="100" w:type="dxa"/>
            </w:tcMar>
            <w:vAlign w:val="top"/>
          </w:tcPr>
          <w:p>
            <w:pPr>
              <w:spacing w:after="0"/>
            </w:pPr>
            <w:r>
              <w:rPr>
                <w:sz w:val="16"/>
              </w:rPr>
              <w:t>Global scope simplifies connectivity but can enlarge policy blast radius.</w:t>
            </w:r>
          </w:p>
        </w:tc>
      </w:tr>
      <w:tr>
        <w:trPr>
          <w:cantSplit/>
        </w:trPr>
        <w:tc>
          <w:tcPr>
            <w:tcW w:type="dxa" w:w="1872"/>
            <w:tcMar>
              <w:top w:w="80" w:type="dxa"/>
              <w:start w:w="100" w:type="dxa"/>
              <w:bottom w:w="80" w:type="dxa"/>
              <w:end w:w="100" w:type="dxa"/>
            </w:tcMar>
            <w:vAlign w:val="top"/>
          </w:tcPr>
          <w:p>
            <w:pPr>
              <w:spacing w:after="0"/>
            </w:pPr>
            <w:r>
              <w:rPr>
                <w:sz w:val="16"/>
              </w:rPr>
              <w:t>Multi-region/service-defined</w:t>
            </w:r>
          </w:p>
        </w:tc>
        <w:tc>
          <w:tcPr>
            <w:tcW w:type="dxa" w:w="3744"/>
            <w:tcMar>
              <w:top w:w="80" w:type="dxa"/>
              <w:start w:w="100" w:type="dxa"/>
              <w:bottom w:w="80" w:type="dxa"/>
              <w:end w:w="100" w:type="dxa"/>
            </w:tcMar>
            <w:vAlign w:val="top"/>
          </w:tcPr>
          <w:p>
            <w:pPr>
              <w:spacing w:after="0"/>
            </w:pPr>
            <w:r>
              <w:rPr>
                <w:sz w:val="16"/>
              </w:rPr>
              <w:t>Some storage and data services</w:t>
            </w:r>
          </w:p>
        </w:tc>
        <w:tc>
          <w:tcPr>
            <w:tcW w:type="dxa" w:w="4320"/>
            <w:tcMar>
              <w:top w:w="80" w:type="dxa"/>
              <w:start w:w="100" w:type="dxa"/>
              <w:bottom w:w="80" w:type="dxa"/>
              <w:end w:w="100" w:type="dxa"/>
            </w:tcMar>
            <w:vAlign w:val="top"/>
          </w:tcPr>
          <w:p>
            <w:pPr>
              <w:spacing w:after="0"/>
            </w:pPr>
            <w:r>
              <w:rPr>
                <w:sz w:val="16"/>
              </w:rPr>
              <w:t>Behavior depends on the product replication and consistency model.</w:t>
            </w:r>
          </w:p>
        </w:tc>
      </w:tr>
    </w:tbl>
    <w:p>
      <w:pPr>
        <w:spacing w:after="20"/>
      </w:pPr>
    </w:p>
    <w:p>
      <w:pPr>
        <w:pStyle w:val="Heading2"/>
        <w:keepNext/>
      </w:pPr>
      <w:r>
        <w:t>2.2 Location Selection</w:t>
      </w:r>
    </w:p>
    <w:p>
      <w:pPr>
        <w:spacing w:after="120"/>
      </w:pPr>
      <w:r>
        <w:rPr>
          <w:i w:val="0"/>
        </w:rPr>
        <w:t>A location decision must be explicit. Evaluate user latency, data residency, service and machine-type availability, quotas, carbon and sustainability requirements, inter-region data transfer, disaster-recovery strategy, and operational support. The nearest region is not always the correct region if a required service, compliance control, or recovery pairing is unavailable.</w:t>
      </w:r>
    </w:p>
    <w:p>
      <w:pPr>
        <w:pStyle w:val="Heading2"/>
        <w:keepNext/>
      </w:pPr>
      <w:r>
        <w:t>2.3 Reliability Patterns</w:t>
      </w:r>
    </w:p>
    <w:p>
      <w:pPr>
        <w:spacing w:after="120"/>
      </w:pPr>
      <w:r>
        <w:rPr>
          <w:i w:val="0"/>
        </w:rPr>
        <w:t>A single VM in one zone is a single failure domain. Zonal resilience uses multiple instances in one zone but does not protect against zone loss. Regional patterns distribute replicas across zones, commonly through regional managed instance groups and regional services. Multi-region patterns add geographic resilience but require stronger data, routing, deployment, and operations design.</w:t>
      </w:r>
    </w:p>
    <w:p>
      <w:pPr>
        <w:pStyle w:val="ListBullet"/>
        <w:spacing w:after="60"/>
      </w:pPr>
      <w:r>
        <w:t>Define service-level objectives and business impact before selecting redundancy.</w:t>
      </w:r>
    </w:p>
    <w:p>
      <w:pPr>
        <w:pStyle w:val="ListBullet"/>
        <w:spacing w:after="60"/>
      </w:pPr>
      <w:r>
        <w:t>Treat capacity, quota, identity, DNS, secrets, observability, and dependencies as part of failover.</w:t>
      </w:r>
    </w:p>
    <w:p>
      <w:pPr>
        <w:pStyle w:val="ListBullet"/>
        <w:spacing w:after="60"/>
      </w:pPr>
      <w:r>
        <w:t>Test restoration and failover; configuration alone is not evidence.</w:t>
      </w:r>
    </w:p>
    <w:p>
      <w:pPr>
        <w:pStyle w:val="ListBullet"/>
        <w:spacing w:after="60"/>
      </w:pPr>
      <w:r>
        <w:t>Document failback and reconciliation, not only failover.</w:t>
      </w:r>
    </w:p>
    <w:p>
      <w:pPr>
        <w:pStyle w:val="Heading2"/>
        <w:keepNext/>
      </w:pPr>
      <w:r>
        <w:t>2.4 Failure Domains and Blast Radius</w:t>
      </w:r>
    </w:p>
    <w:p>
      <w:pPr>
        <w:spacing w:after="120"/>
      </w:pPr>
      <w:r>
        <w:rPr>
          <w:i w:val="0"/>
        </w:rPr>
        <w:t>A resource can be regional while still depending on a global control plane or a third-party service. A globally scoped VPC or IAM policy can affect workloads in many regions. Use projects, folders, service perimeters, regional cells, and staged rollout to bound failures. Reliability is the ability to continue correct service, not merely keep processes running.</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VM unavailable after zone event</w:t>
            </w:r>
          </w:p>
        </w:tc>
        <w:tc>
          <w:tcPr>
            <w:tcW w:type="dxa" w:w="2592"/>
            <w:tcMar>
              <w:top w:w="80" w:type="dxa"/>
              <w:start w:w="100" w:type="dxa"/>
              <w:bottom w:w="80" w:type="dxa"/>
              <w:end w:w="100" w:type="dxa"/>
            </w:tcMar>
            <w:vAlign w:val="top"/>
          </w:tcPr>
          <w:p>
            <w:pPr>
              <w:spacing w:after="0"/>
            </w:pPr>
            <w:r>
              <w:rPr>
                <w:sz w:val="16"/>
              </w:rPr>
              <w:t>Single-zonal deployment</w:t>
            </w:r>
          </w:p>
        </w:tc>
        <w:tc>
          <w:tcPr>
            <w:tcW w:type="dxa" w:w="5328"/>
            <w:tcMar>
              <w:top w:w="80" w:type="dxa"/>
              <w:start w:w="100" w:type="dxa"/>
              <w:bottom w:w="80" w:type="dxa"/>
              <w:end w:w="100" w:type="dxa"/>
            </w:tcMar>
            <w:vAlign w:val="top"/>
          </w:tcPr>
          <w:p>
            <w:pPr>
              <w:spacing w:after="0"/>
            </w:pPr>
            <w:r>
              <w:rPr>
                <w:sz w:val="16"/>
              </w:rPr>
              <w:t>Use replicas across zones, a regional managed instance group, health checks, and load balancing.</w:t>
            </w:r>
          </w:p>
        </w:tc>
      </w:tr>
      <w:tr>
        <w:trPr>
          <w:cantSplit/>
        </w:trPr>
        <w:tc>
          <w:tcPr>
            <w:tcW w:type="dxa" w:w="2160"/>
            <w:tcMar>
              <w:top w:w="80" w:type="dxa"/>
              <w:start w:w="100" w:type="dxa"/>
              <w:bottom w:w="80" w:type="dxa"/>
              <w:end w:w="100" w:type="dxa"/>
            </w:tcMar>
            <w:vAlign w:val="top"/>
          </w:tcPr>
          <w:p>
            <w:pPr>
              <w:spacing w:after="0"/>
            </w:pPr>
            <w:r>
              <w:rPr>
                <w:sz w:val="16"/>
              </w:rPr>
              <w:t>Service cannot deploy in selected region</w:t>
            </w:r>
          </w:p>
        </w:tc>
        <w:tc>
          <w:tcPr>
            <w:tcW w:type="dxa" w:w="2592"/>
            <w:tcMar>
              <w:top w:w="80" w:type="dxa"/>
              <w:start w:w="100" w:type="dxa"/>
              <w:bottom w:w="80" w:type="dxa"/>
              <w:end w:w="100" w:type="dxa"/>
            </w:tcMar>
            <w:vAlign w:val="top"/>
          </w:tcPr>
          <w:p>
            <w:pPr>
              <w:spacing w:after="0"/>
            </w:pPr>
            <w:r>
              <w:rPr>
                <w:sz w:val="16"/>
              </w:rPr>
              <w:t>Product, machine type, or quota unavailable</w:t>
            </w:r>
          </w:p>
        </w:tc>
        <w:tc>
          <w:tcPr>
            <w:tcW w:type="dxa" w:w="5328"/>
            <w:tcMar>
              <w:top w:w="80" w:type="dxa"/>
              <w:start w:w="100" w:type="dxa"/>
              <w:bottom w:w="80" w:type="dxa"/>
              <w:end w:w="100" w:type="dxa"/>
            </w:tcMar>
            <w:vAlign w:val="top"/>
          </w:tcPr>
          <w:p>
            <w:pPr>
              <w:spacing w:after="0"/>
            </w:pPr>
            <w:r>
              <w:rPr>
                <w:sz w:val="16"/>
              </w:rPr>
              <w:t>Check location documentation and quotas before architecture approval.</w:t>
            </w:r>
          </w:p>
        </w:tc>
      </w:tr>
      <w:tr>
        <w:trPr>
          <w:cantSplit/>
        </w:trPr>
        <w:tc>
          <w:tcPr>
            <w:tcW w:type="dxa" w:w="2160"/>
            <w:tcMar>
              <w:top w:w="80" w:type="dxa"/>
              <w:start w:w="100" w:type="dxa"/>
              <w:bottom w:w="80" w:type="dxa"/>
              <w:end w:w="100" w:type="dxa"/>
            </w:tcMar>
            <w:vAlign w:val="top"/>
          </w:tcPr>
          <w:p>
            <w:pPr>
              <w:spacing w:after="0"/>
            </w:pPr>
            <w:r>
              <w:rPr>
                <w:sz w:val="16"/>
              </w:rPr>
              <w:t>Failover region cannot handle traffic</w:t>
            </w:r>
          </w:p>
        </w:tc>
        <w:tc>
          <w:tcPr>
            <w:tcW w:type="dxa" w:w="2592"/>
            <w:tcMar>
              <w:top w:w="80" w:type="dxa"/>
              <w:start w:w="100" w:type="dxa"/>
              <w:bottom w:w="80" w:type="dxa"/>
              <w:end w:w="100" w:type="dxa"/>
            </w:tcMar>
            <w:vAlign w:val="top"/>
          </w:tcPr>
          <w:p>
            <w:pPr>
              <w:spacing w:after="0"/>
            </w:pPr>
            <w:r>
              <w:rPr>
                <w:sz w:val="16"/>
              </w:rPr>
              <w:t>Insufficient quota or warm capacity</w:t>
            </w:r>
          </w:p>
        </w:tc>
        <w:tc>
          <w:tcPr>
            <w:tcW w:type="dxa" w:w="5328"/>
            <w:tcMar>
              <w:top w:w="80" w:type="dxa"/>
              <w:start w:w="100" w:type="dxa"/>
              <w:bottom w:w="80" w:type="dxa"/>
              <w:end w:w="100" w:type="dxa"/>
            </w:tcMar>
            <w:vAlign w:val="top"/>
          </w:tcPr>
          <w:p>
            <w:pPr>
              <w:spacing w:after="0"/>
            </w:pPr>
            <w:r>
              <w:rPr>
                <w:sz w:val="16"/>
              </w:rPr>
              <w:t>Reserve/test capacity, define load shedding, and include quota in game days.</w:t>
            </w:r>
          </w:p>
        </w:tc>
      </w:tr>
    </w:tbl>
    <w:p>
      <w:pPr>
        <w:spacing w:after="20"/>
      </w:pPr>
    </w:p>
    <w:p>
      <w:pPr>
        <w:pStyle w:val="Heading2"/>
        <w:keepNext/>
      </w:pPr>
      <w:r>
        <w:t>Hands-on Lab 2: Build a Location Decision Record</w:t>
      </w:r>
    </w:p>
    <w:p>
      <w:pPr>
        <w:pStyle w:val="Heading3"/>
        <w:keepNext/>
      </w:pPr>
      <w:r>
        <w:t>Prerequisites</w:t>
      </w:r>
    </w:p>
    <w:p>
      <w:pPr>
        <w:pStyle w:val="ListBullet"/>
        <w:spacing w:after="60"/>
      </w:pPr>
      <w:r>
        <w:t>The learning project and access to Google Cloud location documentation.</w:t>
      </w:r>
    </w:p>
    <w:p>
      <w:pPr>
        <w:pStyle w:val="Heading3"/>
        <w:keepNext/>
      </w:pPr>
      <w:r>
        <w:t>Implementation</w:t>
      </w:r>
    </w:p>
    <w:p>
      <w:pPr>
        <w:spacing w:after="60"/>
        <w:ind w:left="360" w:hanging="259"/>
      </w:pPr>
      <w:r>
        <w:rPr>
          <w:b/>
        </w:rPr>
        <w:t xml:space="preserve">1. </w:t>
      </w:r>
      <w:r>
        <w:t>Choose a sample customer-facing application and identify its users and data classes.</w:t>
      </w:r>
    </w:p>
    <w:p>
      <w:pPr>
        <w:spacing w:after="60"/>
        <w:ind w:left="360" w:hanging="259"/>
      </w:pPr>
      <w:r>
        <w:rPr>
          <w:b/>
        </w:rPr>
        <w:t xml:space="preserve">2. </w:t>
      </w:r>
      <w:r>
        <w:t>Shortlist two candidate regions and compare latency, service availability, quotas, compliance, and cost.</w:t>
      </w:r>
    </w:p>
    <w:p>
      <w:pPr>
        <w:spacing w:after="60"/>
        <w:ind w:left="360" w:hanging="259"/>
      </w:pPr>
      <w:r>
        <w:rPr>
          <w:b/>
        </w:rPr>
        <w:t xml:space="preserve">3. </w:t>
      </w:r>
      <w:r>
        <w:t>Classify each proposed resource as zonal, regional, global, or service-defined.</w:t>
      </w:r>
    </w:p>
    <w:p>
      <w:pPr>
        <w:spacing w:after="60"/>
        <w:ind w:left="360" w:hanging="259"/>
      </w:pPr>
      <w:r>
        <w:rPr>
          <w:b/>
        </w:rPr>
        <w:t xml:space="preserve">4. </w:t>
      </w:r>
      <w:r>
        <w:t>Define the primary failure domains and recovery objectives.</w:t>
      </w:r>
    </w:p>
    <w:p>
      <w:pPr>
        <w:spacing w:after="60"/>
        <w:ind w:left="360" w:hanging="259"/>
      </w:pPr>
      <w:r>
        <w:rPr>
          <w:b/>
        </w:rPr>
        <w:t xml:space="preserve">5. </w:t>
      </w:r>
      <w:r>
        <w:t>Create an architecture decision record with rejected alternatives.</w:t>
      </w:r>
    </w:p>
    <w:p>
      <w:pPr>
        <w:spacing w:after="60"/>
        <w:ind w:left="360" w:hanging="259"/>
      </w:pPr>
      <w:r>
        <w:rPr>
          <w:b/>
        </w:rPr>
        <w:t xml:space="preserve">6. </w:t>
      </w:r>
      <w:r>
        <w:t>Write a test plan for zone failure and regional recovery.</w:t>
      </w:r>
    </w:p>
    <w:p>
      <w:pPr>
        <w:pStyle w:val="Heading3"/>
        <w:keepNext/>
      </w:pPr>
      <w:r>
        <w:t>Validation Evidence</w:t>
      </w:r>
    </w:p>
    <w:p>
      <w:pPr>
        <w:pStyle w:val="ListBullet"/>
        <w:spacing w:after="60"/>
      </w:pPr>
      <w:r>
        <w:t>The selected region supports required services.</w:t>
      </w:r>
    </w:p>
    <w:p>
      <w:pPr>
        <w:pStyle w:val="ListBullet"/>
        <w:spacing w:after="60"/>
      </w:pPr>
      <w:r>
        <w:t>The design contains no accidental single-zone critical dependency.</w:t>
      </w:r>
    </w:p>
    <w:p>
      <w:pPr>
        <w:pStyle w:val="ListBullet"/>
        <w:spacing w:after="60"/>
      </w:pPr>
      <w:r>
        <w:t>RTO and RPO are measurable.</w:t>
      </w:r>
    </w:p>
    <w:p>
      <w:pPr>
        <w:pStyle w:val="ListBullet"/>
        <w:spacing w:after="60"/>
      </w:pPr>
      <w:r>
        <w:t>Rejected options and assumptions are documented.</w:t>
      </w:r>
    </w:p>
    <w:p>
      <w:pPr>
        <w:pStyle w:val="Heading3"/>
        <w:keepNext/>
      </w:pPr>
      <w:r>
        <w:t>Cleanup</w:t>
      </w:r>
    </w:p>
    <w:p>
      <w:pPr>
        <w:pStyle w:val="ListBullet"/>
        <w:spacing w:after="60"/>
      </w:pPr>
      <w:r>
        <w:t>No cloud resources are required; retain the decision record as portfolio evidence.</w:t>
      </w:r>
    </w:p>
    <w:p>
      <w:pPr>
        <w:pStyle w:val="Heading2"/>
        <w:keepNext/>
      </w:pPr>
      <w:r>
        <w:t>Interview Questions and Model Answers</w:t>
      </w:r>
    </w:p>
    <w:p>
      <w:pPr>
        <w:spacing w:after="40"/>
      </w:pPr>
      <w:r>
        <w:rPr>
          <w:b/>
        </w:rPr>
        <w:t>1. What is a zone?</w:t>
      </w:r>
    </w:p>
    <w:p>
      <w:pPr>
        <w:spacing w:after="120"/>
        <w:ind w:left="216"/>
      </w:pPr>
      <w:r>
        <w:t>A deployment area within a region that functions as a failure domain for zonal resources.</w:t>
      </w:r>
    </w:p>
    <w:p>
      <w:pPr>
        <w:spacing w:after="40"/>
      </w:pPr>
      <w:r>
        <w:rPr>
          <w:b/>
        </w:rPr>
        <w:t>2. Is a VPC network regional?</w:t>
      </w:r>
    </w:p>
    <w:p>
      <w:pPr>
        <w:spacing w:after="120"/>
        <w:ind w:left="216"/>
      </w:pPr>
      <w:r>
        <w:t>No. A Google Cloud VPC network is global, while its subnets are regional.</w:t>
      </w:r>
    </w:p>
    <w:p>
      <w:pPr>
        <w:spacing w:after="40"/>
      </w:pPr>
      <w:r>
        <w:rPr>
          <w:b/>
        </w:rPr>
        <w:t>3. When is multi-region justified?</w:t>
      </w:r>
    </w:p>
    <w:p>
      <w:pPr>
        <w:spacing w:after="120"/>
        <w:ind w:left="216"/>
      </w:pPr>
      <w:r>
        <w:t>When business continuity, latency, regulatory, or scale requirements justify the added data and operational complexity.</w:t>
      </w:r>
    </w:p>
    <w:p>
      <w:pPr>
        <w:spacing w:after="40"/>
      </w:pPr>
      <w:r>
        <w:rPr>
          <w:b/>
        </w:rPr>
        <w:t>4. Why must quotas be included in disaster recovery?</w:t>
      </w:r>
    </w:p>
    <w:p>
      <w:pPr>
        <w:spacing w:after="120"/>
        <w:ind w:left="216"/>
      </w:pPr>
      <w:r>
        <w:t>A recovery plan can fail if the target location cannot allocate the required capacity.</w:t>
      </w:r>
    </w:p>
    <w:p>
      <w:pPr>
        <w:pStyle w:val="Heading2"/>
        <w:keepNext/>
      </w:pPr>
      <w:r>
        <w:t>Chapter Summary</w:t>
      </w:r>
    </w:p>
    <w:p>
      <w:pPr>
        <w:pStyle w:val="ListBullet"/>
        <w:spacing w:after="60"/>
      </w:pPr>
      <w:r>
        <w:t>Regions contain zones and define geographic placement.</w:t>
      </w:r>
    </w:p>
    <w:p>
      <w:pPr>
        <w:pStyle w:val="ListBullet"/>
        <w:spacing w:after="60"/>
      </w:pPr>
      <w:r>
        <w:t>Resource scope changes failure behavior.</w:t>
      </w:r>
    </w:p>
    <w:p>
      <w:pPr>
        <w:pStyle w:val="ListBullet"/>
        <w:spacing w:after="60"/>
      </w:pPr>
      <w:r>
        <w:t>Reliability must include dependencies, quota, data, and operations.</w:t>
      </w:r>
    </w:p>
    <w:p>
      <w:pPr>
        <w:pStyle w:val="ListBullet"/>
        <w:spacing w:after="60"/>
      </w:pPr>
      <w:r>
        <w:t>Location and recovery decisions require documented evidence.</w:t>
      </w:r>
    </w:p>
    <w:p>
      <w:pPr>
        <w:pStyle w:val="Heading1"/>
        <w:keepNext/>
        <w:pageBreakBefore/>
      </w:pPr>
      <w:r>
        <w:t>Chapter 3 - Organizations, Folders, Projects, and Billing Accounts</w:t>
      </w:r>
    </w:p>
    <w:p>
      <w:pPr>
        <w:spacing w:after="120"/>
      </w:pPr>
      <w:r>
        <w:rPr>
          <w:i/>
          <w:color w:val="505050"/>
        </w:rPr>
        <w:t>Building a scalable Google Cloud resource hierarchy with explicit ownership and lifecycle boundaries</w:t>
      </w:r>
    </w:p>
    <w:p>
      <w:pPr>
        <w:pStyle w:val="Heading2"/>
        <w:keepNext/>
      </w:pPr>
      <w:r>
        <w:t>Learning Objectives</w:t>
      </w:r>
    </w:p>
    <w:p>
      <w:pPr>
        <w:pStyle w:val="ListBullet"/>
        <w:spacing w:after="60"/>
      </w:pPr>
      <w:r>
        <w:t>Explain the Google Cloud resource hierarchy.</w:t>
      </w:r>
    </w:p>
    <w:p>
      <w:pPr>
        <w:pStyle w:val="ListBullet"/>
        <w:spacing w:after="60"/>
      </w:pPr>
      <w:r>
        <w:t>Differentiate organization, folder, project, resource, and billing boundaries.</w:t>
      </w:r>
    </w:p>
    <w:p>
      <w:pPr>
        <w:pStyle w:val="ListBullet"/>
        <w:spacing w:after="60"/>
      </w:pPr>
      <w:r>
        <w:t>Design project and folder structures for teams and environments.</w:t>
      </w:r>
    </w:p>
    <w:p>
      <w:pPr>
        <w:pStyle w:val="ListBullet"/>
        <w:spacing w:after="60"/>
      </w:pPr>
      <w:r>
        <w:t>Apply inherited policy and lifecycle governance safely.</w:t>
      </w:r>
    </w:p>
    <w:p>
      <w:pPr>
        <w:pStyle w:val="Heading2"/>
        <w:keepNext/>
      </w:pPr>
      <w:r>
        <w:t>3.1 Resource Hierarchy</w:t>
      </w:r>
    </w:p>
    <w:p>
      <w:pPr>
        <w:spacing w:after="120"/>
      </w:pPr>
      <w:r>
        <w:rPr>
          <w:i w:val="0"/>
        </w:rPr>
        <w:t>The Google Cloud hierarchy normally begins with an organization resource, followed by optional folders, projects, and service-specific resources. Every resource below the root has one parent. IAM allow policies and organization policies can be inherited down the hierarchy, which makes hierarchy design a security and governance decision rather than a cosmetic folder exercise.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A73E8"/>
            <w:tcMar>
              <w:top w:w="80" w:type="dxa"/>
              <w:start w:w="100" w:type="dxa"/>
              <w:bottom w:w="80" w:type="dxa"/>
              <w:end w:w="100" w:type="dxa"/>
            </w:tcMar>
            <w:vAlign w:val="center"/>
          </w:tcPr>
          <w:p>
            <w:pPr>
              <w:jc w:val="center"/>
            </w:pPr>
            <w:r>
              <w:rPr>
                <w:b/>
                <w:color w:val="FFFFFF"/>
                <w:sz w:val="17"/>
              </w:rPr>
              <w:t>Node</w:t>
            </w:r>
          </w:p>
        </w:tc>
        <w:tc>
          <w:tcPr>
            <w:tcW w:type="dxa" w:w="3600"/>
            <w:shd w:fill="1A73E8"/>
            <w:tcMar>
              <w:top w:w="80" w:type="dxa"/>
              <w:start w:w="100" w:type="dxa"/>
              <w:bottom w:w="80" w:type="dxa"/>
              <w:end w:w="100" w:type="dxa"/>
            </w:tcMar>
            <w:vAlign w:val="center"/>
          </w:tcPr>
          <w:p>
            <w:pPr>
              <w:jc w:val="center"/>
            </w:pPr>
            <w:r>
              <w:rPr>
                <w:b/>
                <w:color w:val="FFFFFF"/>
                <w:sz w:val="17"/>
              </w:rPr>
              <w:t>Purpose</w:t>
            </w:r>
          </w:p>
        </w:tc>
        <w:tc>
          <w:tcPr>
            <w:tcW w:type="dxa" w:w="4608"/>
            <w:shd w:fill="1A73E8"/>
            <w:tcMar>
              <w:top w:w="80" w:type="dxa"/>
              <w:start w:w="100" w:type="dxa"/>
              <w:bottom w:w="80" w:type="dxa"/>
              <w:end w:w="100" w:type="dxa"/>
            </w:tcMar>
            <w:vAlign w:val="center"/>
          </w:tcPr>
          <w:p>
            <w:pPr>
              <w:jc w:val="center"/>
            </w:pPr>
            <w:r>
              <w:rPr>
                <w:b/>
                <w:color w:val="FFFFFF"/>
                <w:sz w:val="17"/>
              </w:rPr>
              <w:t>Typical Controls</w:t>
            </w:r>
          </w:p>
        </w:tc>
      </w:tr>
      <w:tr>
        <w:trPr>
          <w:cantSplit/>
        </w:trPr>
        <w:tc>
          <w:tcPr>
            <w:tcW w:type="dxa" w:w="1728"/>
            <w:tcMar>
              <w:top w:w="80" w:type="dxa"/>
              <w:start w:w="100" w:type="dxa"/>
              <w:bottom w:w="80" w:type="dxa"/>
              <w:end w:w="100" w:type="dxa"/>
            </w:tcMar>
            <w:vAlign w:val="top"/>
          </w:tcPr>
          <w:p>
            <w:pPr>
              <w:spacing w:after="0"/>
            </w:pPr>
            <w:r>
              <w:rPr>
                <w:sz w:val="16"/>
              </w:rPr>
              <w:t>Organization</w:t>
            </w:r>
          </w:p>
        </w:tc>
        <w:tc>
          <w:tcPr>
            <w:tcW w:type="dxa" w:w="3600"/>
            <w:tcMar>
              <w:top w:w="80" w:type="dxa"/>
              <w:start w:w="100" w:type="dxa"/>
              <w:bottom w:w="80" w:type="dxa"/>
              <w:end w:w="100" w:type="dxa"/>
            </w:tcMar>
            <w:vAlign w:val="top"/>
          </w:tcPr>
          <w:p>
            <w:pPr>
              <w:spacing w:after="0"/>
            </w:pPr>
            <w:r>
              <w:rPr>
                <w:sz w:val="16"/>
              </w:rPr>
              <w:t>Enterprise root and central governance</w:t>
            </w:r>
          </w:p>
        </w:tc>
        <w:tc>
          <w:tcPr>
            <w:tcW w:type="dxa" w:w="4608"/>
            <w:tcMar>
              <w:top w:w="80" w:type="dxa"/>
              <w:start w:w="100" w:type="dxa"/>
              <w:bottom w:w="80" w:type="dxa"/>
              <w:end w:w="100" w:type="dxa"/>
            </w:tcMar>
            <w:vAlign w:val="top"/>
          </w:tcPr>
          <w:p>
            <w:pPr>
              <w:spacing w:after="0"/>
            </w:pPr>
            <w:r>
              <w:rPr>
                <w:sz w:val="16"/>
              </w:rPr>
              <w:t>Organization policies, domain restrictions, audit and security administration.</w:t>
            </w:r>
          </w:p>
        </w:tc>
      </w:tr>
      <w:tr>
        <w:trPr>
          <w:cantSplit/>
        </w:trPr>
        <w:tc>
          <w:tcPr>
            <w:tcW w:type="dxa" w:w="1728"/>
            <w:tcMar>
              <w:top w:w="80" w:type="dxa"/>
              <w:start w:w="100" w:type="dxa"/>
              <w:bottom w:w="80" w:type="dxa"/>
              <w:end w:w="100" w:type="dxa"/>
            </w:tcMar>
            <w:vAlign w:val="top"/>
          </w:tcPr>
          <w:p>
            <w:pPr>
              <w:spacing w:after="0"/>
            </w:pPr>
            <w:r>
              <w:rPr>
                <w:sz w:val="16"/>
              </w:rPr>
              <w:t>Folder</w:t>
            </w:r>
          </w:p>
        </w:tc>
        <w:tc>
          <w:tcPr>
            <w:tcW w:type="dxa" w:w="3600"/>
            <w:tcMar>
              <w:top w:w="80" w:type="dxa"/>
              <w:start w:w="100" w:type="dxa"/>
              <w:bottom w:w="80" w:type="dxa"/>
              <w:end w:w="100" w:type="dxa"/>
            </w:tcMar>
            <w:vAlign w:val="top"/>
          </w:tcPr>
          <w:p>
            <w:pPr>
              <w:spacing w:after="0"/>
            </w:pPr>
            <w:r>
              <w:rPr>
                <w:sz w:val="16"/>
              </w:rPr>
              <w:t>Group projects by business unit, environment, platform, or control boundary</w:t>
            </w:r>
          </w:p>
        </w:tc>
        <w:tc>
          <w:tcPr>
            <w:tcW w:type="dxa" w:w="4608"/>
            <w:tcMar>
              <w:top w:w="80" w:type="dxa"/>
              <w:start w:w="100" w:type="dxa"/>
              <w:bottom w:w="80" w:type="dxa"/>
              <w:end w:w="100" w:type="dxa"/>
            </w:tcMar>
            <w:vAlign w:val="top"/>
          </w:tcPr>
          <w:p>
            <w:pPr>
              <w:spacing w:after="0"/>
            </w:pPr>
            <w:r>
              <w:rPr>
                <w:sz w:val="16"/>
              </w:rPr>
              <w:t>Inherited IAM, policies, tags, visibility, delegated administration.</w:t>
            </w:r>
          </w:p>
        </w:tc>
      </w:tr>
      <w:tr>
        <w:trPr>
          <w:cantSplit/>
        </w:trPr>
        <w:tc>
          <w:tcPr>
            <w:tcW w:type="dxa" w:w="1728"/>
            <w:tcMar>
              <w:top w:w="80" w:type="dxa"/>
              <w:start w:w="100" w:type="dxa"/>
              <w:bottom w:w="80" w:type="dxa"/>
              <w:end w:w="100" w:type="dxa"/>
            </w:tcMar>
            <w:vAlign w:val="top"/>
          </w:tcPr>
          <w:p>
            <w:pPr>
              <w:spacing w:after="0"/>
            </w:pPr>
            <w:r>
              <w:rPr>
                <w:sz w:val="16"/>
              </w:rPr>
              <w:t>Project</w:t>
            </w:r>
          </w:p>
        </w:tc>
        <w:tc>
          <w:tcPr>
            <w:tcW w:type="dxa" w:w="3600"/>
            <w:tcMar>
              <w:top w:w="80" w:type="dxa"/>
              <w:start w:w="100" w:type="dxa"/>
              <w:bottom w:w="80" w:type="dxa"/>
              <w:end w:w="100" w:type="dxa"/>
            </w:tcMar>
            <w:vAlign w:val="top"/>
          </w:tcPr>
          <w:p>
            <w:pPr>
              <w:spacing w:after="0"/>
            </w:pPr>
            <w:r>
              <w:rPr>
                <w:sz w:val="16"/>
              </w:rPr>
              <w:t>Core resource, API, quota, lifecycle, and billing-association boundary</w:t>
            </w:r>
          </w:p>
        </w:tc>
        <w:tc>
          <w:tcPr>
            <w:tcW w:type="dxa" w:w="4608"/>
            <w:tcMar>
              <w:top w:w="80" w:type="dxa"/>
              <w:start w:w="100" w:type="dxa"/>
              <w:bottom w:w="80" w:type="dxa"/>
              <w:end w:w="100" w:type="dxa"/>
            </w:tcMar>
            <w:vAlign w:val="top"/>
          </w:tcPr>
          <w:p>
            <w:pPr>
              <w:spacing w:after="0"/>
            </w:pPr>
            <w:r>
              <w:rPr>
                <w:sz w:val="16"/>
              </w:rPr>
              <w:t>Project IAM, enabled APIs, labels, budgets, service resources.</w:t>
            </w:r>
          </w:p>
        </w:tc>
      </w:tr>
      <w:tr>
        <w:trPr>
          <w:cantSplit/>
        </w:trPr>
        <w:tc>
          <w:tcPr>
            <w:tcW w:type="dxa" w:w="1728"/>
            <w:tcMar>
              <w:top w:w="80" w:type="dxa"/>
              <w:start w:w="100" w:type="dxa"/>
              <w:bottom w:w="80" w:type="dxa"/>
              <w:end w:w="100" w:type="dxa"/>
            </w:tcMar>
            <w:vAlign w:val="top"/>
          </w:tcPr>
          <w:p>
            <w:pPr>
              <w:spacing w:after="0"/>
            </w:pPr>
            <w:r>
              <w:rPr>
                <w:sz w:val="16"/>
              </w:rPr>
              <w:t>Resource</w:t>
            </w:r>
          </w:p>
        </w:tc>
        <w:tc>
          <w:tcPr>
            <w:tcW w:type="dxa" w:w="3600"/>
            <w:tcMar>
              <w:top w:w="80" w:type="dxa"/>
              <w:start w:w="100" w:type="dxa"/>
              <w:bottom w:w="80" w:type="dxa"/>
              <w:end w:w="100" w:type="dxa"/>
            </w:tcMar>
            <w:vAlign w:val="top"/>
          </w:tcPr>
          <w:p>
            <w:pPr>
              <w:spacing w:after="0"/>
            </w:pPr>
            <w:r>
              <w:rPr>
                <w:sz w:val="16"/>
              </w:rPr>
              <w:t>VM, bucket, database, network component, and other service object</w:t>
            </w:r>
          </w:p>
        </w:tc>
        <w:tc>
          <w:tcPr>
            <w:tcW w:type="dxa" w:w="4608"/>
            <w:tcMar>
              <w:top w:w="80" w:type="dxa"/>
              <w:start w:w="100" w:type="dxa"/>
              <w:bottom w:w="80" w:type="dxa"/>
              <w:end w:w="100" w:type="dxa"/>
            </w:tcMar>
            <w:vAlign w:val="top"/>
          </w:tcPr>
          <w:p>
            <w:pPr>
              <w:spacing w:after="0"/>
            </w:pPr>
            <w:r>
              <w:rPr>
                <w:sz w:val="16"/>
              </w:rPr>
              <w:t>Service-specific IAM, configuration, encryption, logging.</w:t>
            </w:r>
          </w:p>
        </w:tc>
      </w:tr>
    </w:tbl>
    <w:p>
      <w:pPr>
        <w:spacing w:after="20"/>
      </w:pPr>
    </w:p>
    <w:p>
      <w:pPr>
        <w:pStyle w:val="Heading2"/>
        <w:keepNext/>
      </w:pPr>
      <w:r>
        <w:t>3.2 Projects as Operating Units</w:t>
      </w:r>
    </w:p>
    <w:p>
      <w:pPr>
        <w:spacing w:after="120"/>
      </w:pPr>
      <w:r>
        <w:rPr>
          <w:i w:val="0"/>
        </w:rPr>
        <w:t>Projects have a human-readable name, a globally unique project ID, and an immutable project number. The project ID is often used in commands and endpoints; the project number is used by service agents and some identity relationships. Project deletion has broad impact and must be protected by process, permissions, and retention planning.</w:t>
      </w:r>
    </w:p>
    <w:p>
      <w:pPr>
        <w:pStyle w:val="ListBullet"/>
        <w:spacing w:after="60"/>
      </w:pPr>
      <w:r>
        <w:t>Separate production from nonproduction.</w:t>
      </w:r>
    </w:p>
    <w:p>
      <w:pPr>
        <w:pStyle w:val="ListBullet"/>
        <w:spacing w:after="60"/>
      </w:pPr>
      <w:r>
        <w:t>Separate shared networking, centralized logging, security, and workload projects when scale and controls justify it.</w:t>
      </w:r>
    </w:p>
    <w:p>
      <w:pPr>
        <w:pStyle w:val="ListBullet"/>
        <w:spacing w:after="60"/>
      </w:pPr>
      <w:r>
        <w:t>Avoid one giant project that combines unrelated owners and lifecycles.</w:t>
      </w:r>
    </w:p>
    <w:p>
      <w:pPr>
        <w:pStyle w:val="ListBullet"/>
        <w:spacing w:after="60"/>
      </w:pPr>
      <w:r>
        <w:t>Avoid excessive project fragmentation without automation and ownership.</w:t>
      </w:r>
    </w:p>
    <w:p>
      <w:pPr>
        <w:pStyle w:val="Heading2"/>
        <w:keepNext/>
      </w:pPr>
      <w:r>
        <w:t>3.3 Billing Accounts and Cost Boundaries</w:t>
      </w:r>
    </w:p>
    <w:p>
      <w:pPr>
        <w:spacing w:after="120"/>
      </w:pPr>
      <w:r>
        <w:rPr>
          <w:i w:val="0"/>
        </w:rPr>
        <w:t>A Cloud Billing account pays for linked projects but is not the parent of those projects in the resource hierarchy. Billing permissions and resource permissions are separate. This separation allows finance teams to manage payment and reporting without receiving workload administration, and platform teams to manage resources without payment-method authority.</w:t>
      </w:r>
    </w:p>
    <w:p>
      <w:pPr>
        <w:pStyle w:val="Heading2"/>
        <w:keepNext/>
      </w:pPr>
      <w:r>
        <w:t>3.4 Enterprise Hierarchy Pattern</w:t>
      </w:r>
    </w:p>
    <w:p>
      <w:pPr>
        <w:spacing w:after="120"/>
      </w:pPr>
      <w:r>
        <w:rPr>
          <w:i w:val="0"/>
        </w:rPr>
        <w:t>A common enterprise pattern uses folders for platform, security, shared services, production, and nonproduction branches. Projects then represent workloads, environments, or shared capabilities. Groups receive roles at the narrowest sustainable level, and inherited controls are tested before broad rollout.</w:t>
      </w:r>
    </w:p>
    <w:p>
      <w:pPr>
        <w:pStyle w:val="CodeBlock"/>
        <w:keepLines/>
        <w:spacing w:after="120"/>
      </w:pPr>
      <w:r>
        <w:rPr>
          <w:rFonts w:ascii="Cascadia Mono" w:hAnsi="Cascadia Mono"/>
          <w:sz w:val="16"/>
        </w:rPr>
        <w:t>Organization</w:t>
        <w:br/>
        <w:t>├── Platform</w:t>
        <w:br/>
        <w:t>│   ├── Network Host Project</w:t>
        <w:br/>
        <w:t>│   └── CI/CD Project</w:t>
        <w:br/>
        <w:t>├── Security</w:t>
        <w:br/>
        <w:t>│   ├── Logging Project</w:t>
        <w:br/>
        <w:t>│   └── Security Operations Project</w:t>
        <w:br/>
        <w:t>├── Production</w:t>
        <w:br/>
        <w:t>│   ├── Payments Production Project</w:t>
        <w:br/>
        <w:t>│   └── Customer Portal Production Project</w:t>
        <w:br/>
        <w:t>└── Nonproduction</w:t>
        <w:br/>
        <w:t xml:space="preserve">    ├── Development Projects</w:t>
        <w:br/>
        <w:t xml:space="preserve">    └── Test Projects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User can access many projects unexpectedly</w:t>
            </w:r>
          </w:p>
        </w:tc>
        <w:tc>
          <w:tcPr>
            <w:tcW w:type="dxa" w:w="2592"/>
            <w:tcMar>
              <w:top w:w="80" w:type="dxa"/>
              <w:start w:w="100" w:type="dxa"/>
              <w:bottom w:w="80" w:type="dxa"/>
              <w:end w:w="100" w:type="dxa"/>
            </w:tcMar>
            <w:vAlign w:val="top"/>
          </w:tcPr>
          <w:p>
            <w:pPr>
              <w:spacing w:after="0"/>
            </w:pPr>
            <w:r>
              <w:rPr>
                <w:sz w:val="16"/>
              </w:rPr>
              <w:t>Role inherited from organization or folder</w:t>
            </w:r>
          </w:p>
        </w:tc>
        <w:tc>
          <w:tcPr>
            <w:tcW w:type="dxa" w:w="5328"/>
            <w:tcMar>
              <w:top w:w="80" w:type="dxa"/>
              <w:start w:w="100" w:type="dxa"/>
              <w:bottom w:w="80" w:type="dxa"/>
              <w:end w:w="100" w:type="dxa"/>
            </w:tcMar>
            <w:vAlign w:val="top"/>
          </w:tcPr>
          <w:p>
            <w:pPr>
              <w:spacing w:after="0"/>
            </w:pPr>
            <w:r>
              <w:rPr>
                <w:sz w:val="16"/>
              </w:rPr>
              <w:t>Use policy troubleshooter and inspect inherited bindings; remove or narrow the upstream grant.</w:t>
            </w:r>
          </w:p>
        </w:tc>
      </w:tr>
      <w:tr>
        <w:trPr>
          <w:cantSplit/>
        </w:trPr>
        <w:tc>
          <w:tcPr>
            <w:tcW w:type="dxa" w:w="2160"/>
            <w:tcMar>
              <w:top w:w="80" w:type="dxa"/>
              <w:start w:w="100" w:type="dxa"/>
              <w:bottom w:w="80" w:type="dxa"/>
              <w:end w:w="100" w:type="dxa"/>
            </w:tcMar>
            <w:vAlign w:val="top"/>
          </w:tcPr>
          <w:p>
            <w:pPr>
              <w:spacing w:after="0"/>
            </w:pPr>
            <w:r>
              <w:rPr>
                <w:sz w:val="16"/>
              </w:rPr>
              <w:t>Project cannot be linked to billing</w:t>
            </w:r>
          </w:p>
        </w:tc>
        <w:tc>
          <w:tcPr>
            <w:tcW w:type="dxa" w:w="2592"/>
            <w:tcMar>
              <w:top w:w="80" w:type="dxa"/>
              <w:start w:w="100" w:type="dxa"/>
              <w:bottom w:w="80" w:type="dxa"/>
              <w:end w:w="100" w:type="dxa"/>
            </w:tcMar>
            <w:vAlign w:val="top"/>
          </w:tcPr>
          <w:p>
            <w:pPr>
              <w:spacing w:after="0"/>
            </w:pPr>
            <w:r>
              <w:rPr>
                <w:sz w:val="16"/>
              </w:rPr>
              <w:t>Missing billing-account and project permissions</w:t>
            </w:r>
          </w:p>
        </w:tc>
        <w:tc>
          <w:tcPr>
            <w:tcW w:type="dxa" w:w="5328"/>
            <w:tcMar>
              <w:top w:w="80" w:type="dxa"/>
              <w:start w:w="100" w:type="dxa"/>
              <w:bottom w:w="80" w:type="dxa"/>
              <w:end w:w="100" w:type="dxa"/>
            </w:tcMar>
            <w:vAlign w:val="top"/>
          </w:tcPr>
          <w:p>
            <w:pPr>
              <w:spacing w:after="0"/>
            </w:pPr>
            <w:r>
              <w:rPr>
                <w:sz w:val="16"/>
              </w:rPr>
              <w:t>Verify Billing Account User plus project billing-management permissions and organization restrictions.</w:t>
            </w:r>
          </w:p>
        </w:tc>
      </w:tr>
      <w:tr>
        <w:trPr>
          <w:cantSplit/>
        </w:trPr>
        <w:tc>
          <w:tcPr>
            <w:tcW w:type="dxa" w:w="2160"/>
            <w:tcMar>
              <w:top w:w="80" w:type="dxa"/>
              <w:start w:w="100" w:type="dxa"/>
              <w:bottom w:w="80" w:type="dxa"/>
              <w:end w:w="100" w:type="dxa"/>
            </w:tcMar>
            <w:vAlign w:val="top"/>
          </w:tcPr>
          <w:p>
            <w:pPr>
              <w:spacing w:after="0"/>
            </w:pPr>
            <w:r>
              <w:rPr>
                <w:sz w:val="16"/>
              </w:rPr>
              <w:t>Policy change breaks child projects</w:t>
            </w:r>
          </w:p>
        </w:tc>
        <w:tc>
          <w:tcPr>
            <w:tcW w:type="dxa" w:w="2592"/>
            <w:tcMar>
              <w:top w:w="80" w:type="dxa"/>
              <w:start w:w="100" w:type="dxa"/>
              <w:bottom w:w="80" w:type="dxa"/>
              <w:end w:w="100" w:type="dxa"/>
            </w:tcMar>
            <w:vAlign w:val="top"/>
          </w:tcPr>
          <w:p>
            <w:pPr>
              <w:spacing w:after="0"/>
            </w:pPr>
            <w:r>
              <w:rPr>
                <w:sz w:val="16"/>
              </w:rPr>
              <w:t>Broad inherited policy without staged testing</w:t>
            </w:r>
          </w:p>
        </w:tc>
        <w:tc>
          <w:tcPr>
            <w:tcW w:type="dxa" w:w="5328"/>
            <w:tcMar>
              <w:top w:w="80" w:type="dxa"/>
              <w:start w:w="100" w:type="dxa"/>
              <w:bottom w:w="80" w:type="dxa"/>
              <w:end w:w="100" w:type="dxa"/>
            </w:tcMar>
            <w:vAlign w:val="top"/>
          </w:tcPr>
          <w:p>
            <w:pPr>
              <w:spacing w:after="0"/>
            </w:pPr>
            <w:r>
              <w:rPr>
                <w:sz w:val="16"/>
              </w:rPr>
              <w:t>Test in a lower folder, inspect effective policy, use change review and rollback.</w:t>
            </w:r>
          </w:p>
        </w:tc>
      </w:tr>
    </w:tbl>
    <w:p>
      <w:pPr>
        <w:spacing w:after="20"/>
      </w:pPr>
    </w:p>
    <w:p>
      <w:pPr>
        <w:pStyle w:val="Heading2"/>
        <w:keepNext/>
      </w:pPr>
      <w:r>
        <w:t>Hands-on Lab 3: Design a Google Cloud Resource Hierarchy</w:t>
      </w:r>
    </w:p>
    <w:p>
      <w:pPr>
        <w:pStyle w:val="Heading3"/>
        <w:keepNext/>
      </w:pPr>
      <w:r>
        <w:t>Prerequisites</w:t>
      </w:r>
    </w:p>
    <w:p>
      <w:pPr>
        <w:pStyle w:val="ListBullet"/>
        <w:spacing w:after="60"/>
      </w:pPr>
      <w:r>
        <w:t>A synthetic company scenario; organization access is optional.</w:t>
      </w:r>
    </w:p>
    <w:p>
      <w:pPr>
        <w:pStyle w:val="Heading3"/>
        <w:keepNext/>
      </w:pPr>
      <w:r>
        <w:t>Implementation</w:t>
      </w:r>
    </w:p>
    <w:p>
      <w:pPr>
        <w:spacing w:after="60"/>
        <w:ind w:left="360" w:hanging="259"/>
      </w:pPr>
      <w:r>
        <w:rPr>
          <w:b/>
        </w:rPr>
        <w:t xml:space="preserve">1. </w:t>
      </w:r>
      <w:r>
        <w:t>Identify business units, environments, platform services, security functions, and ownership boundaries.</w:t>
      </w:r>
    </w:p>
    <w:p>
      <w:pPr>
        <w:spacing w:after="60"/>
        <w:ind w:left="360" w:hanging="259"/>
      </w:pPr>
      <w:r>
        <w:rPr>
          <w:b/>
        </w:rPr>
        <w:t xml:space="preserve">2. </w:t>
      </w:r>
      <w:r>
        <w:t>Design an organization and folder hierarchy with no more levels than needed.</w:t>
      </w:r>
    </w:p>
    <w:p>
      <w:pPr>
        <w:spacing w:after="60"/>
        <w:ind w:left="360" w:hanging="259"/>
      </w:pPr>
      <w:r>
        <w:rPr>
          <w:b/>
        </w:rPr>
        <w:t xml:space="preserve">3. </w:t>
      </w:r>
      <w:r>
        <w:t>Define project naming, IDs, labels, owners, and lifecycle states.</w:t>
      </w:r>
    </w:p>
    <w:p>
      <w:pPr>
        <w:spacing w:after="60"/>
        <w:ind w:left="360" w:hanging="259"/>
      </w:pPr>
      <w:r>
        <w:rPr>
          <w:b/>
        </w:rPr>
        <w:t xml:space="preserve">4. </w:t>
      </w:r>
      <w:r>
        <w:t>Separate resource IAM from billing IAM responsibilities.</w:t>
      </w:r>
    </w:p>
    <w:p>
      <w:pPr>
        <w:spacing w:after="60"/>
        <w:ind w:left="360" w:hanging="259"/>
      </w:pPr>
      <w:r>
        <w:rPr>
          <w:b/>
        </w:rPr>
        <w:t xml:space="preserve">5. </w:t>
      </w:r>
      <w:r>
        <w:t>Create a permission matrix for organization, folder, and project administrators.</w:t>
      </w:r>
    </w:p>
    <w:p>
      <w:pPr>
        <w:spacing w:after="60"/>
        <w:ind w:left="360" w:hanging="259"/>
      </w:pPr>
      <w:r>
        <w:rPr>
          <w:b/>
        </w:rPr>
        <w:t xml:space="preserve">6. </w:t>
      </w:r>
      <w:r>
        <w:t>Document a project creation, suspension, and deletion workflow.</w:t>
      </w:r>
    </w:p>
    <w:p>
      <w:pPr>
        <w:pStyle w:val="Heading3"/>
        <w:keepNext/>
      </w:pPr>
      <w:r>
        <w:t>Validation Evidence</w:t>
      </w:r>
    </w:p>
    <w:p>
      <w:pPr>
        <w:pStyle w:val="ListBullet"/>
        <w:spacing w:after="60"/>
      </w:pPr>
      <w:r>
        <w:t>Every project has one accountable owner.</w:t>
      </w:r>
    </w:p>
    <w:p>
      <w:pPr>
        <w:pStyle w:val="ListBullet"/>
        <w:spacing w:after="60"/>
      </w:pPr>
      <w:r>
        <w:t>Production and nonproduction are separated.</w:t>
      </w:r>
    </w:p>
    <w:p>
      <w:pPr>
        <w:pStyle w:val="ListBullet"/>
        <w:spacing w:after="60"/>
      </w:pPr>
      <w:r>
        <w:t>Central services have explicit consumers and delegated administration.</w:t>
      </w:r>
    </w:p>
    <w:p>
      <w:pPr>
        <w:pStyle w:val="ListBullet"/>
        <w:spacing w:after="60"/>
      </w:pPr>
      <w:r>
        <w:t>Billing and resource permissions are separated.</w:t>
      </w:r>
    </w:p>
    <w:p>
      <w:pPr>
        <w:pStyle w:val="Heading3"/>
        <w:keepNext/>
      </w:pPr>
      <w:r>
        <w:t>Cleanup</w:t>
      </w:r>
    </w:p>
    <w:p>
      <w:pPr>
        <w:pStyle w:val="ListBullet"/>
        <w:spacing w:after="60"/>
      </w:pPr>
      <w:r>
        <w:t>No live organization changes are required; retain the hierarchy diagram and permission matrix.</w:t>
      </w:r>
    </w:p>
    <w:p>
      <w:pPr>
        <w:pStyle w:val="Heading2"/>
        <w:keepNext/>
      </w:pPr>
      <w:r>
        <w:t>Interview Questions and Model Answers</w:t>
      </w:r>
    </w:p>
    <w:p>
      <w:pPr>
        <w:spacing w:after="40"/>
      </w:pPr>
      <w:r>
        <w:rPr>
          <w:b/>
        </w:rPr>
        <w:t>1. What is the fundamental operating unit in Google Cloud?</w:t>
      </w:r>
    </w:p>
    <w:p>
      <w:pPr>
        <w:spacing w:after="120"/>
        <w:ind w:left="216"/>
      </w:pPr>
      <w:r>
        <w:t>The project, which contains service resources and provides API, quota, lifecycle, and billing-association boundaries.</w:t>
      </w:r>
    </w:p>
    <w:p>
      <w:pPr>
        <w:spacing w:after="40"/>
      </w:pPr>
      <w:r>
        <w:rPr>
          <w:b/>
        </w:rPr>
        <w:t>2. Does a billing account own projects in the hierarchy?</w:t>
      </w:r>
    </w:p>
    <w:p>
      <w:pPr>
        <w:spacing w:after="120"/>
        <w:ind w:left="216"/>
      </w:pPr>
      <w:r>
        <w:t>No. It pays for linked projects but is separate from the Resource Manager parent hierarchy.</w:t>
      </w:r>
    </w:p>
    <w:p>
      <w:pPr>
        <w:spacing w:after="40"/>
      </w:pPr>
      <w:r>
        <w:rPr>
          <w:b/>
        </w:rPr>
        <w:t>3. Why use folders?</w:t>
      </w:r>
    </w:p>
    <w:p>
      <w:pPr>
        <w:spacing w:after="120"/>
        <w:ind w:left="216"/>
      </w:pPr>
      <w:r>
        <w:t>To group projects and apply inherited IAM and organization policies at scalable control boundaries.</w:t>
      </w:r>
    </w:p>
    <w:p>
      <w:pPr>
        <w:spacing w:after="40"/>
      </w:pPr>
      <w:r>
        <w:rPr>
          <w:b/>
        </w:rPr>
        <w:t>4. What is the risk of granting roles at the organization level?</w:t>
      </w:r>
    </w:p>
    <w:p>
      <w:pPr>
        <w:spacing w:after="120"/>
        <w:ind w:left="216"/>
      </w:pPr>
      <w:r>
        <w:t>The grant can inherit to a very large resource set and create excessive privilege or blast radius.</w:t>
      </w:r>
    </w:p>
    <w:p>
      <w:pPr>
        <w:pStyle w:val="Heading2"/>
        <w:keepNext/>
      </w:pPr>
      <w:r>
        <w:t>Chapter Summary</w:t>
      </w:r>
    </w:p>
    <w:p>
      <w:pPr>
        <w:pStyle w:val="ListBullet"/>
        <w:spacing w:after="60"/>
      </w:pPr>
      <w:r>
        <w:t>Organizations, folders, projects, and resources form the governance hierarchy.</w:t>
      </w:r>
    </w:p>
    <w:p>
      <w:pPr>
        <w:pStyle w:val="ListBullet"/>
        <w:spacing w:after="60"/>
      </w:pPr>
      <w:r>
        <w:t>Projects are core operating and lifecycle boundaries.</w:t>
      </w:r>
    </w:p>
    <w:p>
      <w:pPr>
        <w:pStyle w:val="ListBullet"/>
        <w:spacing w:after="60"/>
      </w:pPr>
      <w:r>
        <w:t>Billing and resource administration are separate.</w:t>
      </w:r>
    </w:p>
    <w:p>
      <w:pPr>
        <w:pStyle w:val="ListBullet"/>
        <w:spacing w:after="60"/>
      </w:pPr>
      <w:r>
        <w:t>Inheritance requires careful scope, testing, and ownership.</w:t>
      </w:r>
    </w:p>
    <w:p>
      <w:pPr>
        <w:pStyle w:val="Heading1"/>
        <w:keepNext/>
        <w:pageBreakBefore/>
      </w:pPr>
      <w:r>
        <w:t>Chapter 4 - Console, Cloud Shell, gcloud CLI, APIs, and SDKs</w:t>
      </w:r>
    </w:p>
    <w:p>
      <w:pPr>
        <w:spacing w:after="120"/>
      </w:pPr>
      <w:r>
        <w:rPr>
          <w:i/>
          <w:color w:val="505050"/>
        </w:rPr>
        <w:t>Operating Google Cloud consistently through graphical, command-line, and programmatic interfaces</w:t>
      </w:r>
    </w:p>
    <w:p>
      <w:pPr>
        <w:pStyle w:val="Heading2"/>
        <w:keepNext/>
      </w:pPr>
      <w:r>
        <w:t>Learning Objectives</w:t>
      </w:r>
    </w:p>
    <w:p>
      <w:pPr>
        <w:pStyle w:val="ListBullet"/>
        <w:spacing w:after="60"/>
      </w:pPr>
      <w:r>
        <w:t>Use the Google Cloud console and Cloud Shell safely.</w:t>
      </w:r>
    </w:p>
    <w:p>
      <w:pPr>
        <w:pStyle w:val="ListBullet"/>
        <w:spacing w:after="60"/>
      </w:pPr>
      <w:r>
        <w:t>Configure and validate gcloud accounts, projects, regions, and zones.</w:t>
      </w:r>
    </w:p>
    <w:p>
      <w:pPr>
        <w:pStyle w:val="ListBullet"/>
        <w:spacing w:after="60"/>
      </w:pPr>
      <w:r>
        <w:t>Understand APIs, client libraries, REST, and Application Default Credentials.</w:t>
      </w:r>
    </w:p>
    <w:p>
      <w:pPr>
        <w:pStyle w:val="ListBullet"/>
        <w:spacing w:after="60"/>
      </w:pPr>
      <w:r>
        <w:t>Build repeatable administrative workflows with evidence.</w:t>
      </w:r>
    </w:p>
    <w:p>
      <w:pPr>
        <w:pStyle w:val="Heading2"/>
        <w:keepNext/>
      </w:pPr>
      <w:r>
        <w:t>4.1 Management Interfaces</w:t>
      </w:r>
    </w:p>
    <w:p>
      <w:pPr>
        <w:spacing w:after="120"/>
      </w:pPr>
      <w:r>
        <w:rPr>
          <w:i w:val="0"/>
        </w:rPr>
        <w:t>The Google Cloud console is useful for discovery, guided configuration, and inspection. Cloud Shell provides a browser-based environment with the Google Cloud CLI and common tools preinstalled. The gcloud CLI supports repeatable administration. Client libraries and REST APIs enable applications and automation to call services programmatically.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A73E8"/>
            <w:tcMar>
              <w:top w:w="80" w:type="dxa"/>
              <w:start w:w="100" w:type="dxa"/>
              <w:bottom w:w="80" w:type="dxa"/>
              <w:end w:w="100" w:type="dxa"/>
            </w:tcMar>
            <w:vAlign w:val="center"/>
          </w:tcPr>
          <w:p>
            <w:pPr>
              <w:jc w:val="center"/>
            </w:pPr>
            <w:r>
              <w:rPr>
                <w:b/>
                <w:color w:val="FFFFFF"/>
                <w:sz w:val="17"/>
              </w:rPr>
              <w:t>Interface</w:t>
            </w:r>
          </w:p>
        </w:tc>
        <w:tc>
          <w:tcPr>
            <w:tcW w:type="dxa" w:w="3456"/>
            <w:shd w:fill="1A73E8"/>
            <w:tcMar>
              <w:top w:w="80" w:type="dxa"/>
              <w:start w:w="100" w:type="dxa"/>
              <w:bottom w:w="80" w:type="dxa"/>
              <w:end w:w="100" w:type="dxa"/>
            </w:tcMar>
            <w:vAlign w:val="center"/>
          </w:tcPr>
          <w:p>
            <w:pPr>
              <w:jc w:val="center"/>
            </w:pPr>
            <w:r>
              <w:rPr>
                <w:b/>
                <w:color w:val="FFFFFF"/>
                <w:sz w:val="17"/>
              </w:rPr>
              <w:t>Best Use</w:t>
            </w:r>
          </w:p>
        </w:tc>
        <w:tc>
          <w:tcPr>
            <w:tcW w:type="dxa" w:w="4464"/>
            <w:shd w:fill="1A73E8"/>
            <w:tcMar>
              <w:top w:w="80" w:type="dxa"/>
              <w:start w:w="100" w:type="dxa"/>
              <w:bottom w:w="80" w:type="dxa"/>
              <w:end w:w="100" w:type="dxa"/>
            </w:tcMar>
            <w:vAlign w:val="center"/>
          </w:tcPr>
          <w:p>
            <w:pPr>
              <w:jc w:val="center"/>
            </w:pPr>
            <w:r>
              <w:rPr>
                <w:b/>
                <w:color w:val="FFFFFF"/>
                <w:sz w:val="17"/>
              </w:rPr>
              <w:t>Main Risk</w:t>
            </w:r>
          </w:p>
        </w:tc>
      </w:tr>
      <w:tr>
        <w:trPr>
          <w:cantSplit/>
        </w:trPr>
        <w:tc>
          <w:tcPr>
            <w:tcW w:type="dxa" w:w="2016"/>
            <w:tcMar>
              <w:top w:w="80" w:type="dxa"/>
              <w:start w:w="100" w:type="dxa"/>
              <w:bottom w:w="80" w:type="dxa"/>
              <w:end w:w="100" w:type="dxa"/>
            </w:tcMar>
            <w:vAlign w:val="top"/>
          </w:tcPr>
          <w:p>
            <w:pPr>
              <w:spacing w:after="0"/>
            </w:pPr>
            <w:r>
              <w:rPr>
                <w:sz w:val="16"/>
              </w:rPr>
              <w:t>Console</w:t>
            </w:r>
          </w:p>
        </w:tc>
        <w:tc>
          <w:tcPr>
            <w:tcW w:type="dxa" w:w="3456"/>
            <w:tcMar>
              <w:top w:w="80" w:type="dxa"/>
              <w:start w:w="100" w:type="dxa"/>
              <w:bottom w:w="80" w:type="dxa"/>
              <w:end w:w="100" w:type="dxa"/>
            </w:tcMar>
            <w:vAlign w:val="top"/>
          </w:tcPr>
          <w:p>
            <w:pPr>
              <w:spacing w:after="0"/>
            </w:pPr>
            <w:r>
              <w:rPr>
                <w:sz w:val="16"/>
              </w:rPr>
              <w:t>Learning, discovery, visualization, one-off inspection</w:t>
            </w:r>
          </w:p>
        </w:tc>
        <w:tc>
          <w:tcPr>
            <w:tcW w:type="dxa" w:w="4464"/>
            <w:tcMar>
              <w:top w:w="80" w:type="dxa"/>
              <w:start w:w="100" w:type="dxa"/>
              <w:bottom w:w="80" w:type="dxa"/>
              <w:end w:w="100" w:type="dxa"/>
            </w:tcMar>
            <w:vAlign w:val="top"/>
          </w:tcPr>
          <w:p>
            <w:pPr>
              <w:spacing w:after="0"/>
            </w:pPr>
            <w:r>
              <w:rPr>
                <w:sz w:val="16"/>
              </w:rPr>
              <w:t>Click drift, wrong project, undocumented changes.</w:t>
            </w:r>
          </w:p>
        </w:tc>
      </w:tr>
      <w:tr>
        <w:trPr>
          <w:cantSplit/>
        </w:trPr>
        <w:tc>
          <w:tcPr>
            <w:tcW w:type="dxa" w:w="2016"/>
            <w:tcMar>
              <w:top w:w="80" w:type="dxa"/>
              <w:start w:w="100" w:type="dxa"/>
              <w:bottom w:w="80" w:type="dxa"/>
              <w:end w:w="100" w:type="dxa"/>
            </w:tcMar>
            <w:vAlign w:val="top"/>
          </w:tcPr>
          <w:p>
            <w:pPr>
              <w:spacing w:after="0"/>
            </w:pPr>
            <w:r>
              <w:rPr>
                <w:sz w:val="16"/>
              </w:rPr>
              <w:t>Cloud Shell</w:t>
            </w:r>
          </w:p>
        </w:tc>
        <w:tc>
          <w:tcPr>
            <w:tcW w:type="dxa" w:w="3456"/>
            <w:tcMar>
              <w:top w:w="80" w:type="dxa"/>
              <w:start w:w="100" w:type="dxa"/>
              <w:bottom w:w="80" w:type="dxa"/>
              <w:end w:w="100" w:type="dxa"/>
            </w:tcMar>
            <w:vAlign w:val="top"/>
          </w:tcPr>
          <w:p>
            <w:pPr>
              <w:spacing w:after="0"/>
            </w:pPr>
            <w:r>
              <w:rPr>
                <w:sz w:val="16"/>
              </w:rPr>
              <w:t>Fast authenticated administration and labs</w:t>
            </w:r>
          </w:p>
        </w:tc>
        <w:tc>
          <w:tcPr>
            <w:tcW w:type="dxa" w:w="4464"/>
            <w:tcMar>
              <w:top w:w="80" w:type="dxa"/>
              <w:start w:w="100" w:type="dxa"/>
              <w:bottom w:w="80" w:type="dxa"/>
              <w:end w:w="100" w:type="dxa"/>
            </w:tcMar>
            <w:vAlign w:val="top"/>
          </w:tcPr>
          <w:p>
            <w:pPr>
              <w:spacing w:after="0"/>
            </w:pPr>
            <w:r>
              <w:rPr>
                <w:sz w:val="16"/>
              </w:rPr>
              <w:t>Persistent files or commands can still target the wrong project.</w:t>
            </w:r>
          </w:p>
        </w:tc>
      </w:tr>
      <w:tr>
        <w:trPr>
          <w:cantSplit/>
        </w:trPr>
        <w:tc>
          <w:tcPr>
            <w:tcW w:type="dxa" w:w="2016"/>
            <w:tcMar>
              <w:top w:w="80" w:type="dxa"/>
              <w:start w:w="100" w:type="dxa"/>
              <w:bottom w:w="80" w:type="dxa"/>
              <w:end w:w="100" w:type="dxa"/>
            </w:tcMar>
            <w:vAlign w:val="top"/>
          </w:tcPr>
          <w:p>
            <w:pPr>
              <w:spacing w:after="0"/>
            </w:pPr>
            <w:r>
              <w:rPr>
                <w:sz w:val="16"/>
              </w:rPr>
              <w:t>gcloud CLI</w:t>
            </w:r>
          </w:p>
        </w:tc>
        <w:tc>
          <w:tcPr>
            <w:tcW w:type="dxa" w:w="3456"/>
            <w:tcMar>
              <w:top w:w="80" w:type="dxa"/>
              <w:start w:w="100" w:type="dxa"/>
              <w:bottom w:w="80" w:type="dxa"/>
              <w:end w:w="100" w:type="dxa"/>
            </w:tcMar>
            <w:vAlign w:val="top"/>
          </w:tcPr>
          <w:p>
            <w:pPr>
              <w:spacing w:after="0"/>
            </w:pPr>
            <w:r>
              <w:rPr>
                <w:sz w:val="16"/>
              </w:rPr>
              <w:t>Repeatable operations and scripts</w:t>
            </w:r>
          </w:p>
        </w:tc>
        <w:tc>
          <w:tcPr>
            <w:tcW w:type="dxa" w:w="4464"/>
            <w:tcMar>
              <w:top w:w="80" w:type="dxa"/>
              <w:start w:w="100" w:type="dxa"/>
              <w:bottom w:w="80" w:type="dxa"/>
              <w:end w:w="100" w:type="dxa"/>
            </w:tcMar>
            <w:vAlign w:val="top"/>
          </w:tcPr>
          <w:p>
            <w:pPr>
              <w:spacing w:after="0"/>
            </w:pPr>
            <w:r>
              <w:rPr>
                <w:sz w:val="16"/>
              </w:rPr>
              <w:t>Implicit configuration, wrong account/project/region.</w:t>
            </w:r>
          </w:p>
        </w:tc>
      </w:tr>
      <w:tr>
        <w:trPr>
          <w:cantSplit/>
        </w:trPr>
        <w:tc>
          <w:tcPr>
            <w:tcW w:type="dxa" w:w="2016"/>
            <w:tcMar>
              <w:top w:w="80" w:type="dxa"/>
              <w:start w:w="100" w:type="dxa"/>
              <w:bottom w:w="80" w:type="dxa"/>
              <w:end w:w="100" w:type="dxa"/>
            </w:tcMar>
            <w:vAlign w:val="top"/>
          </w:tcPr>
          <w:p>
            <w:pPr>
              <w:spacing w:after="0"/>
            </w:pPr>
            <w:r>
              <w:rPr>
                <w:sz w:val="16"/>
              </w:rPr>
              <w:t>Client libraries/API</w:t>
            </w:r>
          </w:p>
        </w:tc>
        <w:tc>
          <w:tcPr>
            <w:tcW w:type="dxa" w:w="3456"/>
            <w:tcMar>
              <w:top w:w="80" w:type="dxa"/>
              <w:start w:w="100" w:type="dxa"/>
              <w:bottom w:w="80" w:type="dxa"/>
              <w:end w:w="100" w:type="dxa"/>
            </w:tcMar>
            <w:vAlign w:val="top"/>
          </w:tcPr>
          <w:p>
            <w:pPr>
              <w:spacing w:after="0"/>
            </w:pPr>
            <w:r>
              <w:rPr>
                <w:sz w:val="16"/>
              </w:rPr>
              <w:t>Applications, platforms, automation</w:t>
            </w:r>
          </w:p>
        </w:tc>
        <w:tc>
          <w:tcPr>
            <w:tcW w:type="dxa" w:w="4464"/>
            <w:tcMar>
              <w:top w:w="80" w:type="dxa"/>
              <w:start w:w="100" w:type="dxa"/>
              <w:bottom w:w="80" w:type="dxa"/>
              <w:end w:w="100" w:type="dxa"/>
            </w:tcMar>
            <w:vAlign w:val="top"/>
          </w:tcPr>
          <w:p>
            <w:pPr>
              <w:spacing w:after="0"/>
            </w:pPr>
            <w:r>
              <w:rPr>
                <w:sz w:val="16"/>
              </w:rPr>
              <w:t>Credential handling, retries, quotas, versioning.</w:t>
            </w:r>
          </w:p>
        </w:tc>
      </w:tr>
    </w:tbl>
    <w:p>
      <w:pPr>
        <w:spacing w:after="20"/>
      </w:pPr>
    </w:p>
    <w:p>
      <w:pPr>
        <w:pStyle w:val="Heading2"/>
        <w:keepNext/>
      </w:pPr>
      <w:r>
        <w:t>4.2 gcloud Configuration</w:t>
      </w:r>
    </w:p>
    <w:p>
      <w:pPr>
        <w:spacing w:after="120"/>
      </w:pPr>
      <w:r>
        <w:rPr>
          <w:i w:val="0"/>
        </w:rPr>
        <w:t>The gcloud CLI stores named configurations containing properties such as account, project, region, and zone. Named configurations reduce context mistakes when engineers operate multiple environments. Never assume the active context; verify it before a change.</w:t>
      </w:r>
    </w:p>
    <w:p>
      <w:pPr>
        <w:pStyle w:val="CodeBlock"/>
        <w:keepLines/>
        <w:spacing w:after="120"/>
      </w:pPr>
      <w:r>
        <w:rPr>
          <w:rFonts w:ascii="Cascadia Mono" w:hAnsi="Cascadia Mono"/>
          <w:sz w:val="16"/>
        </w:rPr>
        <w:t>gcloud auth list</w:t>
        <w:br/>
        <w:t>gcloud config configurations list</w:t>
        <w:br/>
        <w:t>gcloud config get-value project</w:t>
        <w:br/>
        <w:t>gcloud config list</w:t>
        <w:br/>
        <w:t>gcloud projects describe "$PROJECT_ID"</w:t>
      </w:r>
    </w:p>
    <w:p>
      <w:pPr>
        <w:pStyle w:val="Heading2"/>
        <w:keepNext/>
      </w:pPr>
      <w:r>
        <w:t>4.3 APIs and Service Enablement</w:t>
      </w:r>
    </w:p>
    <w:p>
      <w:pPr>
        <w:spacing w:after="120"/>
      </w:pPr>
      <w:r>
        <w:rPr>
          <w:i w:val="0"/>
        </w:rPr>
        <w:t>Google Cloud services expose APIs that must often be enabled per project. Enabling an API can create service agents and affect quota or billing. Treat API enablement as infrastructure configuration: document it, automate it, and remove unused APIs only after dependency analysis.</w:t>
      </w:r>
    </w:p>
    <w:p>
      <w:pPr>
        <w:pStyle w:val="CodeBlock"/>
        <w:keepLines/>
        <w:spacing w:after="120"/>
      </w:pPr>
      <w:r>
        <w:rPr>
          <w:rFonts w:ascii="Cascadia Mono" w:hAnsi="Cascadia Mono"/>
          <w:sz w:val="16"/>
        </w:rPr>
        <w:t>gcloud services list --enabled</w:t>
        <w:br/>
        <w:t>gcloud services enable compute.googleapis.com</w:t>
        <w:br/>
        <w:t>gcloud services enable cloudresourcemanager.googleapis.com</w:t>
      </w:r>
    </w:p>
    <w:p>
      <w:pPr>
        <w:pStyle w:val="Heading2"/>
        <w:keepNext/>
      </w:pPr>
      <w:r>
        <w:t>4.4 Authentication for Tools and Applications</w:t>
      </w:r>
    </w:p>
    <w:p>
      <w:pPr>
        <w:spacing w:after="120"/>
      </w:pPr>
      <w:r>
        <w:rPr>
          <w:i w:val="0"/>
        </w:rPr>
        <w:t>Human CLI access commonly uses interactive user authentication. Applications should use attached service accounts or federation and Application Default Credentials rather than embedding secrets. Local development can use user ADC carefully, while production should use workload identity with narrowly scoped service accounts.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Command changes wrong project</w:t>
            </w:r>
          </w:p>
        </w:tc>
        <w:tc>
          <w:tcPr>
            <w:tcW w:type="dxa" w:w="2592"/>
            <w:tcMar>
              <w:top w:w="80" w:type="dxa"/>
              <w:start w:w="100" w:type="dxa"/>
              <w:bottom w:w="80" w:type="dxa"/>
              <w:end w:w="100" w:type="dxa"/>
            </w:tcMar>
            <w:vAlign w:val="top"/>
          </w:tcPr>
          <w:p>
            <w:pPr>
              <w:spacing w:after="0"/>
            </w:pPr>
            <w:r>
              <w:rPr>
                <w:sz w:val="16"/>
              </w:rPr>
              <w:t>Implicit active configuration</w:t>
            </w:r>
          </w:p>
        </w:tc>
        <w:tc>
          <w:tcPr>
            <w:tcW w:type="dxa" w:w="5328"/>
            <w:tcMar>
              <w:top w:w="80" w:type="dxa"/>
              <w:start w:w="100" w:type="dxa"/>
              <w:bottom w:w="80" w:type="dxa"/>
              <w:end w:w="100" w:type="dxa"/>
            </w:tcMar>
            <w:vAlign w:val="top"/>
          </w:tcPr>
          <w:p>
            <w:pPr>
              <w:spacing w:after="0"/>
            </w:pPr>
            <w:r>
              <w:rPr>
                <w:sz w:val="16"/>
              </w:rPr>
              <w:t>Run gcloud config list and use named configurations or explicit --project flags.</w:t>
            </w:r>
          </w:p>
        </w:tc>
      </w:tr>
      <w:tr>
        <w:trPr>
          <w:cantSplit/>
        </w:trPr>
        <w:tc>
          <w:tcPr>
            <w:tcW w:type="dxa" w:w="2160"/>
            <w:tcMar>
              <w:top w:w="80" w:type="dxa"/>
              <w:start w:w="100" w:type="dxa"/>
              <w:bottom w:w="80" w:type="dxa"/>
              <w:end w:w="100" w:type="dxa"/>
            </w:tcMar>
            <w:vAlign w:val="top"/>
          </w:tcPr>
          <w:p>
            <w:pPr>
              <w:spacing w:after="0"/>
            </w:pPr>
            <w:r>
              <w:rPr>
                <w:sz w:val="16"/>
              </w:rPr>
              <w:t>API call returns PERMISSION_DENIED</w:t>
            </w:r>
          </w:p>
        </w:tc>
        <w:tc>
          <w:tcPr>
            <w:tcW w:type="dxa" w:w="2592"/>
            <w:tcMar>
              <w:top w:w="80" w:type="dxa"/>
              <w:start w:w="100" w:type="dxa"/>
              <w:bottom w:w="80" w:type="dxa"/>
              <w:end w:w="100" w:type="dxa"/>
            </w:tcMar>
            <w:vAlign w:val="top"/>
          </w:tcPr>
          <w:p>
            <w:pPr>
              <w:spacing w:after="0"/>
            </w:pPr>
            <w:r>
              <w:rPr>
                <w:sz w:val="16"/>
              </w:rPr>
              <w:t>Wrong principal, role, resource, or disabled API</w:t>
            </w:r>
          </w:p>
        </w:tc>
        <w:tc>
          <w:tcPr>
            <w:tcW w:type="dxa" w:w="5328"/>
            <w:tcMar>
              <w:top w:w="80" w:type="dxa"/>
              <w:start w:w="100" w:type="dxa"/>
              <w:bottom w:w="80" w:type="dxa"/>
              <w:end w:w="100" w:type="dxa"/>
            </w:tcMar>
            <w:vAlign w:val="top"/>
          </w:tcPr>
          <w:p>
            <w:pPr>
              <w:spacing w:after="0"/>
            </w:pPr>
            <w:r>
              <w:rPr>
                <w:sz w:val="16"/>
              </w:rPr>
              <w:t>Check gcloud auth list, IAM policy, API enablement, organization policy, and audit logs.</w:t>
            </w:r>
          </w:p>
        </w:tc>
      </w:tr>
      <w:tr>
        <w:trPr>
          <w:cantSplit/>
        </w:trPr>
        <w:tc>
          <w:tcPr>
            <w:tcW w:type="dxa" w:w="2160"/>
            <w:tcMar>
              <w:top w:w="80" w:type="dxa"/>
              <w:start w:w="100" w:type="dxa"/>
              <w:bottom w:w="80" w:type="dxa"/>
              <w:end w:w="100" w:type="dxa"/>
            </w:tcMar>
            <w:vAlign w:val="top"/>
          </w:tcPr>
          <w:p>
            <w:pPr>
              <w:spacing w:after="0"/>
            </w:pPr>
            <w:r>
              <w:rPr>
                <w:sz w:val="16"/>
              </w:rPr>
              <w:t>Application works locally but not in cloud</w:t>
            </w:r>
          </w:p>
        </w:tc>
        <w:tc>
          <w:tcPr>
            <w:tcW w:type="dxa" w:w="2592"/>
            <w:tcMar>
              <w:top w:w="80" w:type="dxa"/>
              <w:start w:w="100" w:type="dxa"/>
              <w:bottom w:w="80" w:type="dxa"/>
              <w:end w:w="100" w:type="dxa"/>
            </w:tcMar>
            <w:vAlign w:val="top"/>
          </w:tcPr>
          <w:p>
            <w:pPr>
              <w:spacing w:after="0"/>
            </w:pPr>
            <w:r>
              <w:rPr>
                <w:sz w:val="16"/>
              </w:rPr>
              <w:t>Different ADC identity or service account</w:t>
            </w:r>
          </w:p>
        </w:tc>
        <w:tc>
          <w:tcPr>
            <w:tcW w:type="dxa" w:w="5328"/>
            <w:tcMar>
              <w:top w:w="80" w:type="dxa"/>
              <w:start w:w="100" w:type="dxa"/>
              <w:bottom w:w="80" w:type="dxa"/>
              <w:end w:w="100" w:type="dxa"/>
            </w:tcMar>
            <w:vAlign w:val="top"/>
          </w:tcPr>
          <w:p>
            <w:pPr>
              <w:spacing w:after="0"/>
            </w:pPr>
            <w:r>
              <w:rPr>
                <w:sz w:val="16"/>
              </w:rPr>
              <w:t>Inspect the runtime identity and grant the minimum required role to that identity.</w:t>
            </w:r>
          </w:p>
        </w:tc>
      </w:tr>
    </w:tbl>
    <w:p>
      <w:pPr>
        <w:spacing w:after="20"/>
      </w:pPr>
    </w:p>
    <w:p>
      <w:pPr>
        <w:pStyle w:val="Heading2"/>
        <w:keepNext/>
      </w:pPr>
      <w:r>
        <w:t>Hands-on Lab 4: Create Safe gcloud Configurations</w:t>
      </w:r>
    </w:p>
    <w:p>
      <w:pPr>
        <w:pStyle w:val="Heading3"/>
        <w:keepNext/>
      </w:pPr>
      <w:r>
        <w:t>Prerequisites</w:t>
      </w:r>
    </w:p>
    <w:p>
      <w:pPr>
        <w:pStyle w:val="ListBullet"/>
        <w:spacing w:after="60"/>
      </w:pPr>
      <w:r>
        <w:t>Cloud Shell or the Google Cloud CLI installed locally.</w:t>
      </w:r>
    </w:p>
    <w:p>
      <w:pPr>
        <w:pStyle w:val="Heading3"/>
        <w:keepNext/>
      </w:pPr>
      <w:r>
        <w:t>Implementation</w:t>
      </w:r>
    </w:p>
    <w:p>
      <w:pPr>
        <w:spacing w:after="60"/>
        <w:ind w:left="360" w:hanging="259"/>
      </w:pPr>
      <w:r>
        <w:rPr>
          <w:b/>
        </w:rPr>
        <w:t xml:space="preserve">1. </w:t>
      </w:r>
      <w:r>
        <w:t>Run gcloud auth list and identify the active principal.</w:t>
      </w:r>
    </w:p>
    <w:p>
      <w:pPr>
        <w:spacing w:after="60"/>
        <w:ind w:left="360" w:hanging="259"/>
      </w:pPr>
      <w:r>
        <w:rPr>
          <w:b/>
        </w:rPr>
        <w:t xml:space="preserve">2. </w:t>
      </w:r>
      <w:r>
        <w:t>Create a named configuration for the learning project.</w:t>
      </w:r>
    </w:p>
    <w:p>
      <w:pPr>
        <w:spacing w:after="60"/>
        <w:ind w:left="360" w:hanging="259"/>
      </w:pPr>
      <w:r>
        <w:rPr>
          <w:b/>
        </w:rPr>
        <w:t xml:space="preserve">3. </w:t>
      </w:r>
      <w:r>
        <w:t>Set the project, default region, and default zone.</w:t>
      </w:r>
    </w:p>
    <w:p>
      <w:pPr>
        <w:spacing w:after="60"/>
        <w:ind w:left="360" w:hanging="259"/>
      </w:pPr>
      <w:r>
        <w:rPr>
          <w:b/>
        </w:rPr>
        <w:t xml:space="preserve">4. </w:t>
      </w:r>
      <w:r>
        <w:t>Enable the Compute Engine API and list enabled services.</w:t>
      </w:r>
    </w:p>
    <w:p>
      <w:pPr>
        <w:spacing w:after="60"/>
        <w:ind w:left="360" w:hanging="259"/>
      </w:pPr>
      <w:r>
        <w:rPr>
          <w:b/>
        </w:rPr>
        <w:t xml:space="preserve">5. </w:t>
      </w:r>
      <w:r>
        <w:t>Run a read-only command with both implicit and explicit project selection.</w:t>
      </w:r>
    </w:p>
    <w:p>
      <w:pPr>
        <w:spacing w:after="60"/>
        <w:ind w:left="360" w:hanging="259"/>
      </w:pPr>
      <w:r>
        <w:rPr>
          <w:b/>
        </w:rPr>
        <w:t xml:space="preserve">6. </w:t>
      </w:r>
      <w:r>
        <w:t>Export command output as validation evidence without exposing tokens.</w:t>
      </w:r>
    </w:p>
    <w:p>
      <w:pPr>
        <w:pStyle w:val="Heading3"/>
        <w:keepNext/>
      </w:pPr>
      <w:r>
        <w:t>Validation Evidence</w:t>
      </w:r>
    </w:p>
    <w:p>
      <w:pPr>
        <w:pStyle w:val="ListBullet"/>
        <w:spacing w:after="60"/>
      </w:pPr>
      <w:r>
        <w:t>The named configuration shows the correct account and project.</w:t>
      </w:r>
    </w:p>
    <w:p>
      <w:pPr>
        <w:pStyle w:val="ListBullet"/>
        <w:spacing w:after="60"/>
      </w:pPr>
      <w:r>
        <w:t>The region and zone are explicit.</w:t>
      </w:r>
    </w:p>
    <w:p>
      <w:pPr>
        <w:pStyle w:val="ListBullet"/>
        <w:spacing w:after="60"/>
      </w:pPr>
      <w:r>
        <w:t>Compute Engine API is enabled.</w:t>
      </w:r>
    </w:p>
    <w:p>
      <w:pPr>
        <w:pStyle w:val="ListBullet"/>
        <w:spacing w:after="60"/>
      </w:pPr>
      <w:r>
        <w:t>Read-only output identifies the correct project number.</w:t>
      </w:r>
    </w:p>
    <w:p>
      <w:pPr>
        <w:pStyle w:val="Heading3"/>
        <w:keepNext/>
      </w:pPr>
      <w:r>
        <w:t>Cleanup</w:t>
      </w:r>
    </w:p>
    <w:p>
      <w:pPr>
        <w:pStyle w:val="ListBullet"/>
        <w:spacing w:after="60"/>
      </w:pPr>
      <w:r>
        <w:t>Keep the configuration for later labs or delete it with gcloud config configurations delete.</w:t>
      </w:r>
    </w:p>
    <w:p>
      <w:pPr>
        <w:pStyle w:val="Heading2"/>
        <w:keepNext/>
      </w:pPr>
      <w:r>
        <w:t>Interview Questions and Model Answers</w:t>
      </w:r>
    </w:p>
    <w:p>
      <w:pPr>
        <w:spacing w:after="40"/>
      </w:pPr>
      <w:r>
        <w:rPr>
          <w:b/>
        </w:rPr>
        <w:t>1. Why use named gcloud configurations?</w:t>
      </w:r>
    </w:p>
    <w:p>
      <w:pPr>
        <w:spacing w:after="120"/>
        <w:ind w:left="216"/>
      </w:pPr>
      <w:r>
        <w:t>To isolate account, project, region, and zone context and reduce cross-environment mistakes.</w:t>
      </w:r>
    </w:p>
    <w:p>
      <w:pPr>
        <w:spacing w:after="40"/>
      </w:pPr>
      <w:r>
        <w:rPr>
          <w:b/>
        </w:rPr>
        <w:t>2. Is Cloud Shell automatically safe?</w:t>
      </w:r>
    </w:p>
    <w:p>
      <w:pPr>
        <w:spacing w:after="120"/>
        <w:ind w:left="216"/>
      </w:pPr>
      <w:r>
        <w:t>No. It is convenient and authenticated, but commands can still target the wrong project or make destructive changes.</w:t>
      </w:r>
    </w:p>
    <w:p>
      <w:pPr>
        <w:spacing w:after="40"/>
      </w:pPr>
      <w:r>
        <w:rPr>
          <w:b/>
        </w:rPr>
        <w:t>3. What is Application Default Credentials?</w:t>
      </w:r>
    </w:p>
    <w:p>
      <w:pPr>
        <w:spacing w:after="120"/>
        <w:ind w:left="216"/>
      </w:pPr>
      <w:r>
        <w:t>A standard mechanism used by Google client libraries to locate credentials from the environment.</w:t>
      </w:r>
    </w:p>
    <w:p>
      <w:pPr>
        <w:spacing w:after="40"/>
      </w:pPr>
      <w:r>
        <w:rPr>
          <w:b/>
        </w:rPr>
        <w:t>4. Why automate API enablement?</w:t>
      </w:r>
    </w:p>
    <w:p>
      <w:pPr>
        <w:spacing w:after="120"/>
        <w:ind w:left="216"/>
      </w:pPr>
      <w:r>
        <w:t>It is a project dependency that should be reviewable, repeatable, and consistent across environments.</w:t>
      </w:r>
    </w:p>
    <w:p>
      <w:pPr>
        <w:pStyle w:val="Heading2"/>
        <w:keepNext/>
      </w:pPr>
      <w:r>
        <w:t>Chapter Summary</w:t>
      </w:r>
    </w:p>
    <w:p>
      <w:pPr>
        <w:pStyle w:val="ListBullet"/>
        <w:spacing w:after="60"/>
      </w:pPr>
      <w:r>
        <w:t>Use the console for discovery and CLI/API for repeatability.</w:t>
      </w:r>
    </w:p>
    <w:p>
      <w:pPr>
        <w:pStyle w:val="ListBullet"/>
        <w:spacing w:after="60"/>
      </w:pPr>
      <w:r>
        <w:t>Always verify account, project, and location context.</w:t>
      </w:r>
    </w:p>
    <w:p>
      <w:pPr>
        <w:pStyle w:val="ListBullet"/>
        <w:spacing w:after="60"/>
      </w:pPr>
      <w:r>
        <w:t>Treat enabled APIs as managed configuration.</w:t>
      </w:r>
    </w:p>
    <w:p>
      <w:pPr>
        <w:pStyle w:val="ListBullet"/>
        <w:spacing w:after="60"/>
      </w:pPr>
      <w:r>
        <w:t>Use runtime identity instead of embedded credentials.</w:t>
      </w:r>
    </w:p>
    <w:p>
      <w:pPr>
        <w:pStyle w:val="Heading1"/>
        <w:keepNext/>
        <w:pageBreakBefore/>
      </w:pPr>
      <w:r>
        <w:t>Chapter 5 - Cloud Identity and IAM Fundamentals</w:t>
      </w:r>
    </w:p>
    <w:p>
      <w:pPr>
        <w:spacing w:after="120"/>
      </w:pPr>
      <w:r>
        <w:rPr>
          <w:i/>
          <w:color w:val="505050"/>
        </w:rPr>
        <w:t>Controlling who can perform which actions on which Google Cloud resources</w:t>
      </w:r>
    </w:p>
    <w:p>
      <w:pPr>
        <w:pStyle w:val="Heading2"/>
        <w:keepNext/>
      </w:pPr>
      <w:r>
        <w:t>Learning Objectives</w:t>
      </w:r>
    </w:p>
    <w:p>
      <w:pPr>
        <w:pStyle w:val="ListBullet"/>
        <w:spacing w:after="60"/>
      </w:pPr>
      <w:r>
        <w:t>Differentiate authentication, authorization, principals, roles, and policies.</w:t>
      </w:r>
    </w:p>
    <w:p>
      <w:pPr>
        <w:pStyle w:val="ListBullet"/>
        <w:spacing w:after="60"/>
      </w:pPr>
      <w:r>
        <w:t>Use basic, predefined, and custom roles appropriately.</w:t>
      </w:r>
    </w:p>
    <w:p>
      <w:pPr>
        <w:pStyle w:val="ListBullet"/>
        <w:spacing w:after="60"/>
      </w:pPr>
      <w:r>
        <w:t>Explain IAM inheritance and policy evaluation.</w:t>
      </w:r>
    </w:p>
    <w:p>
      <w:pPr>
        <w:pStyle w:val="ListBullet"/>
        <w:spacing w:after="60"/>
      </w:pPr>
      <w:r>
        <w:t>Apply least privilege through groups and resource scope.</w:t>
      </w:r>
    </w:p>
    <w:p>
      <w:pPr>
        <w:pStyle w:val="Heading2"/>
        <w:keepNext/>
      </w:pPr>
      <w:r>
        <w:t>5.1 Principals and Authentication</w:t>
      </w:r>
    </w:p>
    <w:p>
      <w:pPr>
        <w:spacing w:after="120"/>
      </w:pPr>
      <w:r>
        <w:rPr>
          <w:i w:val="0"/>
        </w:rPr>
        <w:t>A principal is an identity that can be granted access. Common principals include Google Accounts, groups, service accounts, workforce identities, and workload identities. Authentication proves identity; IAM authorization determines what the authenticated principal can do on a resource.</w:t>
      </w:r>
    </w:p>
    <w:p>
      <w:pPr>
        <w:pStyle w:val="Heading2"/>
        <w:keepNext/>
      </w:pPr>
      <w:r>
        <w:t>5.2 Roles and Permissions</w:t>
      </w:r>
    </w:p>
    <w:p>
      <w:pPr>
        <w:spacing w:after="120"/>
      </w:pPr>
      <w:r>
        <w:rPr>
          <w:i w:val="0"/>
        </w:rPr>
        <w:t>Permissions are fine-grained actions such as reading an instance or creating a network. Roles bundle permissions. Basic roles such as Owner, Editor, and Viewer are broad and should be avoided for routine production access. Predefined roles are service-oriented and maintained by Google. Custom roles can narrow access but require lifecycle management.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A73E8"/>
            <w:tcMar>
              <w:top w:w="80" w:type="dxa"/>
              <w:start w:w="100" w:type="dxa"/>
              <w:bottom w:w="80" w:type="dxa"/>
              <w:end w:w="100" w:type="dxa"/>
            </w:tcMar>
            <w:vAlign w:val="center"/>
          </w:tcPr>
          <w:p>
            <w:pPr>
              <w:jc w:val="center"/>
            </w:pPr>
            <w:r>
              <w:rPr>
                <w:b/>
                <w:color w:val="FFFFFF"/>
                <w:sz w:val="17"/>
              </w:rPr>
              <w:t>Role Type</w:t>
            </w:r>
          </w:p>
        </w:tc>
        <w:tc>
          <w:tcPr>
            <w:tcW w:type="dxa" w:w="3600"/>
            <w:shd w:fill="1A73E8"/>
            <w:tcMar>
              <w:top w:w="80" w:type="dxa"/>
              <w:start w:w="100" w:type="dxa"/>
              <w:bottom w:w="80" w:type="dxa"/>
              <w:end w:w="100" w:type="dxa"/>
            </w:tcMar>
            <w:vAlign w:val="center"/>
          </w:tcPr>
          <w:p>
            <w:pPr>
              <w:jc w:val="center"/>
            </w:pPr>
            <w:r>
              <w:rPr>
                <w:b/>
                <w:color w:val="FFFFFF"/>
                <w:sz w:val="17"/>
              </w:rPr>
              <w:t>Use</w:t>
            </w:r>
          </w:p>
        </w:tc>
        <w:tc>
          <w:tcPr>
            <w:tcW w:type="dxa" w:w="4320"/>
            <w:shd w:fill="1A73E8"/>
            <w:tcMar>
              <w:top w:w="80" w:type="dxa"/>
              <w:start w:w="100" w:type="dxa"/>
              <w:bottom w:w="80" w:type="dxa"/>
              <w:end w:w="100" w:type="dxa"/>
            </w:tcMar>
            <w:vAlign w:val="center"/>
          </w:tcPr>
          <w:p>
            <w:pPr>
              <w:jc w:val="center"/>
            </w:pPr>
            <w:r>
              <w:rPr>
                <w:b/>
                <w:color w:val="FFFFFF"/>
                <w:sz w:val="17"/>
              </w:rPr>
              <w:t>Caution</w:t>
            </w:r>
          </w:p>
        </w:tc>
      </w:tr>
      <w:tr>
        <w:trPr>
          <w:cantSplit/>
        </w:trPr>
        <w:tc>
          <w:tcPr>
            <w:tcW w:type="dxa" w:w="2016"/>
            <w:tcMar>
              <w:top w:w="80" w:type="dxa"/>
              <w:start w:w="100" w:type="dxa"/>
              <w:bottom w:w="80" w:type="dxa"/>
              <w:end w:w="100" w:type="dxa"/>
            </w:tcMar>
            <w:vAlign w:val="top"/>
          </w:tcPr>
          <w:p>
            <w:pPr>
              <w:spacing w:after="0"/>
            </w:pPr>
            <w:r>
              <w:rPr>
                <w:sz w:val="16"/>
              </w:rPr>
              <w:t>Basic</w:t>
            </w:r>
          </w:p>
        </w:tc>
        <w:tc>
          <w:tcPr>
            <w:tcW w:type="dxa" w:w="3600"/>
            <w:tcMar>
              <w:top w:w="80" w:type="dxa"/>
              <w:start w:w="100" w:type="dxa"/>
              <w:bottom w:w="80" w:type="dxa"/>
              <w:end w:w="100" w:type="dxa"/>
            </w:tcMar>
            <w:vAlign w:val="top"/>
          </w:tcPr>
          <w:p>
            <w:pPr>
              <w:spacing w:after="0"/>
            </w:pPr>
            <w:r>
              <w:rPr>
                <w:sz w:val="16"/>
              </w:rPr>
              <w:t>Legacy/simple broad access</w:t>
            </w:r>
          </w:p>
        </w:tc>
        <w:tc>
          <w:tcPr>
            <w:tcW w:type="dxa" w:w="4320"/>
            <w:tcMar>
              <w:top w:w="80" w:type="dxa"/>
              <w:start w:w="100" w:type="dxa"/>
              <w:bottom w:w="80" w:type="dxa"/>
              <w:end w:w="100" w:type="dxa"/>
            </w:tcMar>
            <w:vAlign w:val="top"/>
          </w:tcPr>
          <w:p>
            <w:pPr>
              <w:spacing w:after="0"/>
            </w:pPr>
            <w:r>
              <w:rPr>
                <w:sz w:val="16"/>
              </w:rPr>
              <w:t>Too broad for most production duties.</w:t>
            </w:r>
          </w:p>
        </w:tc>
      </w:tr>
      <w:tr>
        <w:trPr>
          <w:cantSplit/>
        </w:trPr>
        <w:tc>
          <w:tcPr>
            <w:tcW w:type="dxa" w:w="2016"/>
            <w:tcMar>
              <w:top w:w="80" w:type="dxa"/>
              <w:start w:w="100" w:type="dxa"/>
              <w:bottom w:w="80" w:type="dxa"/>
              <w:end w:w="100" w:type="dxa"/>
            </w:tcMar>
            <w:vAlign w:val="top"/>
          </w:tcPr>
          <w:p>
            <w:pPr>
              <w:spacing w:after="0"/>
            </w:pPr>
            <w:r>
              <w:rPr>
                <w:sz w:val="16"/>
              </w:rPr>
              <w:t>Predefined</w:t>
            </w:r>
          </w:p>
        </w:tc>
        <w:tc>
          <w:tcPr>
            <w:tcW w:type="dxa" w:w="3600"/>
            <w:tcMar>
              <w:top w:w="80" w:type="dxa"/>
              <w:start w:w="100" w:type="dxa"/>
              <w:bottom w:w="80" w:type="dxa"/>
              <w:end w:w="100" w:type="dxa"/>
            </w:tcMar>
            <w:vAlign w:val="top"/>
          </w:tcPr>
          <w:p>
            <w:pPr>
              <w:spacing w:after="0"/>
            </w:pPr>
            <w:r>
              <w:rPr>
                <w:sz w:val="16"/>
              </w:rPr>
              <w:t>Common job or service access</w:t>
            </w:r>
          </w:p>
        </w:tc>
        <w:tc>
          <w:tcPr>
            <w:tcW w:type="dxa" w:w="4320"/>
            <w:tcMar>
              <w:top w:w="80" w:type="dxa"/>
              <w:start w:w="100" w:type="dxa"/>
              <w:bottom w:w="80" w:type="dxa"/>
              <w:end w:w="100" w:type="dxa"/>
            </w:tcMar>
            <w:vAlign w:val="top"/>
          </w:tcPr>
          <w:p>
            <w:pPr>
              <w:spacing w:after="0"/>
            </w:pPr>
            <w:r>
              <w:rPr>
                <w:sz w:val="16"/>
              </w:rPr>
              <w:t>May still include more than one task needs.</w:t>
            </w:r>
          </w:p>
        </w:tc>
      </w:tr>
      <w:tr>
        <w:trPr>
          <w:cantSplit/>
        </w:trPr>
        <w:tc>
          <w:tcPr>
            <w:tcW w:type="dxa" w:w="2016"/>
            <w:tcMar>
              <w:top w:w="80" w:type="dxa"/>
              <w:start w:w="100" w:type="dxa"/>
              <w:bottom w:w="80" w:type="dxa"/>
              <w:end w:w="100" w:type="dxa"/>
            </w:tcMar>
            <w:vAlign w:val="top"/>
          </w:tcPr>
          <w:p>
            <w:pPr>
              <w:spacing w:after="0"/>
            </w:pPr>
            <w:r>
              <w:rPr>
                <w:sz w:val="16"/>
              </w:rPr>
              <w:t>Custom</w:t>
            </w:r>
          </w:p>
        </w:tc>
        <w:tc>
          <w:tcPr>
            <w:tcW w:type="dxa" w:w="3600"/>
            <w:tcMar>
              <w:top w:w="80" w:type="dxa"/>
              <w:start w:w="100" w:type="dxa"/>
              <w:bottom w:w="80" w:type="dxa"/>
              <w:end w:w="100" w:type="dxa"/>
            </w:tcMar>
            <w:vAlign w:val="top"/>
          </w:tcPr>
          <w:p>
            <w:pPr>
              <w:spacing w:after="0"/>
            </w:pPr>
            <w:r>
              <w:rPr>
                <w:sz w:val="16"/>
              </w:rPr>
              <w:t>Precise enterprise duties</w:t>
            </w:r>
          </w:p>
        </w:tc>
        <w:tc>
          <w:tcPr>
            <w:tcW w:type="dxa" w:w="4320"/>
            <w:tcMar>
              <w:top w:w="80" w:type="dxa"/>
              <w:start w:w="100" w:type="dxa"/>
              <w:bottom w:w="80" w:type="dxa"/>
              <w:end w:w="100" w:type="dxa"/>
            </w:tcMar>
            <w:vAlign w:val="top"/>
          </w:tcPr>
          <w:p>
            <w:pPr>
              <w:spacing w:after="0"/>
            </w:pPr>
            <w:r>
              <w:rPr>
                <w:sz w:val="16"/>
              </w:rPr>
              <w:t>Must track permission changes and support status.</w:t>
            </w:r>
          </w:p>
        </w:tc>
      </w:tr>
    </w:tbl>
    <w:p>
      <w:pPr>
        <w:spacing w:after="20"/>
      </w:pPr>
    </w:p>
    <w:p>
      <w:pPr>
        <w:pStyle w:val="Heading2"/>
        <w:keepNext/>
      </w:pPr>
      <w:r>
        <w:t>5.3 Policies, Inheritance, and Conditions</w:t>
      </w:r>
    </w:p>
    <w:p>
      <w:pPr>
        <w:spacing w:after="120"/>
      </w:pPr>
      <w:r>
        <w:rPr>
          <w:i w:val="0"/>
        </w:rPr>
        <w:t>An IAM allow policy binds principals to roles on a resource. Access granted at an organization or folder can inherit to descendants. IAM Conditions can make bindings context-aware, for example time-bound or resource-name constrained, where supported. Deny policies and principal access boundary policies can impose additional restrictions in advanced governance designs.</w:t>
      </w:r>
    </w:p>
    <w:p>
      <w:pPr>
        <w:pStyle w:val="ListBullet"/>
        <w:spacing w:after="60"/>
      </w:pPr>
      <w:r>
        <w:t>Grant groups rather than individual users for workforce access.</w:t>
      </w:r>
    </w:p>
    <w:p>
      <w:pPr>
        <w:pStyle w:val="ListBullet"/>
        <w:spacing w:after="60"/>
      </w:pPr>
      <w:r>
        <w:t>Grant roles at the lowest sustainable scope.</w:t>
      </w:r>
    </w:p>
    <w:p>
      <w:pPr>
        <w:pStyle w:val="ListBullet"/>
        <w:spacing w:after="60"/>
      </w:pPr>
      <w:r>
        <w:t>Use policy analysis and troubleshooting before adding more roles.</w:t>
      </w:r>
    </w:p>
    <w:p>
      <w:pPr>
        <w:pStyle w:val="ListBullet"/>
        <w:spacing w:after="60"/>
      </w:pPr>
      <w:r>
        <w:t>Review unused permissions and stale memberships regularly.</w:t>
      </w:r>
    </w:p>
    <w:p>
      <w:pPr>
        <w:pStyle w:val="Heading2"/>
        <w:keepNext/>
      </w:pPr>
      <w:r>
        <w:t>5.4 Separation of Duties</w:t>
      </w:r>
    </w:p>
    <w:p>
      <w:pPr>
        <w:spacing w:after="120"/>
      </w:pPr>
      <w:r>
        <w:rPr>
          <w:i w:val="0"/>
        </w:rPr>
        <w:t>Enterprise access separates identity administration, organization administration, network administration, security monitoring, billing, project ownership, and workload deployment. Privilege should be requestable, reviewable, time-bound where possible, and auditable. Emergency access must be protected and tested without becoming a daily shortcut.</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User receives access denied despite project role</w:t>
            </w:r>
          </w:p>
        </w:tc>
        <w:tc>
          <w:tcPr>
            <w:tcW w:type="dxa" w:w="2592"/>
            <w:tcMar>
              <w:top w:w="80" w:type="dxa"/>
              <w:start w:w="100" w:type="dxa"/>
              <w:bottom w:w="80" w:type="dxa"/>
              <w:end w:w="100" w:type="dxa"/>
            </w:tcMar>
            <w:vAlign w:val="top"/>
          </w:tcPr>
          <w:p>
            <w:pPr>
              <w:spacing w:after="0"/>
            </w:pPr>
            <w:r>
              <w:rPr>
                <w:sz w:val="16"/>
              </w:rPr>
              <w:t>Required permission is on another resource or blocked upstream</w:t>
            </w:r>
          </w:p>
        </w:tc>
        <w:tc>
          <w:tcPr>
            <w:tcW w:type="dxa" w:w="5328"/>
            <w:tcMar>
              <w:top w:w="80" w:type="dxa"/>
              <w:start w:w="100" w:type="dxa"/>
              <w:bottom w:w="80" w:type="dxa"/>
              <w:end w:w="100" w:type="dxa"/>
            </w:tcMar>
            <w:vAlign w:val="top"/>
          </w:tcPr>
          <w:p>
            <w:pPr>
              <w:spacing w:after="0"/>
            </w:pPr>
            <w:r>
              <w:rPr>
                <w:sz w:val="16"/>
              </w:rPr>
              <w:t>Identify the exact permission and resource; inspect inherited allow/deny and organization policy.</w:t>
            </w:r>
          </w:p>
        </w:tc>
      </w:tr>
      <w:tr>
        <w:trPr>
          <w:cantSplit/>
        </w:trPr>
        <w:tc>
          <w:tcPr>
            <w:tcW w:type="dxa" w:w="2160"/>
            <w:tcMar>
              <w:top w:w="80" w:type="dxa"/>
              <w:start w:w="100" w:type="dxa"/>
              <w:bottom w:w="80" w:type="dxa"/>
              <w:end w:w="100" w:type="dxa"/>
            </w:tcMar>
            <w:vAlign w:val="top"/>
          </w:tcPr>
          <w:p>
            <w:pPr>
              <w:spacing w:after="0"/>
            </w:pPr>
            <w:r>
              <w:rPr>
                <w:sz w:val="16"/>
              </w:rPr>
              <w:t>User has excessive access</w:t>
            </w:r>
          </w:p>
        </w:tc>
        <w:tc>
          <w:tcPr>
            <w:tcW w:type="dxa" w:w="2592"/>
            <w:tcMar>
              <w:top w:w="80" w:type="dxa"/>
              <w:start w:w="100" w:type="dxa"/>
              <w:bottom w:w="80" w:type="dxa"/>
              <w:end w:w="100" w:type="dxa"/>
            </w:tcMar>
            <w:vAlign w:val="top"/>
          </w:tcPr>
          <w:p>
            <w:pPr>
              <w:spacing w:after="0"/>
            </w:pPr>
            <w:r>
              <w:rPr>
                <w:sz w:val="16"/>
              </w:rPr>
              <w:t>Broad role inherited from folder or organization</w:t>
            </w:r>
          </w:p>
        </w:tc>
        <w:tc>
          <w:tcPr>
            <w:tcW w:type="dxa" w:w="5328"/>
            <w:tcMar>
              <w:top w:w="80" w:type="dxa"/>
              <w:start w:w="100" w:type="dxa"/>
              <w:bottom w:w="80" w:type="dxa"/>
              <w:end w:w="100" w:type="dxa"/>
            </w:tcMar>
            <w:vAlign w:val="top"/>
          </w:tcPr>
          <w:p>
            <w:pPr>
              <w:spacing w:after="0"/>
            </w:pPr>
            <w:r>
              <w:rPr>
                <w:sz w:val="16"/>
              </w:rPr>
              <w:t>Remove upstream basic role and replace it with group-based predefined/custom roles.</w:t>
            </w:r>
          </w:p>
        </w:tc>
      </w:tr>
      <w:tr>
        <w:trPr>
          <w:cantSplit/>
        </w:trPr>
        <w:tc>
          <w:tcPr>
            <w:tcW w:type="dxa" w:w="2160"/>
            <w:tcMar>
              <w:top w:w="80" w:type="dxa"/>
              <w:start w:w="100" w:type="dxa"/>
              <w:bottom w:w="80" w:type="dxa"/>
              <w:end w:w="100" w:type="dxa"/>
            </w:tcMar>
            <w:vAlign w:val="top"/>
          </w:tcPr>
          <w:p>
            <w:pPr>
              <w:spacing w:after="0"/>
            </w:pPr>
            <w:r>
              <w:rPr>
                <w:sz w:val="16"/>
              </w:rPr>
              <w:t>New custom role cannot include permission</w:t>
            </w:r>
          </w:p>
        </w:tc>
        <w:tc>
          <w:tcPr>
            <w:tcW w:type="dxa" w:w="2592"/>
            <w:tcMar>
              <w:top w:w="80" w:type="dxa"/>
              <w:start w:w="100" w:type="dxa"/>
              <w:bottom w:w="80" w:type="dxa"/>
              <w:end w:w="100" w:type="dxa"/>
            </w:tcMar>
            <w:vAlign w:val="top"/>
          </w:tcPr>
          <w:p>
            <w:pPr>
              <w:spacing w:after="0"/>
            </w:pPr>
            <w:r>
              <w:rPr>
                <w:sz w:val="16"/>
              </w:rPr>
              <w:t>Permission not supported in custom roles or wrong stage</w:t>
            </w:r>
          </w:p>
        </w:tc>
        <w:tc>
          <w:tcPr>
            <w:tcW w:type="dxa" w:w="5328"/>
            <w:tcMar>
              <w:top w:w="80" w:type="dxa"/>
              <w:start w:w="100" w:type="dxa"/>
              <w:bottom w:w="80" w:type="dxa"/>
              <w:end w:w="100" w:type="dxa"/>
            </w:tcMar>
            <w:vAlign w:val="top"/>
          </w:tcPr>
          <w:p>
            <w:pPr>
              <w:spacing w:after="0"/>
            </w:pPr>
            <w:r>
              <w:rPr>
                <w:sz w:val="16"/>
              </w:rPr>
              <w:t>Check permission support level and use an appropriate predefined role or redesign the duty.</w:t>
            </w:r>
          </w:p>
        </w:tc>
      </w:tr>
    </w:tbl>
    <w:p>
      <w:pPr>
        <w:spacing w:after="20"/>
      </w:pPr>
    </w:p>
    <w:p>
      <w:pPr>
        <w:pStyle w:val="Heading2"/>
        <w:keepNext/>
      </w:pPr>
      <w:r>
        <w:t>Hands-on Lab 5: Build a Least-Privilege IAM Model</w:t>
      </w:r>
    </w:p>
    <w:p>
      <w:pPr>
        <w:pStyle w:val="Heading3"/>
        <w:keepNext/>
      </w:pPr>
      <w:r>
        <w:t>Prerequisites</w:t>
      </w:r>
    </w:p>
    <w:p>
      <w:pPr>
        <w:pStyle w:val="ListBullet"/>
        <w:spacing w:after="60"/>
      </w:pPr>
      <w:r>
        <w:t>A learning project and two test identities or groups if available.</w:t>
      </w:r>
    </w:p>
    <w:p>
      <w:pPr>
        <w:pStyle w:val="Heading3"/>
        <w:keepNext/>
      </w:pPr>
      <w:r>
        <w:t>Implementation</w:t>
      </w:r>
    </w:p>
    <w:p>
      <w:pPr>
        <w:spacing w:after="60"/>
        <w:ind w:left="360" w:hanging="259"/>
      </w:pPr>
      <w:r>
        <w:rPr>
          <w:b/>
        </w:rPr>
        <w:t xml:space="preserve">1. </w:t>
      </w:r>
      <w:r>
        <w:t>List the current project IAM policy and identify broad roles.</w:t>
      </w:r>
    </w:p>
    <w:p>
      <w:pPr>
        <w:spacing w:after="60"/>
        <w:ind w:left="360" w:hanging="259"/>
      </w:pPr>
      <w:r>
        <w:rPr>
          <w:b/>
        </w:rPr>
        <w:t xml:space="preserve">2. </w:t>
      </w:r>
      <w:r>
        <w:t>Define Developer Viewer, Compute Operator, Network Administrator, Security Reviewer, and Billing Viewer duties.</w:t>
      </w:r>
    </w:p>
    <w:p>
      <w:pPr>
        <w:spacing w:after="60"/>
        <w:ind w:left="360" w:hanging="259"/>
      </w:pPr>
      <w:r>
        <w:rPr>
          <w:b/>
        </w:rPr>
        <w:t xml:space="preserve">3. </w:t>
      </w:r>
      <w:r>
        <w:t>Map each duty to predefined roles at the narrowest resource scope.</w:t>
      </w:r>
    </w:p>
    <w:p>
      <w:pPr>
        <w:spacing w:after="60"/>
        <w:ind w:left="360" w:hanging="259"/>
      </w:pPr>
      <w:r>
        <w:rPr>
          <w:b/>
        </w:rPr>
        <w:t xml:space="preserve">4. </w:t>
      </w:r>
      <w:r>
        <w:t>Grant one temporary test binding with an expiry condition if supported.</w:t>
      </w:r>
    </w:p>
    <w:p>
      <w:pPr>
        <w:spacing w:after="60"/>
        <w:ind w:left="360" w:hanging="259"/>
      </w:pPr>
      <w:r>
        <w:rPr>
          <w:b/>
        </w:rPr>
        <w:t xml:space="preserve">5. </w:t>
      </w:r>
      <w:r>
        <w:t>Use Policy Troubleshooter or a controlled test to validate allowed and denied actions.</w:t>
      </w:r>
    </w:p>
    <w:p>
      <w:pPr>
        <w:spacing w:after="60"/>
        <w:ind w:left="360" w:hanging="259"/>
      </w:pPr>
      <w:r>
        <w:rPr>
          <w:b/>
        </w:rPr>
        <w:t xml:space="preserve">6. </w:t>
      </w:r>
      <w:r>
        <w:t>Remove the temporary binding and capture audit evidence.</w:t>
      </w:r>
    </w:p>
    <w:p>
      <w:pPr>
        <w:pStyle w:val="Heading3"/>
        <w:keepNext/>
      </w:pPr>
      <w:r>
        <w:t>Validation Evidence</w:t>
      </w:r>
    </w:p>
    <w:p>
      <w:pPr>
        <w:pStyle w:val="ListBullet"/>
        <w:spacing w:after="60"/>
      </w:pPr>
      <w:r>
        <w:t>The test identity can perform only the intended read or operation.</w:t>
      </w:r>
    </w:p>
    <w:p>
      <w:pPr>
        <w:pStyle w:val="ListBullet"/>
        <w:spacing w:after="60"/>
      </w:pPr>
      <w:r>
        <w:t>An unauthorized action is denied.</w:t>
      </w:r>
    </w:p>
    <w:p>
      <w:pPr>
        <w:pStyle w:val="ListBullet"/>
        <w:spacing w:after="60"/>
      </w:pPr>
      <w:r>
        <w:t>No Owner or Editor role is introduced.</w:t>
      </w:r>
    </w:p>
    <w:p>
      <w:pPr>
        <w:pStyle w:val="ListBullet"/>
        <w:spacing w:after="60"/>
      </w:pPr>
      <w:r>
        <w:t>The change and removal are visible in audit evidence.</w:t>
      </w:r>
    </w:p>
    <w:p>
      <w:pPr>
        <w:pStyle w:val="Heading3"/>
        <w:keepNext/>
      </w:pPr>
      <w:r>
        <w:t>Cleanup</w:t>
      </w:r>
    </w:p>
    <w:p>
      <w:pPr>
        <w:pStyle w:val="ListBullet"/>
        <w:spacing w:after="60"/>
      </w:pPr>
      <w:r>
        <w:t>Remove all test bindings and memberships.</w:t>
      </w:r>
    </w:p>
    <w:p>
      <w:pPr>
        <w:pStyle w:val="ListBullet"/>
        <w:spacing w:after="60"/>
      </w:pPr>
      <w:r>
        <w:t>Retain the permission matrix and evidence.</w:t>
      </w:r>
    </w:p>
    <w:p>
      <w:pPr>
        <w:pStyle w:val="Heading2"/>
        <w:keepNext/>
      </w:pPr>
      <w:r>
        <w:t>Interview Questions and Model Answers</w:t>
      </w:r>
    </w:p>
    <w:p>
      <w:pPr>
        <w:spacing w:after="40"/>
      </w:pPr>
      <w:r>
        <w:rPr>
          <w:b/>
        </w:rPr>
        <w:t>1. What is the difference between a permission and a role?</w:t>
      </w:r>
    </w:p>
    <w:p>
      <w:pPr>
        <w:spacing w:after="120"/>
        <w:ind w:left="216"/>
      </w:pPr>
      <w:r>
        <w:t>A permission represents an action; a role is a named collection of permissions that can be granted.</w:t>
      </w:r>
    </w:p>
    <w:p>
      <w:pPr>
        <w:spacing w:after="40"/>
      </w:pPr>
      <w:r>
        <w:rPr>
          <w:b/>
        </w:rPr>
        <w:t>2. Why avoid basic roles?</w:t>
      </w:r>
    </w:p>
    <w:p>
      <w:pPr>
        <w:spacing w:after="120"/>
        <w:ind w:left="216"/>
      </w:pPr>
      <w:r>
        <w:t>Owner, Editor, and Viewer are broad and frequently violate least privilege and separation of duties.</w:t>
      </w:r>
    </w:p>
    <w:p>
      <w:pPr>
        <w:spacing w:after="40"/>
      </w:pPr>
      <w:r>
        <w:rPr>
          <w:b/>
        </w:rPr>
        <w:t>3. How does IAM inheritance work?</w:t>
      </w:r>
    </w:p>
    <w:p>
      <w:pPr>
        <w:spacing w:after="120"/>
        <w:ind w:left="216"/>
      </w:pPr>
      <w:r>
        <w:t>Allow policies granted on higher hierarchy nodes can apply to descendant resources.</w:t>
      </w:r>
    </w:p>
    <w:p>
      <w:pPr>
        <w:spacing w:after="40"/>
      </w:pPr>
      <w:r>
        <w:rPr>
          <w:b/>
        </w:rPr>
        <w:t>4. Why use groups?</w:t>
      </w:r>
    </w:p>
    <w:p>
      <w:pPr>
        <w:spacing w:after="120"/>
        <w:ind w:left="216"/>
      </w:pPr>
      <w:r>
        <w:t>Groups centralize workforce membership and make access review and offboarding more reliable.</w:t>
      </w:r>
    </w:p>
    <w:p>
      <w:pPr>
        <w:pStyle w:val="Heading2"/>
        <w:keepNext/>
      </w:pPr>
      <w:r>
        <w:t>Chapter Summary</w:t>
      </w:r>
    </w:p>
    <w:p>
      <w:pPr>
        <w:pStyle w:val="ListBullet"/>
        <w:spacing w:after="60"/>
      </w:pPr>
      <w:r>
        <w:t>IAM answers who can do what on which resource.</w:t>
      </w:r>
    </w:p>
    <w:p>
      <w:pPr>
        <w:pStyle w:val="ListBullet"/>
        <w:spacing w:after="60"/>
      </w:pPr>
      <w:r>
        <w:t>Predefined roles are generally preferable to basic roles.</w:t>
      </w:r>
    </w:p>
    <w:p>
      <w:pPr>
        <w:pStyle w:val="ListBullet"/>
        <w:spacing w:after="60"/>
      </w:pPr>
      <w:r>
        <w:t>Scope and inheritance are as important as role selection.</w:t>
      </w:r>
    </w:p>
    <w:p>
      <w:pPr>
        <w:pStyle w:val="ListBullet"/>
        <w:spacing w:after="60"/>
      </w:pPr>
      <w:r>
        <w:t>Access must be group-based, auditable, and periodically reviewed.</w:t>
      </w:r>
    </w:p>
    <w:p>
      <w:pPr>
        <w:pStyle w:val="Heading1"/>
        <w:keepNext/>
        <w:pageBreakBefore/>
      </w:pPr>
      <w:r>
        <w:t>Chapter 6 - Service Accounts, Workload Identity Federation, and Privileged Access</w:t>
      </w:r>
    </w:p>
    <w:p>
      <w:pPr>
        <w:spacing w:after="120"/>
      </w:pPr>
      <w:r>
        <w:rPr>
          <w:i/>
          <w:color w:val="505050"/>
        </w:rPr>
        <w:t>Securing workload identities with short-lived credentials and controlled impersonation</w:t>
      </w:r>
    </w:p>
    <w:p>
      <w:pPr>
        <w:pStyle w:val="Heading2"/>
        <w:keepNext/>
      </w:pPr>
      <w:r>
        <w:t>Learning Objectives</w:t>
      </w:r>
    </w:p>
    <w:p>
      <w:pPr>
        <w:pStyle w:val="ListBullet"/>
        <w:spacing w:after="60"/>
      </w:pPr>
      <w:r>
        <w:t>Explain service accounts as workload identities.</w:t>
      </w:r>
    </w:p>
    <w:p>
      <w:pPr>
        <w:pStyle w:val="ListBullet"/>
        <w:spacing w:after="60"/>
      </w:pPr>
      <w:r>
        <w:t>Avoid service account keys through attached identities and federation.</w:t>
      </w:r>
    </w:p>
    <w:p>
      <w:pPr>
        <w:pStyle w:val="ListBullet"/>
        <w:spacing w:after="60"/>
      </w:pPr>
      <w:r>
        <w:t>Use service account impersonation and short-lived tokens.</w:t>
      </w:r>
    </w:p>
    <w:p>
      <w:pPr>
        <w:pStyle w:val="ListBullet"/>
        <w:spacing w:after="60"/>
      </w:pPr>
      <w:r>
        <w:t>Design privileged and emergency access with separation of duties.</w:t>
      </w:r>
    </w:p>
    <w:p>
      <w:pPr>
        <w:pStyle w:val="Heading2"/>
        <w:keepNext/>
      </w:pPr>
      <w:r>
        <w:t>6.1 Service Accounts</w:t>
      </w:r>
    </w:p>
    <w:p>
      <w:pPr>
        <w:spacing w:after="120"/>
      </w:pPr>
      <w:r>
        <w:rPr>
          <w:i w:val="0"/>
        </w:rPr>
        <w:t>A service account is a Google Cloud identity intended for workloads and automation, not a shared human login. A service account can be attached to supported compute resources or impersonated by authorized principals. Its permissions come from IAM roles granted to the service account principal.</w:t>
      </w:r>
    </w:p>
    <w:p>
      <w:pPr>
        <w:pStyle w:val="ListBullet"/>
        <w:spacing w:after="60"/>
      </w:pPr>
      <w:r>
        <w:t>Create a dedicated service account per application or trust boundary.</w:t>
      </w:r>
    </w:p>
    <w:p>
      <w:pPr>
        <w:pStyle w:val="ListBullet"/>
        <w:spacing w:after="60"/>
      </w:pPr>
      <w:r>
        <w:t>Avoid default service accounts and broad automatic grants.</w:t>
      </w:r>
    </w:p>
    <w:p>
      <w:pPr>
        <w:pStyle w:val="ListBullet"/>
        <w:spacing w:after="60"/>
      </w:pPr>
      <w:r>
        <w:t>Grant the service account only the resource roles it requires.</w:t>
      </w:r>
    </w:p>
    <w:p>
      <w:pPr>
        <w:pStyle w:val="ListBullet"/>
        <w:spacing w:after="60"/>
      </w:pPr>
      <w:r>
        <w:t>Restrict who can act as or create tokens for the service account.</w:t>
      </w:r>
    </w:p>
    <w:p>
      <w:pPr>
        <w:pStyle w:val="Heading2"/>
        <w:keepNext/>
      </w:pPr>
      <w:r>
        <w:t>6.2 Why Keys Are Dangerous</w:t>
      </w:r>
    </w:p>
    <w:p>
      <w:pPr>
        <w:spacing w:after="120"/>
      </w:pPr>
      <w:r>
        <w:rPr>
          <w:i w:val="0"/>
        </w:rPr>
        <w:t>A service account key is a long-lived credential that can be copied outside Google Cloud and is difficult to inventory once exported. Prefer attached service accounts for Google Cloud workloads, Workload Identity Federation for external workloads and CI/CD, and service account impersonation for administrators and automation.</w:t>
      </w:r>
    </w:p>
    <w:p>
      <w:pPr>
        <w:pStyle w:val="Heading2"/>
        <w:keepNext/>
      </w:pPr>
      <w:r>
        <w:t>6.3 Workload Identity Federation</w:t>
      </w:r>
    </w:p>
    <w:p>
      <w:pPr>
        <w:spacing w:after="120"/>
      </w:pPr>
      <w:r>
        <w:rPr>
          <w:i w:val="0"/>
        </w:rPr>
        <w:t>Workload Identity Federation exchanges an identity from an external provider for short-lived Google Cloud credentials, eliminating the need to distribute service account keys. Providers can include external clouds, deployment pipelines, Kubernetes clusters, and standards-based identity systems. Trust configuration must restrict issuer, audience, subject, attributes, and allowed service accounts.</w:t>
      </w:r>
    </w:p>
    <w:p>
      <w:pPr>
        <w:pStyle w:val="CodeBlock"/>
        <w:keepLines/>
        <w:spacing w:after="120"/>
      </w:pPr>
      <w:r>
        <w:rPr>
          <w:rFonts w:ascii="Cascadia Mono" w:hAnsi="Cascadia Mono"/>
          <w:sz w:val="16"/>
        </w:rPr>
        <w:t>External identity provider</w:t>
        <w:br/>
        <w:t xml:space="preserve">        ↓ signed assertion</w:t>
        <w:br/>
        <w:t>Workload Identity Pool / Provider</w:t>
        <w:br/>
        <w:t xml:space="preserve">        ↓ Security Token Service</w:t>
        <w:br/>
        <w:t>Short-lived federated credential</w:t>
        <w:br/>
        <w:t xml:space="preserve">        ↓ optional impersonation</w:t>
        <w:br/>
        <w:t>Dedicated Google Cloud service account</w:t>
      </w:r>
    </w:p>
    <w:p>
      <w:pPr>
        <w:pStyle w:val="Heading2"/>
        <w:keepNext/>
      </w:pPr>
      <w:r>
        <w:t>6.4 Privileged and Break-Glass Access</w:t>
      </w:r>
    </w:p>
    <w:p>
      <w:pPr>
        <w:spacing w:after="120"/>
      </w:pPr>
      <w:r>
        <w:rPr>
          <w:i w:val="0"/>
        </w:rPr>
        <w:t>Privileged access should be separate from daily access, time-limited where possible, protected by strong authentication, approved, logged, and reviewed. Service account impersonation lets a user obtain short-lived credentials without downloading a key. Emergency accounts require tested procedures, protected credentials, alerting, and post-use review.</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Pipeline authentication fails</w:t>
            </w:r>
          </w:p>
        </w:tc>
        <w:tc>
          <w:tcPr>
            <w:tcW w:type="dxa" w:w="2592"/>
            <w:tcMar>
              <w:top w:w="80" w:type="dxa"/>
              <w:start w:w="100" w:type="dxa"/>
              <w:bottom w:w="80" w:type="dxa"/>
              <w:end w:w="100" w:type="dxa"/>
            </w:tcMar>
            <w:vAlign w:val="top"/>
          </w:tcPr>
          <w:p>
            <w:pPr>
              <w:spacing w:after="0"/>
            </w:pPr>
            <w:r>
              <w:rPr>
                <w:sz w:val="16"/>
              </w:rPr>
              <w:t>Issuer, audience, subject mapping, attribute condition, or IAM binding mismatch</w:t>
            </w:r>
          </w:p>
        </w:tc>
        <w:tc>
          <w:tcPr>
            <w:tcW w:type="dxa" w:w="5328"/>
            <w:tcMar>
              <w:top w:w="80" w:type="dxa"/>
              <w:start w:w="100" w:type="dxa"/>
              <w:bottom w:w="80" w:type="dxa"/>
              <w:end w:w="100" w:type="dxa"/>
            </w:tcMar>
            <w:vAlign w:val="top"/>
          </w:tcPr>
          <w:p>
            <w:pPr>
              <w:spacing w:after="0"/>
            </w:pPr>
            <w:r>
              <w:rPr>
                <w:sz w:val="16"/>
              </w:rPr>
              <w:t>Inspect provider configuration and token claims; validate principalSet and service-account token-creator bindings.</w:t>
            </w:r>
          </w:p>
        </w:tc>
      </w:tr>
      <w:tr>
        <w:trPr>
          <w:cantSplit/>
        </w:trPr>
        <w:tc>
          <w:tcPr>
            <w:tcW w:type="dxa" w:w="2160"/>
            <w:tcMar>
              <w:top w:w="80" w:type="dxa"/>
              <w:start w:w="100" w:type="dxa"/>
              <w:bottom w:w="80" w:type="dxa"/>
              <w:end w:w="100" w:type="dxa"/>
            </w:tcMar>
            <w:vAlign w:val="top"/>
          </w:tcPr>
          <w:p>
            <w:pPr>
              <w:spacing w:after="0"/>
            </w:pPr>
            <w:r>
              <w:rPr>
                <w:sz w:val="16"/>
              </w:rPr>
              <w:t>Workload can impersonate powerful service account</w:t>
            </w:r>
          </w:p>
        </w:tc>
        <w:tc>
          <w:tcPr>
            <w:tcW w:type="dxa" w:w="2592"/>
            <w:tcMar>
              <w:top w:w="80" w:type="dxa"/>
              <w:start w:w="100" w:type="dxa"/>
              <w:bottom w:w="80" w:type="dxa"/>
              <w:end w:w="100" w:type="dxa"/>
            </w:tcMar>
            <w:vAlign w:val="top"/>
          </w:tcPr>
          <w:p>
            <w:pPr>
              <w:spacing w:after="0"/>
            </w:pPr>
            <w:r>
              <w:rPr>
                <w:sz w:val="16"/>
              </w:rPr>
              <w:t>Overbroad Service Account User or Token Creator grant</w:t>
            </w:r>
          </w:p>
        </w:tc>
        <w:tc>
          <w:tcPr>
            <w:tcW w:type="dxa" w:w="5328"/>
            <w:tcMar>
              <w:top w:w="80" w:type="dxa"/>
              <w:start w:w="100" w:type="dxa"/>
              <w:bottom w:w="80" w:type="dxa"/>
              <w:end w:w="100" w:type="dxa"/>
            </w:tcMar>
            <w:vAlign w:val="top"/>
          </w:tcPr>
          <w:p>
            <w:pPr>
              <w:spacing w:after="0"/>
            </w:pPr>
            <w:r>
              <w:rPr>
                <w:sz w:val="16"/>
              </w:rPr>
              <w:t>Narrow the principal and service account; separate deployment and runtime identities.</w:t>
            </w:r>
          </w:p>
        </w:tc>
      </w:tr>
      <w:tr>
        <w:trPr>
          <w:cantSplit/>
        </w:trPr>
        <w:tc>
          <w:tcPr>
            <w:tcW w:type="dxa" w:w="2160"/>
            <w:tcMar>
              <w:top w:w="80" w:type="dxa"/>
              <w:start w:w="100" w:type="dxa"/>
              <w:bottom w:w="80" w:type="dxa"/>
              <w:end w:w="100" w:type="dxa"/>
            </w:tcMar>
            <w:vAlign w:val="top"/>
          </w:tcPr>
          <w:p>
            <w:pPr>
              <w:spacing w:after="0"/>
            </w:pPr>
            <w:r>
              <w:rPr>
                <w:sz w:val="16"/>
              </w:rPr>
              <w:t>Unknown key found in repository</w:t>
            </w:r>
          </w:p>
        </w:tc>
        <w:tc>
          <w:tcPr>
            <w:tcW w:type="dxa" w:w="2592"/>
            <w:tcMar>
              <w:top w:w="80" w:type="dxa"/>
              <w:start w:w="100" w:type="dxa"/>
              <w:bottom w:w="80" w:type="dxa"/>
              <w:end w:w="100" w:type="dxa"/>
            </w:tcMar>
            <w:vAlign w:val="top"/>
          </w:tcPr>
          <w:p>
            <w:pPr>
              <w:spacing w:after="0"/>
            </w:pPr>
            <w:r>
              <w:rPr>
                <w:sz w:val="16"/>
              </w:rPr>
              <w:t>Long-lived service account key leaked</w:t>
            </w:r>
          </w:p>
        </w:tc>
        <w:tc>
          <w:tcPr>
            <w:tcW w:type="dxa" w:w="5328"/>
            <w:tcMar>
              <w:top w:w="80" w:type="dxa"/>
              <w:start w:w="100" w:type="dxa"/>
              <w:bottom w:w="80" w:type="dxa"/>
              <w:end w:w="100" w:type="dxa"/>
            </w:tcMar>
            <w:vAlign w:val="top"/>
          </w:tcPr>
          <w:p>
            <w:pPr>
              <w:spacing w:after="0"/>
            </w:pPr>
            <w:r>
              <w:rPr>
                <w:sz w:val="16"/>
              </w:rPr>
              <w:t>Disable/delete key, rotate affected access, inspect audit logs, remove secret from history, implement federation.</w:t>
            </w:r>
          </w:p>
        </w:tc>
      </w:tr>
    </w:tbl>
    <w:p>
      <w:pPr>
        <w:spacing w:after="20"/>
      </w:pPr>
    </w:p>
    <w:p>
      <w:pPr>
        <w:pStyle w:val="Heading2"/>
        <w:keepNext/>
      </w:pPr>
      <w:r>
        <w:t>Hands-on Lab 6: Replace a Static Key Design with Federation</w:t>
      </w:r>
    </w:p>
    <w:p>
      <w:pPr>
        <w:pStyle w:val="Heading3"/>
        <w:keepNext/>
      </w:pPr>
      <w:r>
        <w:t>Prerequisites</w:t>
      </w:r>
    </w:p>
    <w:p>
      <w:pPr>
        <w:pStyle w:val="ListBullet"/>
        <w:spacing w:after="60"/>
      </w:pPr>
      <w:r>
        <w:t>A synthetic CI/CD scenario; actual external provider setup is optional.</w:t>
      </w:r>
    </w:p>
    <w:p>
      <w:pPr>
        <w:pStyle w:val="Heading3"/>
        <w:keepNext/>
      </w:pPr>
      <w:r>
        <w:t>Implementation</w:t>
      </w:r>
    </w:p>
    <w:p>
      <w:pPr>
        <w:spacing w:after="60"/>
        <w:ind w:left="360" w:hanging="259"/>
      </w:pPr>
      <w:r>
        <w:rPr>
          <w:b/>
        </w:rPr>
        <w:t xml:space="preserve">1. </w:t>
      </w:r>
      <w:r>
        <w:t>Identify where a traditional pipeline would store a service account key.</w:t>
      </w:r>
    </w:p>
    <w:p>
      <w:pPr>
        <w:spacing w:after="60"/>
        <w:ind w:left="360" w:hanging="259"/>
      </w:pPr>
      <w:r>
        <w:rPr>
          <w:b/>
        </w:rPr>
        <w:t xml:space="preserve">2. </w:t>
      </w:r>
      <w:r>
        <w:t>Define a dedicated deployment service account and its minimum roles.</w:t>
      </w:r>
    </w:p>
    <w:p>
      <w:pPr>
        <w:spacing w:after="60"/>
        <w:ind w:left="360" w:hanging="259"/>
      </w:pPr>
      <w:r>
        <w:rPr>
          <w:b/>
        </w:rPr>
        <w:t xml:space="preserve">3. </w:t>
      </w:r>
      <w:r>
        <w:t>Design a workload identity pool and provider with issuer, audience, and repository/branch attributes.</w:t>
      </w:r>
    </w:p>
    <w:p>
      <w:pPr>
        <w:spacing w:after="60"/>
        <w:ind w:left="360" w:hanging="259"/>
      </w:pPr>
      <w:r>
        <w:rPr>
          <w:b/>
        </w:rPr>
        <w:t xml:space="preserve">4. </w:t>
      </w:r>
      <w:r>
        <w:t>Define the principalSet binding allowed to impersonate the deployment service account.</w:t>
      </w:r>
    </w:p>
    <w:p>
      <w:pPr>
        <w:spacing w:after="60"/>
        <w:ind w:left="360" w:hanging="259"/>
      </w:pPr>
      <w:r>
        <w:rPr>
          <w:b/>
        </w:rPr>
        <w:t xml:space="preserve">5. </w:t>
      </w:r>
      <w:r>
        <w:t>Create a threat model covering untrusted branches, forks, token replay, and privilege escalation.</w:t>
      </w:r>
    </w:p>
    <w:p>
      <w:pPr>
        <w:spacing w:after="60"/>
        <w:ind w:left="360" w:hanging="259"/>
      </w:pPr>
      <w:r>
        <w:rPr>
          <w:b/>
        </w:rPr>
        <w:t xml:space="preserve">6. </w:t>
      </w:r>
      <w:r>
        <w:t>Write validation and revocation procedures.</w:t>
      </w:r>
    </w:p>
    <w:p>
      <w:pPr>
        <w:pStyle w:val="Heading3"/>
        <w:keepNext/>
      </w:pPr>
      <w:r>
        <w:t>Validation Evidence</w:t>
      </w:r>
    </w:p>
    <w:p>
      <w:pPr>
        <w:pStyle w:val="ListBullet"/>
        <w:spacing w:after="60"/>
      </w:pPr>
      <w:r>
        <w:t>No long-lived key is required.</w:t>
      </w:r>
    </w:p>
    <w:p>
      <w:pPr>
        <w:pStyle w:val="ListBullet"/>
        <w:spacing w:after="60"/>
      </w:pPr>
      <w:r>
        <w:t>Only the approved pipeline identity can impersonate the service account.</w:t>
      </w:r>
    </w:p>
    <w:p>
      <w:pPr>
        <w:pStyle w:val="ListBullet"/>
        <w:spacing w:after="60"/>
      </w:pPr>
      <w:r>
        <w:t>Runtime and deployment service accounts are separate.</w:t>
      </w:r>
    </w:p>
    <w:p>
      <w:pPr>
        <w:pStyle w:val="ListBullet"/>
        <w:spacing w:after="60"/>
      </w:pPr>
      <w:r>
        <w:t>Revocation can be performed without searching for distributed key files.</w:t>
      </w:r>
    </w:p>
    <w:p>
      <w:pPr>
        <w:pStyle w:val="Heading3"/>
        <w:keepNext/>
      </w:pPr>
      <w:r>
        <w:t>Cleanup</w:t>
      </w:r>
    </w:p>
    <w:p>
      <w:pPr>
        <w:pStyle w:val="ListBullet"/>
        <w:spacing w:after="60"/>
      </w:pPr>
      <w:r>
        <w:t>If live resources were created, remove the provider, pool, and test IAM bindings.</w:t>
      </w:r>
    </w:p>
    <w:p>
      <w:pPr>
        <w:pStyle w:val="Heading2"/>
        <w:keepNext/>
      </w:pPr>
      <w:r>
        <w:t>Interview Questions and Model Answers</w:t>
      </w:r>
    </w:p>
    <w:p>
      <w:pPr>
        <w:spacing w:after="40"/>
      </w:pPr>
      <w:r>
        <w:rPr>
          <w:b/>
        </w:rPr>
        <w:t>1. What is a service account?</w:t>
      </w:r>
    </w:p>
    <w:p>
      <w:pPr>
        <w:spacing w:after="120"/>
        <w:ind w:left="216"/>
      </w:pPr>
      <w:r>
        <w:t>A Google Cloud identity designed for workloads and automation.</w:t>
      </w:r>
    </w:p>
    <w:p>
      <w:pPr>
        <w:spacing w:after="40"/>
      </w:pPr>
      <w:r>
        <w:rPr>
          <w:b/>
        </w:rPr>
        <w:t>2. Why prefer Workload Identity Federation?</w:t>
      </w:r>
    </w:p>
    <w:p>
      <w:pPr>
        <w:spacing w:after="120"/>
        <w:ind w:left="216"/>
      </w:pPr>
      <w:r>
        <w:t>It uses short-lived credentials and avoids distributing long-lived service account keys.</w:t>
      </w:r>
    </w:p>
    <w:p>
      <w:pPr>
        <w:spacing w:after="40"/>
      </w:pPr>
      <w:r>
        <w:rPr>
          <w:b/>
        </w:rPr>
        <w:t>3. What is service account impersonation?</w:t>
      </w:r>
    </w:p>
    <w:p>
      <w:pPr>
        <w:spacing w:after="120"/>
        <w:ind w:left="216"/>
      </w:pPr>
      <w:r>
        <w:t>An authorized principal obtains temporary credentials to act as a service account without possessing its key.</w:t>
      </w:r>
    </w:p>
    <w:p>
      <w:pPr>
        <w:spacing w:after="40"/>
      </w:pPr>
      <w:r>
        <w:rPr>
          <w:b/>
        </w:rPr>
        <w:t>4. What is a common privilege-escalation risk?</w:t>
      </w:r>
    </w:p>
    <w:p>
      <w:pPr>
        <w:spacing w:after="120"/>
        <w:ind w:left="216"/>
      </w:pPr>
      <w:r>
        <w:t>Granting broad ability to attach or impersonate a more privileged service account.</w:t>
      </w:r>
    </w:p>
    <w:p>
      <w:pPr>
        <w:pStyle w:val="Heading2"/>
        <w:keepNext/>
      </w:pPr>
      <w:r>
        <w:t>Chapter Summary</w:t>
      </w:r>
    </w:p>
    <w:p>
      <w:pPr>
        <w:pStyle w:val="ListBullet"/>
        <w:spacing w:after="60"/>
      </w:pPr>
      <w:r>
        <w:t>Service accounts are workload identities, not shared users.</w:t>
      </w:r>
    </w:p>
    <w:p>
      <w:pPr>
        <w:pStyle w:val="ListBullet"/>
        <w:spacing w:after="60"/>
      </w:pPr>
      <w:r>
        <w:t>Long-lived keys should be exceptional.</w:t>
      </w:r>
    </w:p>
    <w:p>
      <w:pPr>
        <w:pStyle w:val="ListBullet"/>
        <w:spacing w:after="60"/>
      </w:pPr>
      <w:r>
        <w:t>Federation and impersonation provide short-lived access.</w:t>
      </w:r>
    </w:p>
    <w:p>
      <w:pPr>
        <w:pStyle w:val="ListBullet"/>
        <w:spacing w:after="60"/>
      </w:pPr>
      <w:r>
        <w:t>Privileged access needs approval, logging, revocation, and review.</w:t>
      </w:r>
    </w:p>
    <w:p>
      <w:pPr>
        <w:pStyle w:val="Heading1"/>
        <w:keepNext/>
        <w:pageBreakBefore/>
      </w:pPr>
      <w:r>
        <w:t>Chapter 7 - Resource Governance: Organization Policy, Tags, Labels, Quotas, and APIs</w:t>
      </w:r>
    </w:p>
    <w:p>
      <w:pPr>
        <w:spacing w:after="120"/>
      </w:pPr>
      <w:r>
        <w:rPr>
          <w:i/>
          <w:color w:val="505050"/>
        </w:rPr>
        <w:t>Applying preventive controls, metadata, service limits, and lifecycle standards at scale</w:t>
      </w:r>
    </w:p>
    <w:p>
      <w:pPr>
        <w:pStyle w:val="Heading2"/>
        <w:keepNext/>
      </w:pPr>
      <w:r>
        <w:t>Learning Objectives</w:t>
      </w:r>
    </w:p>
    <w:p>
      <w:pPr>
        <w:pStyle w:val="ListBullet"/>
        <w:spacing w:after="60"/>
      </w:pPr>
      <w:r>
        <w:t>Differentiate organization policies, IAM, tags, labels, and quotas.</w:t>
      </w:r>
    </w:p>
    <w:p>
      <w:pPr>
        <w:pStyle w:val="ListBullet"/>
        <w:spacing w:after="60"/>
      </w:pPr>
      <w:r>
        <w:t>Use organization policies to constrain risky configurations.</w:t>
      </w:r>
    </w:p>
    <w:p>
      <w:pPr>
        <w:pStyle w:val="ListBullet"/>
        <w:spacing w:after="60"/>
      </w:pPr>
      <w:r>
        <w:t>Apply metadata for ownership, automation, and cost reporting.</w:t>
      </w:r>
    </w:p>
    <w:p>
      <w:pPr>
        <w:pStyle w:val="ListBullet"/>
        <w:spacing w:after="60"/>
      </w:pPr>
      <w:r>
        <w:t>Treat APIs and quotas as production dependencies.</w:t>
      </w:r>
    </w:p>
    <w:p>
      <w:pPr>
        <w:pStyle w:val="Heading2"/>
        <w:keepNext/>
      </w:pPr>
      <w:r>
        <w:t>7.1 Organization Policy</w:t>
      </w:r>
    </w:p>
    <w:p>
      <w:pPr>
        <w:spacing w:after="120"/>
      </w:pPr>
      <w:r>
        <w:rPr>
          <w:i w:val="0"/>
        </w:rPr>
        <w:t>IAM grants authorization to principals; Organization Policy constrains how resources may be configured. Constraints can restrict external IP use, allowed locations, domain sharing, service account key creation, and other behaviors. Policies inherit through the hierarchy and should be staged to avoid widespread disruption.</w:t>
      </w:r>
    </w:p>
    <w:p>
      <w:pPr>
        <w:pStyle w:val="ListBullet"/>
        <w:spacing w:after="60"/>
      </w:pPr>
      <w:r>
        <w:t>Evaluate existing resources before enforcement.</w:t>
      </w:r>
    </w:p>
    <w:p>
      <w:pPr>
        <w:pStyle w:val="ListBullet"/>
        <w:spacing w:after="60"/>
      </w:pPr>
      <w:r>
        <w:t>Use dry-run or simulation capabilities where available.</w:t>
      </w:r>
    </w:p>
    <w:p>
      <w:pPr>
        <w:pStyle w:val="ListBullet"/>
        <w:spacing w:after="60"/>
      </w:pPr>
      <w:r>
        <w:t>Pilot in a lower folder or nonproduction project.</w:t>
      </w:r>
    </w:p>
    <w:p>
      <w:pPr>
        <w:pStyle w:val="ListBullet"/>
        <w:spacing w:after="60"/>
      </w:pPr>
      <w:r>
        <w:t>Document exemptions, owners, expiry, and compensating controls.</w:t>
      </w:r>
    </w:p>
    <w:p>
      <w:pPr>
        <w:pStyle w:val="Heading2"/>
        <w:keepNext/>
      </w:pPr>
      <w:r>
        <w:t>7.2 Tags and Labels</w:t>
      </w:r>
    </w:p>
    <w:p>
      <w:pPr>
        <w:spacing w:after="120"/>
      </w:pPr>
      <w:r>
        <w:rPr>
          <w:i w:val="0"/>
        </w:rPr>
        <w:t>Labels are key-value metadata used by many resources for organization, filtering, automation, and cost reporting. Resource Manager tags are hierarchical key-value metadata that can participate in policy and IAM conditions for supported services. Standardize names such as owner, environment, cost-center, data-classification, application, and expiry.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Metadata</w:t>
            </w:r>
          </w:p>
        </w:tc>
        <w:tc>
          <w:tcPr>
            <w:tcW w:type="dxa" w:w="3744"/>
            <w:shd w:fill="1A73E8"/>
            <w:tcMar>
              <w:top w:w="80" w:type="dxa"/>
              <w:start w:w="100" w:type="dxa"/>
              <w:bottom w:w="80" w:type="dxa"/>
              <w:end w:w="100" w:type="dxa"/>
            </w:tcMar>
            <w:vAlign w:val="center"/>
          </w:tcPr>
          <w:p>
            <w:pPr>
              <w:jc w:val="center"/>
            </w:pPr>
            <w:r>
              <w:rPr>
                <w:b/>
                <w:color w:val="FFFFFF"/>
                <w:sz w:val="17"/>
              </w:rPr>
              <w:t>Scope/Behavior</w:t>
            </w:r>
          </w:p>
        </w:tc>
        <w:tc>
          <w:tcPr>
            <w:tcW w:type="dxa" w:w="4032"/>
            <w:shd w:fill="1A73E8"/>
            <w:tcMar>
              <w:top w:w="80" w:type="dxa"/>
              <w:start w:w="100" w:type="dxa"/>
              <w:bottom w:w="80" w:type="dxa"/>
              <w:end w:w="100" w:type="dxa"/>
            </w:tcMar>
            <w:vAlign w:val="center"/>
          </w:tcPr>
          <w:p>
            <w:pPr>
              <w:jc w:val="center"/>
            </w:pPr>
            <w:r>
              <w:rPr>
                <w:b/>
                <w:color w:val="FFFFFF"/>
                <w:sz w:val="17"/>
              </w:rPr>
              <w:t>Common Use</w:t>
            </w:r>
          </w:p>
        </w:tc>
      </w:tr>
      <w:tr>
        <w:trPr>
          <w:cantSplit/>
        </w:trPr>
        <w:tc>
          <w:tcPr>
            <w:tcW w:type="dxa" w:w="2160"/>
            <w:tcMar>
              <w:top w:w="80" w:type="dxa"/>
              <w:start w:w="100" w:type="dxa"/>
              <w:bottom w:w="80" w:type="dxa"/>
              <w:end w:w="100" w:type="dxa"/>
            </w:tcMar>
            <w:vAlign w:val="top"/>
          </w:tcPr>
          <w:p>
            <w:pPr>
              <w:spacing w:after="0"/>
            </w:pPr>
            <w:r>
              <w:rPr>
                <w:sz w:val="16"/>
              </w:rPr>
              <w:t>Labels</w:t>
            </w:r>
          </w:p>
        </w:tc>
        <w:tc>
          <w:tcPr>
            <w:tcW w:type="dxa" w:w="3744"/>
            <w:tcMar>
              <w:top w:w="80" w:type="dxa"/>
              <w:start w:w="100" w:type="dxa"/>
              <w:bottom w:w="80" w:type="dxa"/>
              <w:end w:w="100" w:type="dxa"/>
            </w:tcMar>
            <w:vAlign w:val="top"/>
          </w:tcPr>
          <w:p>
            <w:pPr>
              <w:spacing w:after="0"/>
            </w:pPr>
            <w:r>
              <w:rPr>
                <w:sz w:val="16"/>
              </w:rPr>
              <w:t>Resource metadata; service support varies</w:t>
            </w:r>
          </w:p>
        </w:tc>
        <w:tc>
          <w:tcPr>
            <w:tcW w:type="dxa" w:w="4032"/>
            <w:tcMar>
              <w:top w:w="80" w:type="dxa"/>
              <w:start w:w="100" w:type="dxa"/>
              <w:bottom w:w="80" w:type="dxa"/>
              <w:end w:w="100" w:type="dxa"/>
            </w:tcMar>
            <w:vAlign w:val="top"/>
          </w:tcPr>
          <w:p>
            <w:pPr>
              <w:spacing w:after="0"/>
            </w:pPr>
            <w:r>
              <w:rPr>
                <w:sz w:val="16"/>
              </w:rPr>
              <w:t>Cost allocation, inventory, automation, filtering.</w:t>
            </w:r>
          </w:p>
        </w:tc>
      </w:tr>
      <w:tr>
        <w:trPr>
          <w:cantSplit/>
        </w:trPr>
        <w:tc>
          <w:tcPr>
            <w:tcW w:type="dxa" w:w="2160"/>
            <w:tcMar>
              <w:top w:w="80" w:type="dxa"/>
              <w:start w:w="100" w:type="dxa"/>
              <w:bottom w:w="80" w:type="dxa"/>
              <w:end w:w="100" w:type="dxa"/>
            </w:tcMar>
            <w:vAlign w:val="top"/>
          </w:tcPr>
          <w:p>
            <w:pPr>
              <w:spacing w:after="0"/>
            </w:pPr>
            <w:r>
              <w:rPr>
                <w:sz w:val="16"/>
              </w:rPr>
              <w:t>Resource Manager tags</w:t>
            </w:r>
          </w:p>
        </w:tc>
        <w:tc>
          <w:tcPr>
            <w:tcW w:type="dxa" w:w="3744"/>
            <w:tcMar>
              <w:top w:w="80" w:type="dxa"/>
              <w:start w:w="100" w:type="dxa"/>
              <w:bottom w:w="80" w:type="dxa"/>
              <w:end w:w="100" w:type="dxa"/>
            </w:tcMar>
            <w:vAlign w:val="top"/>
          </w:tcPr>
          <w:p>
            <w:pPr>
              <w:spacing w:after="0"/>
            </w:pPr>
            <w:r>
              <w:rPr>
                <w:sz w:val="16"/>
              </w:rPr>
              <w:t>Hierarchical tag keys/values with bindings</w:t>
            </w:r>
          </w:p>
        </w:tc>
        <w:tc>
          <w:tcPr>
            <w:tcW w:type="dxa" w:w="4032"/>
            <w:tcMar>
              <w:top w:w="80" w:type="dxa"/>
              <w:start w:w="100" w:type="dxa"/>
              <w:bottom w:w="80" w:type="dxa"/>
              <w:end w:w="100" w:type="dxa"/>
            </w:tcMar>
            <w:vAlign w:val="top"/>
          </w:tcPr>
          <w:p>
            <w:pPr>
              <w:spacing w:after="0"/>
            </w:pPr>
            <w:r>
              <w:rPr>
                <w:sz w:val="16"/>
              </w:rPr>
              <w:t>Policy conditions, governance, standardized enterprise classification.</w:t>
            </w:r>
          </w:p>
        </w:tc>
      </w:tr>
      <w:tr>
        <w:trPr>
          <w:cantSplit/>
        </w:trPr>
        <w:tc>
          <w:tcPr>
            <w:tcW w:type="dxa" w:w="2160"/>
            <w:tcMar>
              <w:top w:w="80" w:type="dxa"/>
              <w:start w:w="100" w:type="dxa"/>
              <w:bottom w:w="80" w:type="dxa"/>
              <w:end w:w="100" w:type="dxa"/>
            </w:tcMar>
            <w:vAlign w:val="top"/>
          </w:tcPr>
          <w:p>
            <w:pPr>
              <w:spacing w:after="0"/>
            </w:pPr>
            <w:r>
              <w:rPr>
                <w:sz w:val="16"/>
              </w:rPr>
              <w:t>Network tags</w:t>
            </w:r>
          </w:p>
        </w:tc>
        <w:tc>
          <w:tcPr>
            <w:tcW w:type="dxa" w:w="3744"/>
            <w:tcMar>
              <w:top w:w="80" w:type="dxa"/>
              <w:start w:w="100" w:type="dxa"/>
              <w:bottom w:w="80" w:type="dxa"/>
              <w:end w:w="100" w:type="dxa"/>
            </w:tcMar>
            <w:vAlign w:val="top"/>
          </w:tcPr>
          <w:p>
            <w:pPr>
              <w:spacing w:after="0"/>
            </w:pPr>
            <w:r>
              <w:rPr>
                <w:sz w:val="16"/>
              </w:rPr>
              <w:t>Compute networking selector concept</w:t>
            </w:r>
          </w:p>
        </w:tc>
        <w:tc>
          <w:tcPr>
            <w:tcW w:type="dxa" w:w="4032"/>
            <w:tcMar>
              <w:top w:w="80" w:type="dxa"/>
              <w:start w:w="100" w:type="dxa"/>
              <w:bottom w:w="80" w:type="dxa"/>
              <w:end w:w="100" w:type="dxa"/>
            </w:tcMar>
            <w:vAlign w:val="top"/>
          </w:tcPr>
          <w:p>
            <w:pPr>
              <w:spacing w:after="0"/>
            </w:pPr>
            <w:r>
              <w:rPr>
                <w:sz w:val="16"/>
              </w:rPr>
              <w:t>Firewall target selection; not a general governance label.</w:t>
            </w:r>
          </w:p>
        </w:tc>
      </w:tr>
    </w:tbl>
    <w:p>
      <w:pPr>
        <w:spacing w:after="20"/>
      </w:pPr>
    </w:p>
    <w:p>
      <w:pPr>
        <w:pStyle w:val="Heading2"/>
        <w:keepNext/>
      </w:pPr>
      <w:r>
        <w:t>7.3 Quotas and Limits</w:t>
      </w:r>
    </w:p>
    <w:p>
      <w:pPr>
        <w:spacing w:after="120"/>
      </w:pPr>
      <w:r>
        <w:rPr>
          <w:i w:val="0"/>
        </w:rPr>
        <w:t>Quotas protect shared capacity and control consumption. They can be global, regional, or metric-specific. Architecture and disaster recovery must include quota planning because a design can be correct yet undeployable. Monitor utilization and request increases before load tests or migrations.</w:t>
      </w:r>
    </w:p>
    <w:p>
      <w:pPr>
        <w:pStyle w:val="Heading2"/>
        <w:keepNext/>
      </w:pPr>
      <w:r>
        <w:t>7.4 APIs, Asset Inventory, and Lifecycle</w:t>
      </w:r>
    </w:p>
    <w:p>
      <w:pPr>
        <w:spacing w:after="120"/>
      </w:pPr>
      <w:r>
        <w:rPr>
          <w:i w:val="0"/>
        </w:rPr>
        <w:t>Enabled APIs, service agents, projects, labels, policies, and quotas should be managed as code or through standardized project-factory workflows. Cloud Asset Inventory and Resource Manager provide visibility for governance and investigations. Project deletion and API disablement require dependency analysis and approved retention.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Resource creation blocked unexpectedly</w:t>
            </w:r>
          </w:p>
        </w:tc>
        <w:tc>
          <w:tcPr>
            <w:tcW w:type="dxa" w:w="2592"/>
            <w:tcMar>
              <w:top w:w="80" w:type="dxa"/>
              <w:start w:w="100" w:type="dxa"/>
              <w:bottom w:w="80" w:type="dxa"/>
              <w:end w:w="100" w:type="dxa"/>
            </w:tcMar>
            <w:vAlign w:val="top"/>
          </w:tcPr>
          <w:p>
            <w:pPr>
              <w:spacing w:after="0"/>
            </w:pPr>
            <w:r>
              <w:rPr>
                <w:sz w:val="16"/>
              </w:rPr>
              <w:t>Inherited organization policy or missing allowed value</w:t>
            </w:r>
          </w:p>
        </w:tc>
        <w:tc>
          <w:tcPr>
            <w:tcW w:type="dxa" w:w="5328"/>
            <w:tcMar>
              <w:top w:w="80" w:type="dxa"/>
              <w:start w:w="100" w:type="dxa"/>
              <w:bottom w:w="80" w:type="dxa"/>
              <w:end w:w="100" w:type="dxa"/>
            </w:tcMar>
            <w:vAlign w:val="top"/>
          </w:tcPr>
          <w:p>
            <w:pPr>
              <w:spacing w:after="0"/>
            </w:pPr>
            <w:r>
              <w:rPr>
                <w:sz w:val="16"/>
              </w:rPr>
              <w:t>Inspect effective policy at organization, folder, and project; validate constraint and exception.</w:t>
            </w:r>
          </w:p>
        </w:tc>
      </w:tr>
      <w:tr>
        <w:trPr>
          <w:cantSplit/>
        </w:trPr>
        <w:tc>
          <w:tcPr>
            <w:tcW w:type="dxa" w:w="2160"/>
            <w:tcMar>
              <w:top w:w="80" w:type="dxa"/>
              <w:start w:w="100" w:type="dxa"/>
              <w:bottom w:w="80" w:type="dxa"/>
              <w:end w:w="100" w:type="dxa"/>
            </w:tcMar>
            <w:vAlign w:val="top"/>
          </w:tcPr>
          <w:p>
            <w:pPr>
              <w:spacing w:after="0"/>
            </w:pPr>
            <w:r>
              <w:rPr>
                <w:sz w:val="16"/>
              </w:rPr>
              <w:t>Cost allocation incomplete</w:t>
            </w:r>
          </w:p>
        </w:tc>
        <w:tc>
          <w:tcPr>
            <w:tcW w:type="dxa" w:w="2592"/>
            <w:tcMar>
              <w:top w:w="80" w:type="dxa"/>
              <w:start w:w="100" w:type="dxa"/>
              <w:bottom w:w="80" w:type="dxa"/>
              <w:end w:w="100" w:type="dxa"/>
            </w:tcMar>
            <w:vAlign w:val="top"/>
          </w:tcPr>
          <w:p>
            <w:pPr>
              <w:spacing w:after="0"/>
            </w:pPr>
            <w:r>
              <w:rPr>
                <w:sz w:val="16"/>
              </w:rPr>
              <w:t>Missing or inconsistent labels</w:t>
            </w:r>
          </w:p>
        </w:tc>
        <w:tc>
          <w:tcPr>
            <w:tcW w:type="dxa" w:w="5328"/>
            <w:tcMar>
              <w:top w:w="80" w:type="dxa"/>
              <w:start w:w="100" w:type="dxa"/>
              <w:bottom w:w="80" w:type="dxa"/>
              <w:end w:w="100" w:type="dxa"/>
            </w:tcMar>
            <w:vAlign w:val="top"/>
          </w:tcPr>
          <w:p>
            <w:pPr>
              <w:spacing w:after="0"/>
            </w:pPr>
            <w:r>
              <w:rPr>
                <w:sz w:val="16"/>
              </w:rPr>
              <w:t>Enforce metadata in project factory/IaC and report unlabeled spend.</w:t>
            </w:r>
          </w:p>
        </w:tc>
      </w:tr>
      <w:tr>
        <w:trPr>
          <w:cantSplit/>
        </w:trPr>
        <w:tc>
          <w:tcPr>
            <w:tcW w:type="dxa" w:w="2160"/>
            <w:tcMar>
              <w:top w:w="80" w:type="dxa"/>
              <w:start w:w="100" w:type="dxa"/>
              <w:bottom w:w="80" w:type="dxa"/>
              <w:end w:w="100" w:type="dxa"/>
            </w:tcMar>
            <w:vAlign w:val="top"/>
          </w:tcPr>
          <w:p>
            <w:pPr>
              <w:spacing w:after="0"/>
            </w:pPr>
            <w:r>
              <w:rPr>
                <w:sz w:val="16"/>
              </w:rPr>
              <w:t>Deployment fails with quota exceeded</w:t>
            </w:r>
          </w:p>
        </w:tc>
        <w:tc>
          <w:tcPr>
            <w:tcW w:type="dxa" w:w="2592"/>
            <w:tcMar>
              <w:top w:w="80" w:type="dxa"/>
              <w:start w:w="100" w:type="dxa"/>
              <w:bottom w:w="80" w:type="dxa"/>
              <w:end w:w="100" w:type="dxa"/>
            </w:tcMar>
            <w:vAlign w:val="top"/>
          </w:tcPr>
          <w:p>
            <w:pPr>
              <w:spacing w:after="0"/>
            </w:pPr>
            <w:r>
              <w:rPr>
                <w:sz w:val="16"/>
              </w:rPr>
              <w:t>Regional or service quota exhausted</w:t>
            </w:r>
          </w:p>
        </w:tc>
        <w:tc>
          <w:tcPr>
            <w:tcW w:type="dxa" w:w="5328"/>
            <w:tcMar>
              <w:top w:w="80" w:type="dxa"/>
              <w:start w:w="100" w:type="dxa"/>
              <w:bottom w:w="80" w:type="dxa"/>
              <w:end w:w="100" w:type="dxa"/>
            </w:tcMar>
            <w:vAlign w:val="top"/>
          </w:tcPr>
          <w:p>
            <w:pPr>
              <w:spacing w:after="0"/>
            </w:pPr>
            <w:r>
              <w:rPr>
                <w:sz w:val="16"/>
              </w:rPr>
              <w:t>Inspect quota metric and region, reduce demand or request increase before deployment.</w:t>
            </w:r>
          </w:p>
        </w:tc>
      </w:tr>
    </w:tbl>
    <w:p>
      <w:pPr>
        <w:spacing w:after="20"/>
      </w:pPr>
    </w:p>
    <w:p>
      <w:pPr>
        <w:pStyle w:val="Heading2"/>
        <w:keepNext/>
      </w:pPr>
      <w:r>
        <w:t>Hands-on Lab 7: Create a Governance Baseline</w:t>
      </w:r>
    </w:p>
    <w:p>
      <w:pPr>
        <w:pStyle w:val="Heading3"/>
        <w:keepNext/>
      </w:pPr>
      <w:r>
        <w:t>Prerequisites</w:t>
      </w:r>
    </w:p>
    <w:p>
      <w:pPr>
        <w:pStyle w:val="ListBullet"/>
        <w:spacing w:after="60"/>
      </w:pPr>
      <w:r>
        <w:t>A learning project; organization-level permissions are optional.</w:t>
      </w:r>
    </w:p>
    <w:p>
      <w:pPr>
        <w:pStyle w:val="Heading3"/>
        <w:keepNext/>
      </w:pPr>
      <w:r>
        <w:t>Implementation</w:t>
      </w:r>
    </w:p>
    <w:p>
      <w:pPr>
        <w:spacing w:after="60"/>
        <w:ind w:left="360" w:hanging="259"/>
      </w:pPr>
      <w:r>
        <w:rPr>
          <w:b/>
        </w:rPr>
        <w:t xml:space="preserve">1. </w:t>
      </w:r>
      <w:r>
        <w:t>Define required labels and Resource Manager tags for owner, environment, cost center, and data class.</w:t>
      </w:r>
    </w:p>
    <w:p>
      <w:pPr>
        <w:spacing w:after="60"/>
        <w:ind w:left="360" w:hanging="259"/>
      </w:pPr>
      <w:r>
        <w:rPr>
          <w:b/>
        </w:rPr>
        <w:t xml:space="preserve">2. </w:t>
      </w:r>
      <w:r>
        <w:t>Inventory enabled APIs and document why each is required.</w:t>
      </w:r>
    </w:p>
    <w:p>
      <w:pPr>
        <w:spacing w:after="60"/>
        <w:ind w:left="360" w:hanging="259"/>
      </w:pPr>
      <w:r>
        <w:rPr>
          <w:b/>
        </w:rPr>
        <w:t xml:space="preserve">3. </w:t>
      </w:r>
      <w:r>
        <w:t>Review Compute Engine and project quotas for the selected region.</w:t>
      </w:r>
    </w:p>
    <w:p>
      <w:pPr>
        <w:spacing w:after="60"/>
        <w:ind w:left="360" w:hanging="259"/>
      </w:pPr>
      <w:r>
        <w:rPr>
          <w:b/>
        </w:rPr>
        <w:t xml:space="preserve">4. </w:t>
      </w:r>
      <w:r>
        <w:t>Design three organization policies: restrict key creation, restrict external IPs, and restrict resource locations.</w:t>
      </w:r>
    </w:p>
    <w:p>
      <w:pPr>
        <w:spacing w:after="60"/>
        <w:ind w:left="360" w:hanging="259"/>
      </w:pPr>
      <w:r>
        <w:rPr>
          <w:b/>
        </w:rPr>
        <w:t xml:space="preserve">5. </w:t>
      </w:r>
      <w:r>
        <w:t>Create a staged rollout and exception process.</w:t>
      </w:r>
    </w:p>
    <w:p>
      <w:pPr>
        <w:spacing w:after="60"/>
        <w:ind w:left="360" w:hanging="259"/>
      </w:pPr>
      <w:r>
        <w:rPr>
          <w:b/>
        </w:rPr>
        <w:t xml:space="preserve">6. </w:t>
      </w:r>
      <w:r>
        <w:t>Build a project-readiness checklist that includes IAM, logging, labels, budgets, APIs, and quotas.</w:t>
      </w:r>
    </w:p>
    <w:p>
      <w:pPr>
        <w:pStyle w:val="Heading3"/>
        <w:keepNext/>
      </w:pPr>
      <w:r>
        <w:t>Validation Evidence</w:t>
      </w:r>
    </w:p>
    <w:p>
      <w:pPr>
        <w:pStyle w:val="ListBullet"/>
        <w:spacing w:after="60"/>
      </w:pPr>
      <w:r>
        <w:t>Every proposed control has an owner and rollback.</w:t>
      </w:r>
    </w:p>
    <w:p>
      <w:pPr>
        <w:pStyle w:val="ListBullet"/>
        <w:spacing w:after="60"/>
      </w:pPr>
      <w:r>
        <w:t>Quotas are sufficient for the foundation labs.</w:t>
      </w:r>
    </w:p>
    <w:p>
      <w:pPr>
        <w:pStyle w:val="ListBullet"/>
        <w:spacing w:after="60"/>
      </w:pPr>
      <w:r>
        <w:t>Metadata supports cost and ownership reporting.</w:t>
      </w:r>
    </w:p>
    <w:p>
      <w:pPr>
        <w:pStyle w:val="ListBullet"/>
        <w:spacing w:after="60"/>
      </w:pPr>
      <w:r>
        <w:t>Policies are staged rather than immediately applied at the organization root.</w:t>
      </w:r>
    </w:p>
    <w:p>
      <w:pPr>
        <w:pStyle w:val="Heading3"/>
        <w:keepNext/>
      </w:pPr>
      <w:r>
        <w:t>Cleanup</w:t>
      </w:r>
    </w:p>
    <w:p>
      <w:pPr>
        <w:pStyle w:val="ListBullet"/>
        <w:spacing w:after="60"/>
      </w:pPr>
      <w:r>
        <w:t>Remove any test labels, tags, or project policies created solely for the lab.</w:t>
      </w:r>
    </w:p>
    <w:p>
      <w:pPr>
        <w:pStyle w:val="Heading2"/>
        <w:keepNext/>
      </w:pPr>
      <w:r>
        <w:t>Interview Questions and Model Answers</w:t>
      </w:r>
    </w:p>
    <w:p>
      <w:pPr>
        <w:spacing w:after="40"/>
      </w:pPr>
      <w:r>
        <w:rPr>
          <w:b/>
        </w:rPr>
        <w:t>1. How is Organization Policy different from IAM?</w:t>
      </w:r>
    </w:p>
    <w:p>
      <w:pPr>
        <w:spacing w:after="120"/>
        <w:ind w:left="216"/>
      </w:pPr>
      <w:r>
        <w:t>IAM controls who can act; Organization Policy constrains resource configuration.</w:t>
      </w:r>
    </w:p>
    <w:p>
      <w:pPr>
        <w:spacing w:after="40"/>
      </w:pPr>
      <w:r>
        <w:rPr>
          <w:b/>
        </w:rPr>
        <w:t>2. What is the difference between labels and tags?</w:t>
      </w:r>
    </w:p>
    <w:p>
      <w:pPr>
        <w:spacing w:after="120"/>
        <w:ind w:left="216"/>
      </w:pPr>
      <w:r>
        <w:t>Labels are resource metadata; Resource Manager tags are hierarchical and can support policy or IAM conditions where integrated.</w:t>
      </w:r>
    </w:p>
    <w:p>
      <w:pPr>
        <w:spacing w:after="40"/>
      </w:pPr>
      <w:r>
        <w:rPr>
          <w:b/>
        </w:rPr>
        <w:t>3. Why are quotas an architecture concern?</w:t>
      </w:r>
    </w:p>
    <w:p>
      <w:pPr>
        <w:spacing w:after="120"/>
        <w:ind w:left="216"/>
      </w:pPr>
      <w:r>
        <w:t>Capacity or recovery can fail if required quota is unavailable in the target scope or region.</w:t>
      </w:r>
    </w:p>
    <w:p>
      <w:pPr>
        <w:spacing w:after="40"/>
      </w:pPr>
      <w:r>
        <w:rPr>
          <w:b/>
        </w:rPr>
        <w:t>4. Why manage API enablement?</w:t>
      </w:r>
    </w:p>
    <w:p>
      <w:pPr>
        <w:spacing w:after="120"/>
        <w:ind w:left="216"/>
      </w:pPr>
      <w:r>
        <w:t>Enabled services are dependencies that affect service agents, quota, security, and billing.</w:t>
      </w:r>
    </w:p>
    <w:p>
      <w:pPr>
        <w:pStyle w:val="Heading2"/>
        <w:keepNext/>
      </w:pPr>
      <w:r>
        <w:t>Chapter Summary</w:t>
      </w:r>
    </w:p>
    <w:p>
      <w:pPr>
        <w:pStyle w:val="ListBullet"/>
        <w:spacing w:after="60"/>
      </w:pPr>
      <w:r>
        <w:t>Governance combines preventive policy, metadata, quotas, APIs, and lifecycle.</w:t>
      </w:r>
    </w:p>
    <w:p>
      <w:pPr>
        <w:pStyle w:val="ListBullet"/>
        <w:spacing w:after="60"/>
      </w:pPr>
      <w:r>
        <w:t>Organization policies require staged rollout.</w:t>
      </w:r>
    </w:p>
    <w:p>
      <w:pPr>
        <w:pStyle w:val="ListBullet"/>
        <w:spacing w:after="60"/>
      </w:pPr>
      <w:r>
        <w:t>Labels and tags need enterprise standards.</w:t>
      </w:r>
    </w:p>
    <w:p>
      <w:pPr>
        <w:pStyle w:val="ListBullet"/>
        <w:spacing w:after="60"/>
      </w:pPr>
      <w:r>
        <w:t>Quota and API dependencies must be automated and monitored.</w:t>
      </w:r>
    </w:p>
    <w:p>
      <w:pPr>
        <w:pStyle w:val="Heading1"/>
        <w:keepNext/>
        <w:pageBreakBefore/>
      </w:pPr>
      <w:r>
        <w:t>Chapter 8 - Compute Engine Foundations</w:t>
      </w:r>
    </w:p>
    <w:p>
      <w:pPr>
        <w:spacing w:after="120"/>
      </w:pPr>
      <w:r>
        <w:rPr>
          <w:i/>
          <w:color w:val="505050"/>
        </w:rPr>
        <w:t>Deploying secure, maintainable virtual machines with deliberate identity, storage, and lifecycle choices</w:t>
      </w:r>
    </w:p>
    <w:p>
      <w:pPr>
        <w:pStyle w:val="Heading2"/>
        <w:keepNext/>
      </w:pPr>
      <w:r>
        <w:t>Learning Objectives</w:t>
      </w:r>
    </w:p>
    <w:p>
      <w:pPr>
        <w:pStyle w:val="ListBullet"/>
        <w:spacing w:after="60"/>
      </w:pPr>
      <w:r>
        <w:t>Explain Compute Engine instances, machine series, images, disks, and metadata.</w:t>
      </w:r>
    </w:p>
    <w:p>
      <w:pPr>
        <w:pStyle w:val="ListBullet"/>
        <w:spacing w:after="60"/>
      </w:pPr>
      <w:r>
        <w:t>Create a VM through gcloud with secure defaults.</w:t>
      </w:r>
    </w:p>
    <w:p>
      <w:pPr>
        <w:pStyle w:val="ListBullet"/>
        <w:spacing w:after="60"/>
      </w:pPr>
      <w:r>
        <w:t>Use service accounts, OS Login, Shielded VM, and startup scripts appropriately.</w:t>
      </w:r>
    </w:p>
    <w:p>
      <w:pPr>
        <w:pStyle w:val="ListBullet"/>
        <w:spacing w:after="60"/>
      </w:pPr>
      <w:r>
        <w:t>Operate instance lifecycle, patching, snapshots, and cleanup.</w:t>
      </w:r>
    </w:p>
    <w:p>
      <w:pPr>
        <w:pStyle w:val="Heading2"/>
        <w:keepNext/>
      </w:pPr>
      <w:r>
        <w:t>8.1 Compute Engine Building Blocks</w:t>
      </w:r>
    </w:p>
    <w:p>
      <w:pPr>
        <w:spacing w:after="120"/>
      </w:pPr>
      <w:r>
        <w:rPr>
          <w:i w:val="0"/>
        </w:rPr>
        <w:t>A Compute Engine VM combines a machine type, boot disk image, network interface, service account, metadata, scheduling behavior, and optional attached disks or accelerators. The VM is usually zonal, while supporting resources may be zonal, regional, or global.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Component</w:t>
            </w:r>
          </w:p>
        </w:tc>
        <w:tc>
          <w:tcPr>
            <w:tcW w:type="dxa" w:w="3600"/>
            <w:shd w:fill="1A73E8"/>
            <w:tcMar>
              <w:top w:w="80" w:type="dxa"/>
              <w:start w:w="100" w:type="dxa"/>
              <w:bottom w:w="80" w:type="dxa"/>
              <w:end w:w="100" w:type="dxa"/>
            </w:tcMar>
            <w:vAlign w:val="center"/>
          </w:tcPr>
          <w:p>
            <w:pPr>
              <w:jc w:val="center"/>
            </w:pPr>
            <w:r>
              <w:rPr>
                <w:b/>
                <w:color w:val="FFFFFF"/>
                <w:sz w:val="17"/>
              </w:rPr>
              <w:t>Decision</w:t>
            </w:r>
          </w:p>
        </w:tc>
        <w:tc>
          <w:tcPr>
            <w:tcW w:type="dxa" w:w="4320"/>
            <w:shd w:fill="1A73E8"/>
            <w:tcMar>
              <w:top w:w="80" w:type="dxa"/>
              <w:start w:w="100" w:type="dxa"/>
              <w:bottom w:w="80" w:type="dxa"/>
              <w:end w:w="100" w:type="dxa"/>
            </w:tcMar>
            <w:vAlign w:val="center"/>
          </w:tcPr>
          <w:p>
            <w:pPr>
              <w:jc w:val="center"/>
            </w:pPr>
            <w:r>
              <w:rPr>
                <w:b/>
                <w:color w:val="FFFFFF"/>
                <w:sz w:val="17"/>
              </w:rPr>
              <w:t>Operational Impact</w:t>
            </w:r>
          </w:p>
        </w:tc>
      </w:tr>
      <w:tr>
        <w:trPr>
          <w:cantSplit/>
        </w:trPr>
        <w:tc>
          <w:tcPr>
            <w:tcW w:type="dxa" w:w="2160"/>
            <w:tcMar>
              <w:top w:w="80" w:type="dxa"/>
              <w:start w:w="100" w:type="dxa"/>
              <w:bottom w:w="80" w:type="dxa"/>
              <w:end w:w="100" w:type="dxa"/>
            </w:tcMar>
            <w:vAlign w:val="top"/>
          </w:tcPr>
          <w:p>
            <w:pPr>
              <w:spacing w:after="0"/>
            </w:pPr>
            <w:r>
              <w:rPr>
                <w:sz w:val="16"/>
              </w:rPr>
              <w:t>Machine series/type</w:t>
            </w:r>
          </w:p>
        </w:tc>
        <w:tc>
          <w:tcPr>
            <w:tcW w:type="dxa" w:w="3600"/>
            <w:tcMar>
              <w:top w:w="80" w:type="dxa"/>
              <w:start w:w="100" w:type="dxa"/>
              <w:bottom w:w="80" w:type="dxa"/>
              <w:end w:w="100" w:type="dxa"/>
            </w:tcMar>
            <w:vAlign w:val="top"/>
          </w:tcPr>
          <w:p>
            <w:pPr>
              <w:spacing w:after="0"/>
            </w:pPr>
            <w:r>
              <w:rPr>
                <w:sz w:val="16"/>
              </w:rPr>
              <w:t>CPU, memory, architecture, workload optimization</w:t>
            </w:r>
          </w:p>
        </w:tc>
        <w:tc>
          <w:tcPr>
            <w:tcW w:type="dxa" w:w="4320"/>
            <w:tcMar>
              <w:top w:w="80" w:type="dxa"/>
              <w:start w:w="100" w:type="dxa"/>
              <w:bottom w:w="80" w:type="dxa"/>
              <w:end w:w="100" w:type="dxa"/>
            </w:tcMar>
            <w:vAlign w:val="top"/>
          </w:tcPr>
          <w:p>
            <w:pPr>
              <w:spacing w:after="0"/>
            </w:pPr>
            <w:r>
              <w:rPr>
                <w:sz w:val="16"/>
              </w:rPr>
              <w:t>Performance, quota, cost, live migration support.</w:t>
            </w:r>
          </w:p>
        </w:tc>
      </w:tr>
      <w:tr>
        <w:trPr>
          <w:cantSplit/>
        </w:trPr>
        <w:tc>
          <w:tcPr>
            <w:tcW w:type="dxa" w:w="2160"/>
            <w:tcMar>
              <w:top w:w="80" w:type="dxa"/>
              <w:start w:w="100" w:type="dxa"/>
              <w:bottom w:w="80" w:type="dxa"/>
              <w:end w:w="100" w:type="dxa"/>
            </w:tcMar>
            <w:vAlign w:val="top"/>
          </w:tcPr>
          <w:p>
            <w:pPr>
              <w:spacing w:after="0"/>
            </w:pPr>
            <w:r>
              <w:rPr>
                <w:sz w:val="16"/>
              </w:rPr>
              <w:t>Image/boot disk</w:t>
            </w:r>
          </w:p>
        </w:tc>
        <w:tc>
          <w:tcPr>
            <w:tcW w:type="dxa" w:w="3600"/>
            <w:tcMar>
              <w:top w:w="80" w:type="dxa"/>
              <w:start w:w="100" w:type="dxa"/>
              <w:bottom w:w="80" w:type="dxa"/>
              <w:end w:w="100" w:type="dxa"/>
            </w:tcMar>
            <w:vAlign w:val="top"/>
          </w:tcPr>
          <w:p>
            <w:pPr>
              <w:spacing w:after="0"/>
            </w:pPr>
            <w:r>
              <w:rPr>
                <w:sz w:val="16"/>
              </w:rPr>
              <w:t>OS family, hardened image, disk type and size</w:t>
            </w:r>
          </w:p>
        </w:tc>
        <w:tc>
          <w:tcPr>
            <w:tcW w:type="dxa" w:w="4320"/>
            <w:tcMar>
              <w:top w:w="80" w:type="dxa"/>
              <w:start w:w="100" w:type="dxa"/>
              <w:bottom w:w="80" w:type="dxa"/>
              <w:end w:w="100" w:type="dxa"/>
            </w:tcMar>
            <w:vAlign w:val="top"/>
          </w:tcPr>
          <w:p>
            <w:pPr>
              <w:spacing w:after="0"/>
            </w:pPr>
            <w:r>
              <w:rPr>
                <w:sz w:val="16"/>
              </w:rPr>
              <w:t>Patch baseline, startup time, storage cost, recovery.</w:t>
            </w:r>
          </w:p>
        </w:tc>
      </w:tr>
      <w:tr>
        <w:trPr>
          <w:cantSplit/>
        </w:trPr>
        <w:tc>
          <w:tcPr>
            <w:tcW w:type="dxa" w:w="2160"/>
            <w:tcMar>
              <w:top w:w="80" w:type="dxa"/>
              <w:start w:w="100" w:type="dxa"/>
              <w:bottom w:w="80" w:type="dxa"/>
              <w:end w:w="100" w:type="dxa"/>
            </w:tcMar>
            <w:vAlign w:val="top"/>
          </w:tcPr>
          <w:p>
            <w:pPr>
              <w:spacing w:after="0"/>
            </w:pPr>
            <w:r>
              <w:rPr>
                <w:sz w:val="16"/>
              </w:rPr>
              <w:t>Network interface</w:t>
            </w:r>
          </w:p>
        </w:tc>
        <w:tc>
          <w:tcPr>
            <w:tcW w:type="dxa" w:w="3600"/>
            <w:tcMar>
              <w:top w:w="80" w:type="dxa"/>
              <w:start w:w="100" w:type="dxa"/>
              <w:bottom w:w="80" w:type="dxa"/>
              <w:end w:w="100" w:type="dxa"/>
            </w:tcMar>
            <w:vAlign w:val="top"/>
          </w:tcPr>
          <w:p>
            <w:pPr>
              <w:spacing w:after="0"/>
            </w:pPr>
            <w:r>
              <w:rPr>
                <w:sz w:val="16"/>
              </w:rPr>
              <w:t>VPC, subnet, IP stack, external IP</w:t>
            </w:r>
          </w:p>
        </w:tc>
        <w:tc>
          <w:tcPr>
            <w:tcW w:type="dxa" w:w="4320"/>
            <w:tcMar>
              <w:top w:w="80" w:type="dxa"/>
              <w:start w:w="100" w:type="dxa"/>
              <w:bottom w:w="80" w:type="dxa"/>
              <w:end w:w="100" w:type="dxa"/>
            </w:tcMar>
            <w:vAlign w:val="top"/>
          </w:tcPr>
          <w:p>
            <w:pPr>
              <w:spacing w:after="0"/>
            </w:pPr>
            <w:r>
              <w:rPr>
                <w:sz w:val="16"/>
              </w:rPr>
              <w:t>Reachability, egress, firewall, exposure.</w:t>
            </w:r>
          </w:p>
        </w:tc>
      </w:tr>
      <w:tr>
        <w:trPr>
          <w:cantSplit/>
        </w:trPr>
        <w:tc>
          <w:tcPr>
            <w:tcW w:type="dxa" w:w="2160"/>
            <w:tcMar>
              <w:top w:w="80" w:type="dxa"/>
              <w:start w:w="100" w:type="dxa"/>
              <w:bottom w:w="80" w:type="dxa"/>
              <w:end w:w="100" w:type="dxa"/>
            </w:tcMar>
            <w:vAlign w:val="top"/>
          </w:tcPr>
          <w:p>
            <w:pPr>
              <w:spacing w:after="0"/>
            </w:pPr>
            <w:r>
              <w:rPr>
                <w:sz w:val="16"/>
              </w:rPr>
              <w:t>Service account</w:t>
            </w:r>
          </w:p>
        </w:tc>
        <w:tc>
          <w:tcPr>
            <w:tcW w:type="dxa" w:w="3600"/>
            <w:tcMar>
              <w:top w:w="80" w:type="dxa"/>
              <w:start w:w="100" w:type="dxa"/>
              <w:bottom w:w="80" w:type="dxa"/>
              <w:end w:w="100" w:type="dxa"/>
            </w:tcMar>
            <w:vAlign w:val="top"/>
          </w:tcPr>
          <w:p>
            <w:pPr>
              <w:spacing w:after="0"/>
            </w:pPr>
            <w:r>
              <w:rPr>
                <w:sz w:val="16"/>
              </w:rPr>
              <w:t>Runtime identity and API access</w:t>
            </w:r>
          </w:p>
        </w:tc>
        <w:tc>
          <w:tcPr>
            <w:tcW w:type="dxa" w:w="4320"/>
            <w:tcMar>
              <w:top w:w="80" w:type="dxa"/>
              <w:start w:w="100" w:type="dxa"/>
              <w:bottom w:w="80" w:type="dxa"/>
              <w:end w:w="100" w:type="dxa"/>
            </w:tcMar>
            <w:vAlign w:val="top"/>
          </w:tcPr>
          <w:p>
            <w:pPr>
              <w:spacing w:after="0"/>
            </w:pPr>
            <w:r>
              <w:rPr>
                <w:sz w:val="16"/>
              </w:rPr>
              <w:t>Blast radius and credential-free service access.</w:t>
            </w:r>
          </w:p>
        </w:tc>
      </w:tr>
    </w:tbl>
    <w:p>
      <w:pPr>
        <w:spacing w:after="20"/>
      </w:pPr>
    </w:p>
    <w:p>
      <w:pPr>
        <w:pStyle w:val="Heading2"/>
        <w:keepNext/>
      </w:pPr>
      <w:r>
        <w:t>8.2 Secure VM Baseline</w:t>
      </w:r>
    </w:p>
    <w:p>
      <w:pPr>
        <w:spacing w:after="120"/>
      </w:pPr>
      <w:r>
        <w:rPr>
          <w:i w:val="0"/>
        </w:rPr>
        <w:t>A secure baseline normally uses a dedicated service account, least privilege, no external IP unless required, OS Login or managed access, Shielded VM features, encrypted disks, centralized logging, patch management, vulnerability visibility, and controlled startup scripts. SSH keys in project metadata and broad default service-account roles create long-lived risk.</w:t>
      </w:r>
    </w:p>
    <w:p>
      <w:pPr>
        <w:pStyle w:val="Heading2"/>
        <w:keepNext/>
      </w:pPr>
      <w:r>
        <w:t>8.3 Images, Disks, and Metadata</w:t>
      </w:r>
    </w:p>
    <w:p>
      <w:pPr>
        <w:spacing w:after="120"/>
      </w:pPr>
      <w:r>
        <w:rPr>
          <w:i w:val="0"/>
        </w:rPr>
        <w:t>Public images provide supported operating-system families. Custom images and image families enable controlled golden-image pipelines. Persistent Disk is durable block storage independent of the VM lifecycle when configured accordingly. Instance metadata supplies configuration but is not a secret store. Use Secret Manager and workload identity for sensitive values.</w:t>
      </w:r>
    </w:p>
    <w:p>
      <w:pPr>
        <w:pStyle w:val="CodeBlock"/>
        <w:keepLines/>
        <w:spacing w:after="120"/>
      </w:pPr>
      <w:r>
        <w:rPr>
          <w:rFonts w:ascii="Cascadia Mono" w:hAnsi="Cascadia Mono"/>
          <w:sz w:val="16"/>
        </w:rPr>
        <w:t>gcloud compute instances create gcp-foundation-vm \</w:t>
        <w:br/>
        <w:t xml:space="preserve">  --zone=asia-south1-a \</w:t>
        <w:br/>
        <w:t xml:space="preserve">  --machine-type=e2-micro \</w:t>
        <w:br/>
        <w:t xml:space="preserve">  --subnet=foundation-subnet \</w:t>
        <w:br/>
        <w:t xml:space="preserve">  --no-address \</w:t>
        <w:br/>
        <w:t xml:space="preserve">  --service-account=vm-runtime@$PROJECT_ID.iam.gserviceaccount.com \</w:t>
        <w:br/>
        <w:t xml:space="preserve">  --scopes=cloud-platform \</w:t>
        <w:br/>
        <w:t xml:space="preserve">  --shielded-secure-boot \</w:t>
        <w:br/>
        <w:t xml:space="preserve">  --labels=environment=lab,owner=student</w:t>
      </w:r>
    </w:p>
    <w:p>
      <w:pPr>
        <w:pStyle w:val="Heading2"/>
        <w:keepNext/>
      </w:pPr>
      <w:r>
        <w:t>8.4 Lifecycle and Operations</w:t>
      </w:r>
    </w:p>
    <w:p>
      <w:pPr>
        <w:spacing w:after="120"/>
      </w:pPr>
      <w:r>
        <w:rPr>
          <w:i w:val="0"/>
        </w:rPr>
        <w:t>Production fleets should use templates and managed instance groups rather than hand-built VMs, which Part B covers. For individual instances, define patching, backup, monitoring, restart behavior, deletion protection where appropriate, disk retention, shutdown, and ownership. Stopped VMs can still incur disk and IP charges.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SSH connection fails</w:t>
            </w:r>
          </w:p>
        </w:tc>
        <w:tc>
          <w:tcPr>
            <w:tcW w:type="dxa" w:w="2592"/>
            <w:tcMar>
              <w:top w:w="80" w:type="dxa"/>
              <w:start w:w="100" w:type="dxa"/>
              <w:bottom w:w="80" w:type="dxa"/>
              <w:end w:w="100" w:type="dxa"/>
            </w:tcMar>
            <w:vAlign w:val="top"/>
          </w:tcPr>
          <w:p>
            <w:pPr>
              <w:spacing w:after="0"/>
            </w:pPr>
            <w:r>
              <w:rPr>
                <w:sz w:val="16"/>
              </w:rPr>
              <w:t>No route, firewall, OS Login/IAM, or guest issue</w:t>
            </w:r>
          </w:p>
        </w:tc>
        <w:tc>
          <w:tcPr>
            <w:tcW w:type="dxa" w:w="5328"/>
            <w:tcMar>
              <w:top w:w="80" w:type="dxa"/>
              <w:start w:w="100" w:type="dxa"/>
              <w:bottom w:w="80" w:type="dxa"/>
              <w:end w:w="100" w:type="dxa"/>
            </w:tcMar>
            <w:vAlign w:val="top"/>
          </w:tcPr>
          <w:p>
            <w:pPr>
              <w:spacing w:after="0"/>
            </w:pPr>
            <w:r>
              <w:rPr>
                <w:sz w:val="16"/>
              </w:rPr>
              <w:t>Use IAP/serial diagnostics where approved; inspect firewall, IAM, OS Login, guest agent, and boot logs.</w:t>
            </w:r>
          </w:p>
        </w:tc>
      </w:tr>
      <w:tr>
        <w:trPr>
          <w:cantSplit/>
        </w:trPr>
        <w:tc>
          <w:tcPr>
            <w:tcW w:type="dxa" w:w="2160"/>
            <w:tcMar>
              <w:top w:w="80" w:type="dxa"/>
              <w:start w:w="100" w:type="dxa"/>
              <w:bottom w:w="80" w:type="dxa"/>
              <w:end w:w="100" w:type="dxa"/>
            </w:tcMar>
            <w:vAlign w:val="top"/>
          </w:tcPr>
          <w:p>
            <w:pPr>
              <w:spacing w:after="0"/>
            </w:pPr>
            <w:r>
              <w:rPr>
                <w:sz w:val="16"/>
              </w:rPr>
              <w:t>VM cannot call Google API</w:t>
            </w:r>
          </w:p>
        </w:tc>
        <w:tc>
          <w:tcPr>
            <w:tcW w:type="dxa" w:w="2592"/>
            <w:tcMar>
              <w:top w:w="80" w:type="dxa"/>
              <w:start w:w="100" w:type="dxa"/>
              <w:bottom w:w="80" w:type="dxa"/>
              <w:end w:w="100" w:type="dxa"/>
            </w:tcMar>
            <w:vAlign w:val="top"/>
          </w:tcPr>
          <w:p>
            <w:pPr>
              <w:spacing w:after="0"/>
            </w:pPr>
            <w:r>
              <w:rPr>
                <w:sz w:val="16"/>
              </w:rPr>
              <w:t>Wrong service account or missing IAM role</w:t>
            </w:r>
          </w:p>
        </w:tc>
        <w:tc>
          <w:tcPr>
            <w:tcW w:type="dxa" w:w="5328"/>
            <w:tcMar>
              <w:top w:w="80" w:type="dxa"/>
              <w:start w:w="100" w:type="dxa"/>
              <w:bottom w:w="80" w:type="dxa"/>
              <w:end w:w="100" w:type="dxa"/>
            </w:tcMar>
            <w:vAlign w:val="top"/>
          </w:tcPr>
          <w:p>
            <w:pPr>
              <w:spacing w:after="0"/>
            </w:pPr>
            <w:r>
              <w:rPr>
                <w:sz w:val="16"/>
              </w:rPr>
              <w:t>Inspect attached service account and runtime token; grant the minimum resource role.</w:t>
            </w:r>
          </w:p>
        </w:tc>
      </w:tr>
      <w:tr>
        <w:trPr>
          <w:cantSplit/>
        </w:trPr>
        <w:tc>
          <w:tcPr>
            <w:tcW w:type="dxa" w:w="2160"/>
            <w:tcMar>
              <w:top w:w="80" w:type="dxa"/>
              <w:start w:w="100" w:type="dxa"/>
              <w:bottom w:w="80" w:type="dxa"/>
              <w:end w:w="100" w:type="dxa"/>
            </w:tcMar>
            <w:vAlign w:val="top"/>
          </w:tcPr>
          <w:p>
            <w:pPr>
              <w:spacing w:after="0"/>
            </w:pPr>
            <w:r>
              <w:rPr>
                <w:sz w:val="16"/>
              </w:rPr>
              <w:t>VM deleted but cost remains</w:t>
            </w:r>
          </w:p>
        </w:tc>
        <w:tc>
          <w:tcPr>
            <w:tcW w:type="dxa" w:w="2592"/>
            <w:tcMar>
              <w:top w:w="80" w:type="dxa"/>
              <w:start w:w="100" w:type="dxa"/>
              <w:bottom w:w="80" w:type="dxa"/>
              <w:end w:w="100" w:type="dxa"/>
            </w:tcMar>
            <w:vAlign w:val="top"/>
          </w:tcPr>
          <w:p>
            <w:pPr>
              <w:spacing w:after="0"/>
            </w:pPr>
            <w:r>
              <w:rPr>
                <w:sz w:val="16"/>
              </w:rPr>
              <w:t>Persistent disk, snapshot, or static IP retained</w:t>
            </w:r>
          </w:p>
        </w:tc>
        <w:tc>
          <w:tcPr>
            <w:tcW w:type="dxa" w:w="5328"/>
            <w:tcMar>
              <w:top w:w="80" w:type="dxa"/>
              <w:start w:w="100" w:type="dxa"/>
              <w:bottom w:w="80" w:type="dxa"/>
              <w:end w:w="100" w:type="dxa"/>
            </w:tcMar>
            <w:vAlign w:val="top"/>
          </w:tcPr>
          <w:p>
            <w:pPr>
              <w:spacing w:after="0"/>
            </w:pPr>
            <w:r>
              <w:rPr>
                <w:sz w:val="16"/>
              </w:rPr>
              <w:t>List disks, snapshots, addresses, and billing SKUs; delete or intentionally retain.</w:t>
            </w:r>
          </w:p>
        </w:tc>
      </w:tr>
    </w:tbl>
    <w:p>
      <w:pPr>
        <w:spacing w:after="20"/>
      </w:pPr>
    </w:p>
    <w:p>
      <w:pPr>
        <w:pStyle w:val="Heading2"/>
        <w:keepNext/>
      </w:pPr>
      <w:r>
        <w:t>Hands-on Lab 8: Deploy a Private Compute Engine VM</w:t>
      </w:r>
    </w:p>
    <w:p>
      <w:pPr>
        <w:pStyle w:val="Heading3"/>
        <w:keepNext/>
      </w:pPr>
      <w:r>
        <w:t>Prerequisites</w:t>
      </w:r>
    </w:p>
    <w:p>
      <w:pPr>
        <w:pStyle w:val="ListBullet"/>
        <w:spacing w:after="60"/>
      </w:pPr>
      <w:r>
        <w:t>Learning project, Compute Engine API, VPC/subnet from Chapter 9 or create in sequence.</w:t>
      </w:r>
    </w:p>
    <w:p>
      <w:pPr>
        <w:pStyle w:val="Heading3"/>
        <w:keepNext/>
      </w:pPr>
      <w:r>
        <w:t>Implementation</w:t>
      </w:r>
    </w:p>
    <w:p>
      <w:pPr>
        <w:spacing w:after="60"/>
        <w:ind w:left="360" w:hanging="259"/>
      </w:pPr>
      <w:r>
        <w:rPr>
          <w:b/>
        </w:rPr>
        <w:t xml:space="preserve">1. </w:t>
      </w:r>
      <w:r>
        <w:t>Create a dedicated VM runtime service account with no broad project role.</w:t>
      </w:r>
    </w:p>
    <w:p>
      <w:pPr>
        <w:spacing w:after="60"/>
        <w:ind w:left="360" w:hanging="259"/>
      </w:pPr>
      <w:r>
        <w:rPr>
          <w:b/>
        </w:rPr>
        <w:t xml:space="preserve">2. </w:t>
      </w:r>
      <w:r>
        <w:t>Create a small Linux VM without an external IP and with Shielded VM features.</w:t>
      </w:r>
    </w:p>
    <w:p>
      <w:pPr>
        <w:spacing w:after="60"/>
        <w:ind w:left="360" w:hanging="259"/>
      </w:pPr>
      <w:r>
        <w:rPr>
          <w:b/>
        </w:rPr>
        <w:t xml:space="preserve">3. </w:t>
      </w:r>
      <w:r>
        <w:t>Use a startup script to install a simple web service without embedding secrets.</w:t>
      </w:r>
    </w:p>
    <w:p>
      <w:pPr>
        <w:spacing w:after="60"/>
        <w:ind w:left="360" w:hanging="259"/>
      </w:pPr>
      <w:r>
        <w:rPr>
          <w:b/>
        </w:rPr>
        <w:t xml:space="preserve">4. </w:t>
      </w:r>
      <w:r>
        <w:t>Connect through an approved private path or IAP design.</w:t>
      </w:r>
    </w:p>
    <w:p>
      <w:pPr>
        <w:spacing w:after="60"/>
        <w:ind w:left="360" w:hanging="259"/>
      </w:pPr>
      <w:r>
        <w:rPr>
          <w:b/>
        </w:rPr>
        <w:t xml:space="preserve">5. </w:t>
      </w:r>
      <w:r>
        <w:t>Verify logs, machine identity, disk, network, and metadata.</w:t>
      </w:r>
    </w:p>
    <w:p>
      <w:pPr>
        <w:spacing w:after="60"/>
        <w:ind w:left="360" w:hanging="259"/>
      </w:pPr>
      <w:r>
        <w:rPr>
          <w:b/>
        </w:rPr>
        <w:t xml:space="preserve">6. </w:t>
      </w:r>
      <w:r>
        <w:t>Stop, start, and delete the VM while checking retained disks and IPs.</w:t>
      </w:r>
    </w:p>
    <w:p>
      <w:pPr>
        <w:pStyle w:val="Heading3"/>
        <w:keepNext/>
      </w:pPr>
      <w:r>
        <w:t>Validation Evidence</w:t>
      </w:r>
    </w:p>
    <w:p>
      <w:pPr>
        <w:pStyle w:val="ListBullet"/>
        <w:spacing w:after="60"/>
      </w:pPr>
      <w:r>
        <w:t>The VM has no public IPv4 address.</w:t>
      </w:r>
    </w:p>
    <w:p>
      <w:pPr>
        <w:pStyle w:val="ListBullet"/>
        <w:spacing w:after="60"/>
      </w:pPr>
      <w:r>
        <w:t>The runtime identity is the dedicated service account.</w:t>
      </w:r>
    </w:p>
    <w:p>
      <w:pPr>
        <w:pStyle w:val="ListBullet"/>
        <w:spacing w:after="60"/>
      </w:pPr>
      <w:r>
        <w:t>The service starts and logs are available.</w:t>
      </w:r>
    </w:p>
    <w:p>
      <w:pPr>
        <w:pStyle w:val="ListBullet"/>
        <w:spacing w:after="60"/>
      </w:pPr>
      <w:r>
        <w:t>Cleanup leaves no orphaned disk or address.</w:t>
      </w:r>
    </w:p>
    <w:p>
      <w:pPr>
        <w:pStyle w:val="Heading3"/>
        <w:keepNext/>
      </w:pPr>
      <w:r>
        <w:t>Cleanup</w:t>
      </w:r>
    </w:p>
    <w:p>
      <w:pPr>
        <w:pStyle w:val="ListBullet"/>
        <w:spacing w:after="60"/>
      </w:pPr>
      <w:r>
        <w:t>Delete the VM, boot disk, test firewall rule, and temporary service-account binding.</w:t>
      </w:r>
    </w:p>
    <w:p>
      <w:pPr>
        <w:pStyle w:val="Heading2"/>
        <w:keepNext/>
      </w:pPr>
      <w:r>
        <w:t>Interview Questions and Model Answers</w:t>
      </w:r>
    </w:p>
    <w:p>
      <w:pPr>
        <w:spacing w:after="40"/>
      </w:pPr>
      <w:r>
        <w:rPr>
          <w:b/>
        </w:rPr>
        <w:t>1. What determines a VM identity?</w:t>
      </w:r>
    </w:p>
    <w:p>
      <w:pPr>
        <w:spacing w:after="120"/>
        <w:ind w:left="216"/>
      </w:pPr>
      <w:r>
        <w:t>The service account attached to the instance and the IAM roles granted to that service account.</w:t>
      </w:r>
    </w:p>
    <w:p>
      <w:pPr>
        <w:spacing w:after="40"/>
      </w:pPr>
      <w:r>
        <w:rPr>
          <w:b/>
        </w:rPr>
        <w:t>2. Why avoid external IPs?</w:t>
      </w:r>
    </w:p>
    <w:p>
      <w:pPr>
        <w:spacing w:after="120"/>
        <w:ind w:left="216"/>
      </w:pPr>
      <w:r>
        <w:t>They increase exposure and can bypass private egress and inspection patterns.</w:t>
      </w:r>
    </w:p>
    <w:p>
      <w:pPr>
        <w:spacing w:after="40"/>
      </w:pPr>
      <w:r>
        <w:rPr>
          <w:b/>
        </w:rPr>
        <w:t>3. Is metadata a secret store?</w:t>
      </w:r>
    </w:p>
    <w:p>
      <w:pPr>
        <w:spacing w:after="120"/>
        <w:ind w:left="216"/>
      </w:pPr>
      <w:r>
        <w:t>No. Use Secret Manager and identity-based access for secrets.</w:t>
      </w:r>
    </w:p>
    <w:p>
      <w:pPr>
        <w:spacing w:after="40"/>
      </w:pPr>
      <w:r>
        <w:rPr>
          <w:b/>
        </w:rPr>
        <w:t>4. Why use managed instance groups later?</w:t>
      </w:r>
    </w:p>
    <w:p>
      <w:pPr>
        <w:spacing w:after="120"/>
        <w:ind w:left="216"/>
      </w:pPr>
      <w:r>
        <w:t>They provide template-based consistency, health repair, scaling, and multi-zone fleet operations.</w:t>
      </w:r>
    </w:p>
    <w:p>
      <w:pPr>
        <w:pStyle w:val="Heading2"/>
        <w:keepNext/>
      </w:pPr>
      <w:r>
        <w:t>Chapter Summary</w:t>
      </w:r>
    </w:p>
    <w:p>
      <w:pPr>
        <w:pStyle w:val="ListBullet"/>
        <w:spacing w:after="60"/>
      </w:pPr>
      <w:r>
        <w:t>Compute Engine VMs combine compute, image, storage, network, and identity decisions.</w:t>
      </w:r>
    </w:p>
    <w:p>
      <w:pPr>
        <w:pStyle w:val="ListBullet"/>
        <w:spacing w:after="60"/>
      </w:pPr>
      <w:r>
        <w:t>Use private networking and dedicated service accounts.</w:t>
      </w:r>
    </w:p>
    <w:p>
      <w:pPr>
        <w:pStyle w:val="ListBullet"/>
        <w:spacing w:after="60"/>
      </w:pPr>
      <w:r>
        <w:t>Harden images and manage lifecycle explicitly.</w:t>
      </w:r>
    </w:p>
    <w:p>
      <w:pPr>
        <w:pStyle w:val="ListBullet"/>
        <w:spacing w:after="60"/>
      </w:pPr>
      <w:r>
        <w:t>Cleanup must include disks, snapshots, and IP addresses.</w:t>
      </w:r>
    </w:p>
    <w:p>
      <w:pPr>
        <w:pStyle w:val="Heading1"/>
        <w:keepNext/>
        <w:pageBreakBefore/>
      </w:pPr>
      <w:r>
        <w:t>Chapter 9 - VPC Networking Foundations</w:t>
      </w:r>
    </w:p>
    <w:p>
      <w:pPr>
        <w:spacing w:after="120"/>
      </w:pPr>
      <w:r>
        <w:rPr>
          <w:i/>
          <w:color w:val="505050"/>
        </w:rPr>
        <w:t>Designing global VPC networks with regional subnets, routes, firewall policy, DNS, and private service access</w:t>
      </w:r>
    </w:p>
    <w:p>
      <w:pPr>
        <w:pStyle w:val="Heading2"/>
        <w:keepNext/>
      </w:pPr>
      <w:r>
        <w:t>Learning Objectives</w:t>
      </w:r>
    </w:p>
    <w:p>
      <w:pPr>
        <w:pStyle w:val="ListBullet"/>
        <w:spacing w:after="60"/>
      </w:pPr>
      <w:r>
        <w:t>Explain global VPC networks and regional subnets.</w:t>
      </w:r>
    </w:p>
    <w:p>
      <w:pPr>
        <w:pStyle w:val="ListBullet"/>
        <w:spacing w:after="60"/>
      </w:pPr>
      <w:r>
        <w:t>Design IP ranges and custom-mode networks.</w:t>
      </w:r>
    </w:p>
    <w:p>
      <w:pPr>
        <w:pStyle w:val="ListBullet"/>
        <w:spacing w:after="60"/>
      </w:pPr>
      <w:r>
        <w:t>Understand routes, firewall rules, service accounts, and network tags.</w:t>
      </w:r>
    </w:p>
    <w:p>
      <w:pPr>
        <w:pStyle w:val="ListBullet"/>
        <w:spacing w:after="60"/>
      </w:pPr>
      <w:r>
        <w:t>Build private VM connectivity and controlled egress.</w:t>
      </w:r>
    </w:p>
    <w:p>
      <w:pPr>
        <w:pStyle w:val="Heading2"/>
        <w:keepNext/>
      </w:pPr>
      <w:r>
        <w:t>9.1 Global Network, Regional Subnets</w:t>
      </w:r>
    </w:p>
    <w:p>
      <w:pPr>
        <w:spacing w:after="120"/>
      </w:pPr>
      <w:r>
        <w:rPr>
          <w:i w:val="0"/>
        </w:rPr>
        <w:t>A Google Cloud VPC network is a global resource. Its subnets are regional and can be used by resources in zones within that region. This differs from cloud designs where a virtual network itself is regional. Custom-mode networks are preferred for deliberate enterprise IP planning because subnets are created explicitly.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A73E8"/>
            <w:tcMar>
              <w:top w:w="80" w:type="dxa"/>
              <w:start w:w="100" w:type="dxa"/>
              <w:bottom w:w="80" w:type="dxa"/>
              <w:end w:w="100" w:type="dxa"/>
            </w:tcMar>
            <w:vAlign w:val="center"/>
          </w:tcPr>
          <w:p>
            <w:pPr>
              <w:jc w:val="center"/>
            </w:pPr>
            <w:r>
              <w:rPr>
                <w:b/>
                <w:color w:val="FFFFFF"/>
                <w:sz w:val="17"/>
              </w:rPr>
              <w:t>Object</w:t>
            </w:r>
          </w:p>
        </w:tc>
        <w:tc>
          <w:tcPr>
            <w:tcW w:type="dxa" w:w="2304"/>
            <w:shd w:fill="1A73E8"/>
            <w:tcMar>
              <w:top w:w="80" w:type="dxa"/>
              <w:start w:w="100" w:type="dxa"/>
              <w:bottom w:w="80" w:type="dxa"/>
              <w:end w:w="100" w:type="dxa"/>
            </w:tcMar>
            <w:vAlign w:val="center"/>
          </w:tcPr>
          <w:p>
            <w:pPr>
              <w:jc w:val="center"/>
            </w:pPr>
            <w:r>
              <w:rPr>
                <w:b/>
                <w:color w:val="FFFFFF"/>
                <w:sz w:val="17"/>
              </w:rPr>
              <w:t>Scope</w:t>
            </w:r>
          </w:p>
        </w:tc>
        <w:tc>
          <w:tcPr>
            <w:tcW w:type="dxa" w:w="5760"/>
            <w:shd w:fill="1A73E8"/>
            <w:tcMar>
              <w:top w:w="80" w:type="dxa"/>
              <w:start w:w="100" w:type="dxa"/>
              <w:bottom w:w="80" w:type="dxa"/>
              <w:end w:w="100" w:type="dxa"/>
            </w:tcMar>
            <w:vAlign w:val="center"/>
          </w:tcPr>
          <w:p>
            <w:pPr>
              <w:jc w:val="center"/>
            </w:pPr>
            <w:r>
              <w:rPr>
                <w:b/>
                <w:color w:val="FFFFFF"/>
                <w:sz w:val="17"/>
              </w:rPr>
              <w:t>Purpose</w:t>
            </w:r>
          </w:p>
        </w:tc>
      </w:tr>
      <w:tr>
        <w:trPr>
          <w:cantSplit/>
        </w:trPr>
        <w:tc>
          <w:tcPr>
            <w:tcW w:type="dxa" w:w="2016"/>
            <w:tcMar>
              <w:top w:w="80" w:type="dxa"/>
              <w:start w:w="100" w:type="dxa"/>
              <w:bottom w:w="80" w:type="dxa"/>
              <w:end w:w="100" w:type="dxa"/>
            </w:tcMar>
            <w:vAlign w:val="top"/>
          </w:tcPr>
          <w:p>
            <w:pPr>
              <w:spacing w:after="0"/>
            </w:pPr>
            <w:r>
              <w:rPr>
                <w:sz w:val="16"/>
              </w:rPr>
              <w:t>VPC network</w:t>
            </w:r>
          </w:p>
        </w:tc>
        <w:tc>
          <w:tcPr>
            <w:tcW w:type="dxa" w:w="2304"/>
            <w:tcMar>
              <w:top w:w="80" w:type="dxa"/>
              <w:start w:w="100" w:type="dxa"/>
              <w:bottom w:w="80" w:type="dxa"/>
              <w:end w:w="100" w:type="dxa"/>
            </w:tcMar>
            <w:vAlign w:val="top"/>
          </w:tcPr>
          <w:p>
            <w:pPr>
              <w:spacing w:after="0"/>
            </w:pPr>
            <w:r>
              <w:rPr>
                <w:sz w:val="16"/>
              </w:rPr>
              <w:t>Global</w:t>
            </w:r>
          </w:p>
        </w:tc>
        <w:tc>
          <w:tcPr>
            <w:tcW w:type="dxa" w:w="5760"/>
            <w:tcMar>
              <w:top w:w="80" w:type="dxa"/>
              <w:start w:w="100" w:type="dxa"/>
              <w:bottom w:w="80" w:type="dxa"/>
              <w:end w:w="100" w:type="dxa"/>
            </w:tcMar>
            <w:vAlign w:val="top"/>
          </w:tcPr>
          <w:p>
            <w:pPr>
              <w:spacing w:after="0"/>
            </w:pPr>
            <w:r>
              <w:rPr>
                <w:sz w:val="16"/>
              </w:rPr>
              <w:t>Connectivity, routes, firewall policy, peering, shared network boundary.</w:t>
            </w:r>
          </w:p>
        </w:tc>
      </w:tr>
      <w:tr>
        <w:trPr>
          <w:cantSplit/>
        </w:trPr>
        <w:tc>
          <w:tcPr>
            <w:tcW w:type="dxa" w:w="2016"/>
            <w:tcMar>
              <w:top w:w="80" w:type="dxa"/>
              <w:start w:w="100" w:type="dxa"/>
              <w:bottom w:w="80" w:type="dxa"/>
              <w:end w:w="100" w:type="dxa"/>
            </w:tcMar>
            <w:vAlign w:val="top"/>
          </w:tcPr>
          <w:p>
            <w:pPr>
              <w:spacing w:after="0"/>
            </w:pPr>
            <w:r>
              <w:rPr>
                <w:sz w:val="16"/>
              </w:rPr>
              <w:t>Subnet</w:t>
            </w:r>
          </w:p>
        </w:tc>
        <w:tc>
          <w:tcPr>
            <w:tcW w:type="dxa" w:w="2304"/>
            <w:tcMar>
              <w:top w:w="80" w:type="dxa"/>
              <w:start w:w="100" w:type="dxa"/>
              <w:bottom w:w="80" w:type="dxa"/>
              <w:end w:w="100" w:type="dxa"/>
            </w:tcMar>
            <w:vAlign w:val="top"/>
          </w:tcPr>
          <w:p>
            <w:pPr>
              <w:spacing w:after="0"/>
            </w:pPr>
            <w:r>
              <w:rPr>
                <w:sz w:val="16"/>
              </w:rPr>
              <w:t>Regional</w:t>
            </w:r>
          </w:p>
        </w:tc>
        <w:tc>
          <w:tcPr>
            <w:tcW w:type="dxa" w:w="5760"/>
            <w:tcMar>
              <w:top w:w="80" w:type="dxa"/>
              <w:start w:w="100" w:type="dxa"/>
              <w:bottom w:w="80" w:type="dxa"/>
              <w:end w:w="100" w:type="dxa"/>
            </w:tcMar>
            <w:vAlign w:val="top"/>
          </w:tcPr>
          <w:p>
            <w:pPr>
              <w:spacing w:after="0"/>
            </w:pPr>
            <w:r>
              <w:rPr>
                <w:sz w:val="16"/>
              </w:rPr>
              <w:t>Primary and secondary IP ranges for regional resources.</w:t>
            </w:r>
          </w:p>
        </w:tc>
      </w:tr>
      <w:tr>
        <w:trPr>
          <w:cantSplit/>
        </w:trPr>
        <w:tc>
          <w:tcPr>
            <w:tcW w:type="dxa" w:w="2016"/>
            <w:tcMar>
              <w:top w:w="80" w:type="dxa"/>
              <w:start w:w="100" w:type="dxa"/>
              <w:bottom w:w="80" w:type="dxa"/>
              <w:end w:w="100" w:type="dxa"/>
            </w:tcMar>
            <w:vAlign w:val="top"/>
          </w:tcPr>
          <w:p>
            <w:pPr>
              <w:spacing w:after="0"/>
            </w:pPr>
            <w:r>
              <w:rPr>
                <w:sz w:val="16"/>
              </w:rPr>
              <w:t>Route</w:t>
            </w:r>
          </w:p>
        </w:tc>
        <w:tc>
          <w:tcPr>
            <w:tcW w:type="dxa" w:w="2304"/>
            <w:tcMar>
              <w:top w:w="80" w:type="dxa"/>
              <w:start w:w="100" w:type="dxa"/>
              <w:bottom w:w="80" w:type="dxa"/>
              <w:end w:w="100" w:type="dxa"/>
            </w:tcMar>
            <w:vAlign w:val="top"/>
          </w:tcPr>
          <w:p>
            <w:pPr>
              <w:spacing w:after="0"/>
            </w:pPr>
            <w:r>
              <w:rPr>
                <w:sz w:val="16"/>
              </w:rPr>
              <w:t>Global with applicable destinations/tags</w:t>
            </w:r>
          </w:p>
        </w:tc>
        <w:tc>
          <w:tcPr>
            <w:tcW w:type="dxa" w:w="5760"/>
            <w:tcMar>
              <w:top w:w="80" w:type="dxa"/>
              <w:start w:w="100" w:type="dxa"/>
              <w:bottom w:w="80" w:type="dxa"/>
              <w:end w:w="100" w:type="dxa"/>
            </w:tcMar>
            <w:vAlign w:val="top"/>
          </w:tcPr>
          <w:p>
            <w:pPr>
              <w:spacing w:after="0"/>
            </w:pPr>
            <w:r>
              <w:rPr>
                <w:sz w:val="16"/>
              </w:rPr>
              <w:t>Determines packet next hop.</w:t>
            </w:r>
          </w:p>
        </w:tc>
      </w:tr>
      <w:tr>
        <w:trPr>
          <w:cantSplit/>
        </w:trPr>
        <w:tc>
          <w:tcPr>
            <w:tcW w:type="dxa" w:w="2016"/>
            <w:tcMar>
              <w:top w:w="80" w:type="dxa"/>
              <w:start w:w="100" w:type="dxa"/>
              <w:bottom w:w="80" w:type="dxa"/>
              <w:end w:w="100" w:type="dxa"/>
            </w:tcMar>
            <w:vAlign w:val="top"/>
          </w:tcPr>
          <w:p>
            <w:pPr>
              <w:spacing w:after="0"/>
            </w:pPr>
            <w:r>
              <w:rPr>
                <w:sz w:val="16"/>
              </w:rPr>
              <w:t>Firewall rule/policy</w:t>
            </w:r>
          </w:p>
        </w:tc>
        <w:tc>
          <w:tcPr>
            <w:tcW w:type="dxa" w:w="2304"/>
            <w:tcMar>
              <w:top w:w="80" w:type="dxa"/>
              <w:start w:w="100" w:type="dxa"/>
              <w:bottom w:w="80" w:type="dxa"/>
              <w:end w:w="100" w:type="dxa"/>
            </w:tcMar>
            <w:vAlign w:val="top"/>
          </w:tcPr>
          <w:p>
            <w:pPr>
              <w:spacing w:after="0"/>
            </w:pPr>
            <w:r>
              <w:rPr>
                <w:sz w:val="16"/>
              </w:rPr>
              <w:t>Global or policy-defined scope</w:t>
            </w:r>
          </w:p>
        </w:tc>
        <w:tc>
          <w:tcPr>
            <w:tcW w:type="dxa" w:w="5760"/>
            <w:tcMar>
              <w:top w:w="80" w:type="dxa"/>
              <w:start w:w="100" w:type="dxa"/>
              <w:bottom w:w="80" w:type="dxa"/>
              <w:end w:w="100" w:type="dxa"/>
            </w:tcMar>
            <w:vAlign w:val="top"/>
          </w:tcPr>
          <w:p>
            <w:pPr>
              <w:spacing w:after="0"/>
            </w:pPr>
            <w:r>
              <w:rPr>
                <w:sz w:val="16"/>
              </w:rPr>
              <w:t>Stateful distributed traffic filtering.</w:t>
            </w:r>
          </w:p>
        </w:tc>
      </w:tr>
    </w:tbl>
    <w:p>
      <w:pPr>
        <w:spacing w:after="20"/>
      </w:pPr>
    </w:p>
    <w:p>
      <w:pPr>
        <w:pStyle w:val="Heading2"/>
        <w:keepNext/>
      </w:pPr>
      <w:r>
        <w:t>9.2 IP Planning and Shared VPC</w:t>
      </w:r>
    </w:p>
    <w:p>
      <w:pPr>
        <w:spacing w:after="120"/>
      </w:pPr>
      <w:r>
        <w:rPr>
          <w:i w:val="0"/>
        </w:rPr>
        <w:t>Plan non-overlapping RFC1918 ranges with growth, GKE secondary ranges, hybrid networks, mergers, and regional expansion in mind. Shared VPC lets a host project provide centrally governed networks to service projects, separating network administration from workload ownership.</w:t>
      </w:r>
    </w:p>
    <w:p>
      <w:pPr>
        <w:pStyle w:val="Heading2"/>
        <w:keepNext/>
      </w:pPr>
      <w:r>
        <w:t>9.3 Firewall and Identity</w:t>
      </w:r>
    </w:p>
    <w:p>
      <w:pPr>
        <w:spacing w:after="120"/>
      </w:pPr>
      <w:r>
        <w:rPr>
          <w:i w:val="0"/>
        </w:rPr>
        <w:t>Google Cloud VPC firewall rules are stateful and can target instances by service account or network tag. Service-account targeting provides an identity-oriented selector but requires careful IAM control over who can attach that service account. Deny and hierarchical firewall policies support centralized enforcement in advanced designs.</w:t>
      </w:r>
    </w:p>
    <w:p>
      <w:pPr>
        <w:pStyle w:val="ListBullet"/>
        <w:spacing w:after="60"/>
      </w:pPr>
      <w:r>
        <w:t>Default deny ingress is a strong baseline.</w:t>
      </w:r>
    </w:p>
    <w:p>
      <w:pPr>
        <w:pStyle w:val="ListBullet"/>
        <w:spacing w:after="60"/>
      </w:pPr>
      <w:r>
        <w:t>Allow only required sources, destinations, protocols, and ports.</w:t>
      </w:r>
    </w:p>
    <w:p>
      <w:pPr>
        <w:pStyle w:val="ListBullet"/>
        <w:spacing w:after="60"/>
      </w:pPr>
      <w:r>
        <w:t>Do not expose SSH or RDP broadly; use approved administrative access.</w:t>
      </w:r>
    </w:p>
    <w:p>
      <w:pPr>
        <w:pStyle w:val="ListBullet"/>
        <w:spacing w:after="60"/>
      </w:pPr>
      <w:r>
        <w:t>Enable firewall logging selectively for evidence and troubleshooting.</w:t>
      </w:r>
    </w:p>
    <w:p>
      <w:pPr>
        <w:pStyle w:val="Heading2"/>
        <w:keepNext/>
      </w:pPr>
      <w:r>
        <w:t>9.4 Private Access, DNS, and Egress</w:t>
      </w:r>
    </w:p>
    <w:p>
      <w:pPr>
        <w:spacing w:after="120"/>
      </w:pPr>
      <w:r>
        <w:rPr>
          <w:i w:val="0"/>
        </w:rPr>
        <w:t>Private Google Access can let eligible resources without external IPs reach Google APIs and services. Cloud NAT provides outbound internet access for private instances without inbound exposure. Cloud DNS provides managed public and private DNS. Private Service Connect and service networking patterns provide private access to supported services, covered more deeply in Part B.</w:t>
      </w:r>
    </w:p>
    <w:p>
      <w:pPr>
        <w:pStyle w:val="CodeBlock"/>
        <w:keepLines/>
        <w:spacing w:after="120"/>
      </w:pPr>
      <w:r>
        <w:rPr>
          <w:rFonts w:ascii="Cascadia Mono" w:hAnsi="Cascadia Mono"/>
          <w:sz w:val="16"/>
        </w:rPr>
        <w:t>gcloud compute networks create foundation-vpc --subnet-mode=custom</w:t>
        <w:br/>
        <w:t>gcloud compute networks subnets create foundation-subnet \</w:t>
        <w:br/>
        <w:t xml:space="preserve">  --network=foundation-vpc --region=asia-south1 --range=10.20.0.0/24 \</w:t>
        <w:br/>
        <w:t xml:space="preserve">  --enable-private-ip-google-access</w:t>
        <w:br/>
        <w:t>gcloud compute firewall-rules create allow-health-from-admin \</w:t>
        <w:br/>
        <w:t xml:space="preserve">  --network=foundation-vpc --direction=INGRESS --action=ALLOW \</w:t>
        <w:br/>
        <w:t xml:space="preserve">  --rules=tcp:8080 --source-ranges=10.20.0.0/24</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Instances in same VPC cannot connect</w:t>
            </w:r>
          </w:p>
        </w:tc>
        <w:tc>
          <w:tcPr>
            <w:tcW w:type="dxa" w:w="2592"/>
            <w:tcMar>
              <w:top w:w="80" w:type="dxa"/>
              <w:start w:w="100" w:type="dxa"/>
              <w:bottom w:w="80" w:type="dxa"/>
              <w:end w:w="100" w:type="dxa"/>
            </w:tcMar>
            <w:vAlign w:val="top"/>
          </w:tcPr>
          <w:p>
            <w:pPr>
              <w:spacing w:after="0"/>
            </w:pPr>
            <w:r>
              <w:rPr>
                <w:sz w:val="16"/>
              </w:rPr>
              <w:t>Firewall, wrong IP, service not listening, or route issue</w:t>
            </w:r>
          </w:p>
        </w:tc>
        <w:tc>
          <w:tcPr>
            <w:tcW w:type="dxa" w:w="5328"/>
            <w:tcMar>
              <w:top w:w="80" w:type="dxa"/>
              <w:start w:w="100" w:type="dxa"/>
              <w:bottom w:w="80" w:type="dxa"/>
              <w:end w:w="100" w:type="dxa"/>
            </w:tcMar>
            <w:vAlign w:val="top"/>
          </w:tcPr>
          <w:p>
            <w:pPr>
              <w:spacing w:after="0"/>
            </w:pPr>
            <w:r>
              <w:rPr>
                <w:sz w:val="16"/>
              </w:rPr>
              <w:t>Check effective firewall, flow logs, routes, guest listener, and subnet ranges.</w:t>
            </w:r>
          </w:p>
        </w:tc>
      </w:tr>
      <w:tr>
        <w:trPr>
          <w:cantSplit/>
        </w:trPr>
        <w:tc>
          <w:tcPr>
            <w:tcW w:type="dxa" w:w="2160"/>
            <w:tcMar>
              <w:top w:w="80" w:type="dxa"/>
              <w:start w:w="100" w:type="dxa"/>
              <w:bottom w:w="80" w:type="dxa"/>
              <w:end w:w="100" w:type="dxa"/>
            </w:tcMar>
            <w:vAlign w:val="top"/>
          </w:tcPr>
          <w:p>
            <w:pPr>
              <w:spacing w:after="0"/>
            </w:pPr>
            <w:r>
              <w:rPr>
                <w:sz w:val="16"/>
              </w:rPr>
              <w:t>Private VM cannot reach Google APIs</w:t>
            </w:r>
          </w:p>
        </w:tc>
        <w:tc>
          <w:tcPr>
            <w:tcW w:type="dxa" w:w="2592"/>
            <w:tcMar>
              <w:top w:w="80" w:type="dxa"/>
              <w:start w:w="100" w:type="dxa"/>
              <w:bottom w:w="80" w:type="dxa"/>
              <w:end w:w="100" w:type="dxa"/>
            </w:tcMar>
            <w:vAlign w:val="top"/>
          </w:tcPr>
          <w:p>
            <w:pPr>
              <w:spacing w:after="0"/>
            </w:pPr>
            <w:r>
              <w:rPr>
                <w:sz w:val="16"/>
              </w:rPr>
              <w:t>Private Google Access/DNS/route not configured</w:t>
            </w:r>
          </w:p>
        </w:tc>
        <w:tc>
          <w:tcPr>
            <w:tcW w:type="dxa" w:w="5328"/>
            <w:tcMar>
              <w:top w:w="80" w:type="dxa"/>
              <w:start w:w="100" w:type="dxa"/>
              <w:bottom w:w="80" w:type="dxa"/>
              <w:end w:w="100" w:type="dxa"/>
            </w:tcMar>
            <w:vAlign w:val="top"/>
          </w:tcPr>
          <w:p>
            <w:pPr>
              <w:spacing w:after="0"/>
            </w:pPr>
            <w:r>
              <w:rPr>
                <w:sz w:val="16"/>
              </w:rPr>
              <w:t>Enable subnet Private Google Access and validate DNS and allowed egress.</w:t>
            </w:r>
          </w:p>
        </w:tc>
      </w:tr>
      <w:tr>
        <w:trPr>
          <w:cantSplit/>
        </w:trPr>
        <w:tc>
          <w:tcPr>
            <w:tcW w:type="dxa" w:w="2160"/>
            <w:tcMar>
              <w:top w:w="80" w:type="dxa"/>
              <w:start w:w="100" w:type="dxa"/>
              <w:bottom w:w="80" w:type="dxa"/>
              <w:end w:w="100" w:type="dxa"/>
            </w:tcMar>
            <w:vAlign w:val="top"/>
          </w:tcPr>
          <w:p>
            <w:pPr>
              <w:spacing w:after="0"/>
            </w:pPr>
            <w:r>
              <w:rPr>
                <w:sz w:val="16"/>
              </w:rPr>
              <w:t>Peering or hybrid connection fails</w:t>
            </w:r>
          </w:p>
        </w:tc>
        <w:tc>
          <w:tcPr>
            <w:tcW w:type="dxa" w:w="2592"/>
            <w:tcMar>
              <w:top w:w="80" w:type="dxa"/>
              <w:start w:w="100" w:type="dxa"/>
              <w:bottom w:w="80" w:type="dxa"/>
              <w:end w:w="100" w:type="dxa"/>
            </w:tcMar>
            <w:vAlign w:val="top"/>
          </w:tcPr>
          <w:p>
            <w:pPr>
              <w:spacing w:after="0"/>
            </w:pPr>
            <w:r>
              <w:rPr>
                <w:sz w:val="16"/>
              </w:rPr>
              <w:t>Overlapping ranges or missing route exchange</w:t>
            </w:r>
          </w:p>
        </w:tc>
        <w:tc>
          <w:tcPr>
            <w:tcW w:type="dxa" w:w="5328"/>
            <w:tcMar>
              <w:top w:w="80" w:type="dxa"/>
              <w:start w:w="100" w:type="dxa"/>
              <w:bottom w:w="80" w:type="dxa"/>
              <w:end w:w="100" w:type="dxa"/>
            </w:tcMar>
            <w:vAlign w:val="top"/>
          </w:tcPr>
          <w:p>
            <w:pPr>
              <w:spacing w:after="0"/>
            </w:pPr>
            <w:r>
              <w:rPr>
                <w:sz w:val="16"/>
              </w:rPr>
              <w:t>Inspect IP plan, routes, dynamic route mode, and advertised prefixes.</w:t>
            </w:r>
          </w:p>
        </w:tc>
      </w:tr>
    </w:tbl>
    <w:p>
      <w:pPr>
        <w:spacing w:after="20"/>
      </w:pPr>
    </w:p>
    <w:p>
      <w:pPr>
        <w:pStyle w:val="Heading2"/>
        <w:keepNext/>
      </w:pPr>
      <w:r>
        <w:t>Hands-on Lab 9: Build a Custom-Mode Private VPC</w:t>
      </w:r>
    </w:p>
    <w:p>
      <w:pPr>
        <w:pStyle w:val="Heading3"/>
        <w:keepNext/>
      </w:pPr>
      <w:r>
        <w:t>Prerequisites</w:t>
      </w:r>
    </w:p>
    <w:p>
      <w:pPr>
        <w:pStyle w:val="ListBullet"/>
        <w:spacing w:after="60"/>
      </w:pPr>
      <w:r>
        <w:t>Learning project, Compute Engine API, and planned IP ranges.</w:t>
      </w:r>
    </w:p>
    <w:p>
      <w:pPr>
        <w:pStyle w:val="Heading3"/>
        <w:keepNext/>
      </w:pPr>
      <w:r>
        <w:t>Implementation</w:t>
      </w:r>
    </w:p>
    <w:p>
      <w:pPr>
        <w:spacing w:after="60"/>
        <w:ind w:left="360" w:hanging="259"/>
      </w:pPr>
      <w:r>
        <w:rPr>
          <w:b/>
        </w:rPr>
        <w:t xml:space="preserve">1. </w:t>
      </w:r>
      <w:r>
        <w:t>Create a custom-mode VPC network.</w:t>
      </w:r>
    </w:p>
    <w:p>
      <w:pPr>
        <w:spacing w:after="60"/>
        <w:ind w:left="360" w:hanging="259"/>
      </w:pPr>
      <w:r>
        <w:rPr>
          <w:b/>
        </w:rPr>
        <w:t xml:space="preserve">2. </w:t>
      </w:r>
      <w:r>
        <w:t>Create a regional subnet with Private Google Access.</w:t>
      </w:r>
    </w:p>
    <w:p>
      <w:pPr>
        <w:spacing w:after="60"/>
        <w:ind w:left="360" w:hanging="259"/>
      </w:pPr>
      <w:r>
        <w:rPr>
          <w:b/>
        </w:rPr>
        <w:t xml:space="preserve">3. </w:t>
      </w:r>
      <w:r>
        <w:t>Create a dedicated service account and a narrowly targeted firewall rule.</w:t>
      </w:r>
    </w:p>
    <w:p>
      <w:pPr>
        <w:spacing w:after="60"/>
        <w:ind w:left="360" w:hanging="259"/>
      </w:pPr>
      <w:r>
        <w:rPr>
          <w:b/>
        </w:rPr>
        <w:t xml:space="preserve">4. </w:t>
      </w:r>
      <w:r>
        <w:t>Deploy two private test VMs without external IPs.</w:t>
      </w:r>
    </w:p>
    <w:p>
      <w:pPr>
        <w:spacing w:after="60"/>
        <w:ind w:left="360" w:hanging="259"/>
      </w:pPr>
      <w:r>
        <w:rPr>
          <w:b/>
        </w:rPr>
        <w:t xml:space="preserve">5. </w:t>
      </w:r>
      <w:r>
        <w:t>Test allowed application traffic and a denied port.</w:t>
      </w:r>
    </w:p>
    <w:p>
      <w:pPr>
        <w:spacing w:after="60"/>
        <w:ind w:left="360" w:hanging="259"/>
      </w:pPr>
      <w:r>
        <w:rPr>
          <w:b/>
        </w:rPr>
        <w:t xml:space="preserve">6. </w:t>
      </w:r>
      <w:r>
        <w:t>Enable selected flow/firewall logging and capture evidence.</w:t>
      </w:r>
    </w:p>
    <w:p>
      <w:pPr>
        <w:pStyle w:val="Heading3"/>
        <w:keepNext/>
      </w:pPr>
      <w:r>
        <w:t>Validation Evidence</w:t>
      </w:r>
    </w:p>
    <w:p>
      <w:pPr>
        <w:pStyle w:val="ListBullet"/>
        <w:spacing w:after="60"/>
      </w:pPr>
      <w:r>
        <w:t>The network is custom mode and the subnet is regional.</w:t>
      </w:r>
    </w:p>
    <w:p>
      <w:pPr>
        <w:pStyle w:val="ListBullet"/>
        <w:spacing w:after="60"/>
      </w:pPr>
      <w:r>
        <w:t>VMs have only internal IP addresses.</w:t>
      </w:r>
    </w:p>
    <w:p>
      <w:pPr>
        <w:pStyle w:val="ListBullet"/>
        <w:spacing w:after="60"/>
      </w:pPr>
      <w:r>
        <w:t>Only the approved port succeeds.</w:t>
      </w:r>
    </w:p>
    <w:p>
      <w:pPr>
        <w:pStyle w:val="ListBullet"/>
        <w:spacing w:after="60"/>
      </w:pPr>
      <w:r>
        <w:t>A denied connection and an allowed connection are visible in evidence.</w:t>
      </w:r>
    </w:p>
    <w:p>
      <w:pPr>
        <w:pStyle w:val="Heading3"/>
        <w:keepNext/>
      </w:pPr>
      <w:r>
        <w:t>Cleanup</w:t>
      </w:r>
    </w:p>
    <w:p>
      <w:pPr>
        <w:pStyle w:val="ListBullet"/>
        <w:spacing w:after="60"/>
      </w:pPr>
      <w:r>
        <w:t>Delete VMs, firewall rules, subnet, and VPC after the integrated capstone if not reused.</w:t>
      </w:r>
    </w:p>
    <w:p>
      <w:pPr>
        <w:pStyle w:val="Heading2"/>
        <w:keepNext/>
      </w:pPr>
      <w:r>
        <w:t>Interview Questions and Model Answers</w:t>
      </w:r>
    </w:p>
    <w:p>
      <w:pPr>
        <w:spacing w:after="40"/>
      </w:pPr>
      <w:r>
        <w:rPr>
          <w:b/>
        </w:rPr>
        <w:t>1. Are Google Cloud VPC networks regional?</w:t>
      </w:r>
    </w:p>
    <w:p>
      <w:pPr>
        <w:spacing w:after="120"/>
        <w:ind w:left="216"/>
      </w:pPr>
      <w:r>
        <w:t>No. VPC networks are global; subnets are regional.</w:t>
      </w:r>
    </w:p>
    <w:p>
      <w:pPr>
        <w:spacing w:after="40"/>
      </w:pPr>
      <w:r>
        <w:rPr>
          <w:b/>
        </w:rPr>
        <w:t>2. Why prefer custom-mode networks?</w:t>
      </w:r>
    </w:p>
    <w:p>
      <w:pPr>
        <w:spacing w:after="120"/>
        <w:ind w:left="216"/>
      </w:pPr>
      <w:r>
        <w:t>They give explicit control over subnet locations and address ranges.</w:t>
      </w:r>
    </w:p>
    <w:p>
      <w:pPr>
        <w:spacing w:after="40"/>
      </w:pPr>
      <w:r>
        <w:rPr>
          <w:b/>
        </w:rPr>
        <w:t>3. What is Shared VPC?</w:t>
      </w:r>
    </w:p>
    <w:p>
      <w:pPr>
        <w:spacing w:after="120"/>
        <w:ind w:left="216"/>
      </w:pPr>
      <w:r>
        <w:t>A model where a host project centrally provides networks to workload service projects.</w:t>
      </w:r>
    </w:p>
    <w:p>
      <w:pPr>
        <w:spacing w:after="40"/>
      </w:pPr>
      <w:r>
        <w:rPr>
          <w:b/>
        </w:rPr>
        <w:t>4. What does Cloud NAT provide?</w:t>
      </w:r>
    </w:p>
    <w:p>
      <w:pPr>
        <w:spacing w:after="120"/>
        <w:ind w:left="216"/>
      </w:pPr>
      <w:r>
        <w:t>Managed outbound translation for private resources without enabling unsolicited inbound internet connections.</w:t>
      </w:r>
    </w:p>
    <w:p>
      <w:pPr>
        <w:pStyle w:val="Heading2"/>
        <w:keepNext/>
      </w:pPr>
      <w:r>
        <w:t>Chapter Summary</w:t>
      </w:r>
    </w:p>
    <w:p>
      <w:pPr>
        <w:pStyle w:val="ListBullet"/>
        <w:spacing w:after="60"/>
      </w:pPr>
      <w:r>
        <w:t>VPC networks are global and subnets are regional.</w:t>
      </w:r>
    </w:p>
    <w:p>
      <w:pPr>
        <w:pStyle w:val="ListBullet"/>
        <w:spacing w:after="60"/>
      </w:pPr>
      <w:r>
        <w:t>IP planning must account for growth and hybrid connectivity.</w:t>
      </w:r>
    </w:p>
    <w:p>
      <w:pPr>
        <w:pStyle w:val="ListBullet"/>
        <w:spacing w:after="60"/>
      </w:pPr>
      <w:r>
        <w:t>Firewall rules are stateful and can use identity-oriented targets.</w:t>
      </w:r>
    </w:p>
    <w:p>
      <w:pPr>
        <w:pStyle w:val="ListBullet"/>
        <w:spacing w:after="60"/>
      </w:pPr>
      <w:r>
        <w:t>Private access and controlled egress reduce public exposure.</w:t>
      </w:r>
    </w:p>
    <w:p>
      <w:pPr>
        <w:pStyle w:val="Heading1"/>
        <w:keepNext/>
        <w:pageBreakBefore/>
      </w:pPr>
      <w:r>
        <w:t>Chapter 10 - Cloud Billing, FinOps, and Foundation Capstone</w:t>
      </w:r>
    </w:p>
    <w:p>
      <w:pPr>
        <w:spacing w:after="120"/>
      </w:pPr>
      <w:r>
        <w:rPr>
          <w:i/>
          <w:color w:val="505050"/>
        </w:rPr>
        <w:t>Controlling cloud consumption through budgets, reporting, ownership, quotas, and automated cleanup</w:t>
      </w:r>
    </w:p>
    <w:p>
      <w:pPr>
        <w:pStyle w:val="Heading2"/>
        <w:keepNext/>
      </w:pPr>
      <w:r>
        <w:t>Learning Objectives</w:t>
      </w:r>
    </w:p>
    <w:p>
      <w:pPr>
        <w:pStyle w:val="ListBullet"/>
        <w:spacing w:after="60"/>
      </w:pPr>
      <w:r>
        <w:t>Explain Cloud Billing accounts, project linkage, budgets, reports, and export.</w:t>
      </w:r>
    </w:p>
    <w:p>
      <w:pPr>
        <w:pStyle w:val="ListBullet"/>
        <w:spacing w:after="60"/>
      </w:pPr>
      <w:r>
        <w:t>Distinguish budgets from hard spending controls.</w:t>
      </w:r>
    </w:p>
    <w:p>
      <w:pPr>
        <w:pStyle w:val="ListBullet"/>
        <w:spacing w:after="60"/>
      </w:pPr>
      <w:r>
        <w:t>Use labels, ownership, and unit economics for FinOps.</w:t>
      </w:r>
    </w:p>
    <w:p>
      <w:pPr>
        <w:pStyle w:val="ListBullet"/>
        <w:spacing w:after="60"/>
      </w:pPr>
      <w:r>
        <w:t>Integrate identity, hierarchy, networking, compute, governance, and cost controls in a capstone.</w:t>
      </w:r>
    </w:p>
    <w:p>
      <w:pPr>
        <w:pStyle w:val="Heading2"/>
        <w:keepNext/>
      </w:pPr>
      <w:r>
        <w:t>10.1 Cloud Billing Model</w:t>
      </w:r>
    </w:p>
    <w:p>
      <w:pPr>
        <w:spacing w:after="120"/>
      </w:pPr>
      <w:r>
        <w:rPr>
          <w:i w:val="0"/>
        </w:rPr>
        <w:t>A Cloud Billing account pays for usage from linked projects. Billing access is separate from resource administration. Cost is influenced by resource configuration, runtime, location, data transfer, storage retention, committed use, licensing, support, and managed-service consumption. Engineers must understand the cost behavior of architecture decisions.</w:t>
      </w:r>
    </w:p>
    <w:p>
      <w:pPr>
        <w:pStyle w:val="Heading2"/>
        <w:keepNext/>
      </w:pPr>
      <w:r>
        <w:t>10.2 Budgets, Alerts, Reports, and Export</w:t>
      </w:r>
    </w:p>
    <w:p>
      <w:pPr>
        <w:spacing w:after="120"/>
      </w:pPr>
      <w:r>
        <w:rPr>
          <w:i w:val="0"/>
        </w:rPr>
        <w:t>Budgets compare actual or forecast cost to thresholds and can notify recipients or publish programmatic notifications. They do not automatically stop all spending. Billing reports support interactive analysis, while billing export to BigQuery enables detailed allocation, dashboards, anomaly analysis, and unit economics.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A73E8"/>
            <w:tcMar>
              <w:top w:w="80" w:type="dxa"/>
              <w:start w:w="100" w:type="dxa"/>
              <w:bottom w:w="80" w:type="dxa"/>
              <w:end w:w="100" w:type="dxa"/>
            </w:tcMar>
            <w:vAlign w:val="center"/>
          </w:tcPr>
          <w:p>
            <w:pPr>
              <w:jc w:val="center"/>
            </w:pPr>
            <w:r>
              <w:rPr>
                <w:b/>
                <w:color w:val="FFFFFF"/>
                <w:sz w:val="17"/>
              </w:rPr>
              <w:t>Control</w:t>
            </w:r>
          </w:p>
        </w:tc>
        <w:tc>
          <w:tcPr>
            <w:tcW w:type="dxa" w:w="3456"/>
            <w:shd w:fill="1A73E8"/>
            <w:tcMar>
              <w:top w:w="80" w:type="dxa"/>
              <w:start w:w="100" w:type="dxa"/>
              <w:bottom w:w="80" w:type="dxa"/>
              <w:end w:w="100" w:type="dxa"/>
            </w:tcMar>
            <w:vAlign w:val="center"/>
          </w:tcPr>
          <w:p>
            <w:pPr>
              <w:jc w:val="center"/>
            </w:pPr>
            <w:r>
              <w:rPr>
                <w:b/>
                <w:color w:val="FFFFFF"/>
                <w:sz w:val="17"/>
              </w:rPr>
              <w:t>Purpose</w:t>
            </w:r>
          </w:p>
        </w:tc>
        <w:tc>
          <w:tcPr>
            <w:tcW w:type="dxa" w:w="4464"/>
            <w:shd w:fill="1A73E8"/>
            <w:tcMar>
              <w:top w:w="80" w:type="dxa"/>
              <w:start w:w="100" w:type="dxa"/>
              <w:bottom w:w="80" w:type="dxa"/>
              <w:end w:w="100" w:type="dxa"/>
            </w:tcMar>
            <w:vAlign w:val="center"/>
          </w:tcPr>
          <w:p>
            <w:pPr>
              <w:jc w:val="center"/>
            </w:pPr>
            <w:r>
              <w:rPr>
                <w:b/>
                <w:color w:val="FFFFFF"/>
                <w:sz w:val="17"/>
              </w:rPr>
              <w:t>Limitation</w:t>
            </w:r>
          </w:p>
        </w:tc>
      </w:tr>
      <w:tr>
        <w:trPr>
          <w:cantSplit/>
        </w:trPr>
        <w:tc>
          <w:tcPr>
            <w:tcW w:type="dxa" w:w="2016"/>
            <w:tcMar>
              <w:top w:w="80" w:type="dxa"/>
              <w:start w:w="100" w:type="dxa"/>
              <w:bottom w:w="80" w:type="dxa"/>
              <w:end w:w="100" w:type="dxa"/>
            </w:tcMar>
            <w:vAlign w:val="top"/>
          </w:tcPr>
          <w:p>
            <w:pPr>
              <w:spacing w:after="0"/>
            </w:pPr>
            <w:r>
              <w:rPr>
                <w:sz w:val="16"/>
              </w:rPr>
              <w:t>Budget alert</w:t>
            </w:r>
          </w:p>
        </w:tc>
        <w:tc>
          <w:tcPr>
            <w:tcW w:type="dxa" w:w="3456"/>
            <w:tcMar>
              <w:top w:w="80" w:type="dxa"/>
              <w:start w:w="100" w:type="dxa"/>
              <w:bottom w:w="80" w:type="dxa"/>
              <w:end w:w="100" w:type="dxa"/>
            </w:tcMar>
            <w:vAlign w:val="top"/>
          </w:tcPr>
          <w:p>
            <w:pPr>
              <w:spacing w:after="0"/>
            </w:pPr>
            <w:r>
              <w:rPr>
                <w:sz w:val="16"/>
              </w:rPr>
              <w:t>Notify at spend/forecast thresholds</w:t>
            </w:r>
          </w:p>
        </w:tc>
        <w:tc>
          <w:tcPr>
            <w:tcW w:type="dxa" w:w="4464"/>
            <w:tcMar>
              <w:top w:w="80" w:type="dxa"/>
              <w:start w:w="100" w:type="dxa"/>
              <w:bottom w:w="80" w:type="dxa"/>
              <w:end w:w="100" w:type="dxa"/>
            </w:tcMar>
            <w:vAlign w:val="top"/>
          </w:tcPr>
          <w:p>
            <w:pPr>
              <w:spacing w:after="0"/>
            </w:pPr>
            <w:r>
              <w:rPr>
                <w:sz w:val="16"/>
              </w:rPr>
              <w:t>Does not inherently prevent further spend.</w:t>
            </w:r>
          </w:p>
        </w:tc>
      </w:tr>
      <w:tr>
        <w:trPr>
          <w:cantSplit/>
        </w:trPr>
        <w:tc>
          <w:tcPr>
            <w:tcW w:type="dxa" w:w="2016"/>
            <w:tcMar>
              <w:top w:w="80" w:type="dxa"/>
              <w:start w:w="100" w:type="dxa"/>
              <w:bottom w:w="80" w:type="dxa"/>
              <w:end w:w="100" w:type="dxa"/>
            </w:tcMar>
            <w:vAlign w:val="top"/>
          </w:tcPr>
          <w:p>
            <w:pPr>
              <w:spacing w:after="0"/>
            </w:pPr>
            <w:r>
              <w:rPr>
                <w:sz w:val="16"/>
              </w:rPr>
              <w:t>Quota</w:t>
            </w:r>
          </w:p>
        </w:tc>
        <w:tc>
          <w:tcPr>
            <w:tcW w:type="dxa" w:w="3456"/>
            <w:tcMar>
              <w:top w:w="80" w:type="dxa"/>
              <w:start w:w="100" w:type="dxa"/>
              <w:bottom w:w="80" w:type="dxa"/>
              <w:end w:w="100" w:type="dxa"/>
            </w:tcMar>
            <w:vAlign w:val="top"/>
          </w:tcPr>
          <w:p>
            <w:pPr>
              <w:spacing w:after="0"/>
            </w:pPr>
            <w:r>
              <w:rPr>
                <w:sz w:val="16"/>
              </w:rPr>
              <w:t>Limit service consumption or allocation</w:t>
            </w:r>
          </w:p>
        </w:tc>
        <w:tc>
          <w:tcPr>
            <w:tcW w:type="dxa" w:w="4464"/>
            <w:tcMar>
              <w:top w:w="80" w:type="dxa"/>
              <w:start w:w="100" w:type="dxa"/>
              <w:bottom w:w="80" w:type="dxa"/>
              <w:end w:w="100" w:type="dxa"/>
            </w:tcMar>
            <w:vAlign w:val="top"/>
          </w:tcPr>
          <w:p>
            <w:pPr>
              <w:spacing w:after="0"/>
            </w:pPr>
            <w:r>
              <w:rPr>
                <w:sz w:val="16"/>
              </w:rPr>
              <w:t>Not a complete financial control and can disrupt workloads.</w:t>
            </w:r>
          </w:p>
        </w:tc>
      </w:tr>
      <w:tr>
        <w:trPr>
          <w:cantSplit/>
        </w:trPr>
        <w:tc>
          <w:tcPr>
            <w:tcW w:type="dxa" w:w="2016"/>
            <w:tcMar>
              <w:top w:w="80" w:type="dxa"/>
              <w:start w:w="100" w:type="dxa"/>
              <w:bottom w:w="80" w:type="dxa"/>
              <w:end w:w="100" w:type="dxa"/>
            </w:tcMar>
            <w:vAlign w:val="top"/>
          </w:tcPr>
          <w:p>
            <w:pPr>
              <w:spacing w:after="0"/>
            </w:pPr>
            <w:r>
              <w:rPr>
                <w:sz w:val="16"/>
              </w:rPr>
              <w:t>Labels/tags</w:t>
            </w:r>
          </w:p>
        </w:tc>
        <w:tc>
          <w:tcPr>
            <w:tcW w:type="dxa" w:w="3456"/>
            <w:tcMar>
              <w:top w:w="80" w:type="dxa"/>
              <w:start w:w="100" w:type="dxa"/>
              <w:bottom w:w="80" w:type="dxa"/>
              <w:end w:w="100" w:type="dxa"/>
            </w:tcMar>
            <w:vAlign w:val="top"/>
          </w:tcPr>
          <w:p>
            <w:pPr>
              <w:spacing w:after="0"/>
            </w:pPr>
            <w:r>
              <w:rPr>
                <w:sz w:val="16"/>
              </w:rPr>
              <w:t>Allocate cost and ownership</w:t>
            </w:r>
          </w:p>
        </w:tc>
        <w:tc>
          <w:tcPr>
            <w:tcW w:type="dxa" w:w="4464"/>
            <w:tcMar>
              <w:top w:w="80" w:type="dxa"/>
              <w:start w:w="100" w:type="dxa"/>
              <w:bottom w:w="80" w:type="dxa"/>
              <w:end w:w="100" w:type="dxa"/>
            </w:tcMar>
            <w:vAlign w:val="top"/>
          </w:tcPr>
          <w:p>
            <w:pPr>
              <w:spacing w:after="0"/>
            </w:pPr>
            <w:r>
              <w:rPr>
                <w:sz w:val="16"/>
              </w:rPr>
              <w:t>Requires consistent coverage and reporting design.</w:t>
            </w:r>
          </w:p>
        </w:tc>
      </w:tr>
      <w:tr>
        <w:trPr>
          <w:cantSplit/>
        </w:trPr>
        <w:tc>
          <w:tcPr>
            <w:tcW w:type="dxa" w:w="2016"/>
            <w:tcMar>
              <w:top w:w="80" w:type="dxa"/>
              <w:start w:w="100" w:type="dxa"/>
              <w:bottom w:w="80" w:type="dxa"/>
              <w:end w:w="100" w:type="dxa"/>
            </w:tcMar>
            <w:vAlign w:val="top"/>
          </w:tcPr>
          <w:p>
            <w:pPr>
              <w:spacing w:after="0"/>
            </w:pPr>
            <w:r>
              <w:rPr>
                <w:sz w:val="16"/>
              </w:rPr>
              <w:t>Automation</w:t>
            </w:r>
          </w:p>
        </w:tc>
        <w:tc>
          <w:tcPr>
            <w:tcW w:type="dxa" w:w="3456"/>
            <w:tcMar>
              <w:top w:w="80" w:type="dxa"/>
              <w:start w:w="100" w:type="dxa"/>
              <w:bottom w:w="80" w:type="dxa"/>
              <w:end w:w="100" w:type="dxa"/>
            </w:tcMar>
            <w:vAlign w:val="top"/>
          </w:tcPr>
          <w:p>
            <w:pPr>
              <w:spacing w:after="0"/>
            </w:pPr>
            <w:r>
              <w:rPr>
                <w:sz w:val="16"/>
              </w:rPr>
              <w:t>Stop/delete expired nonproduction resources</w:t>
            </w:r>
          </w:p>
        </w:tc>
        <w:tc>
          <w:tcPr>
            <w:tcW w:type="dxa" w:w="4464"/>
            <w:tcMar>
              <w:top w:w="80" w:type="dxa"/>
              <w:start w:w="100" w:type="dxa"/>
              <w:bottom w:w="80" w:type="dxa"/>
              <w:end w:w="100" w:type="dxa"/>
            </w:tcMar>
            <w:vAlign w:val="top"/>
          </w:tcPr>
          <w:p>
            <w:pPr>
              <w:spacing w:after="0"/>
            </w:pPr>
            <w:r>
              <w:rPr>
                <w:sz w:val="16"/>
              </w:rPr>
              <w:t>Must protect stateful and approved exceptions.</w:t>
            </w:r>
          </w:p>
        </w:tc>
      </w:tr>
    </w:tbl>
    <w:p>
      <w:pPr>
        <w:spacing w:after="20"/>
      </w:pPr>
    </w:p>
    <w:p>
      <w:pPr>
        <w:pStyle w:val="Heading2"/>
        <w:keepNext/>
      </w:pPr>
      <w:r>
        <w:t>10.3 FinOps Operating Model</w:t>
      </w:r>
    </w:p>
    <w:p>
      <w:pPr>
        <w:spacing w:after="120"/>
      </w:pPr>
      <w:r>
        <w:rPr>
          <w:i w:val="0"/>
        </w:rPr>
        <w:t>FinOps connects engineering, finance, and product teams. Effective practice assigns owners, exposes timely cost, defines allocation, measures business units such as cost per request or tenant, and creates an optimization backlog. Savings should not compromise reliability or create excessive operational toil.</w:t>
      </w:r>
    </w:p>
    <w:p>
      <w:pPr>
        <w:pStyle w:val="ListBullet"/>
        <w:spacing w:after="60"/>
      </w:pPr>
      <w:r>
        <w:t>Use project and label design to make costs attributable.</w:t>
      </w:r>
    </w:p>
    <w:p>
      <w:pPr>
        <w:pStyle w:val="ListBullet"/>
        <w:spacing w:after="60"/>
      </w:pPr>
      <w:r>
        <w:t>Review idle VMs, orphaned disks, static IPs, snapshots, logging volume, and data transfer.</w:t>
      </w:r>
    </w:p>
    <w:p>
      <w:pPr>
        <w:pStyle w:val="ListBullet"/>
        <w:spacing w:after="60"/>
      </w:pPr>
      <w:r>
        <w:t>Use right-sizing evidence before commitments.</w:t>
      </w:r>
    </w:p>
    <w:p>
      <w:pPr>
        <w:pStyle w:val="ListBullet"/>
        <w:spacing w:after="60"/>
      </w:pPr>
      <w:r>
        <w:t>Treat discounts as financial commitments with utilization risk.</w:t>
      </w:r>
    </w:p>
    <w:p>
      <w:pPr>
        <w:pStyle w:val="Heading2"/>
        <w:keepNext/>
      </w:pPr>
      <w:r>
        <w:t>10.4 Foundation Capstone Architecture</w:t>
      </w:r>
    </w:p>
    <w:p>
      <w:pPr>
        <w:spacing w:after="120"/>
      </w:pPr>
      <w:r>
        <w:rPr>
          <w:i w:val="0"/>
        </w:rPr>
        <w:t>The capstone creates a secure, cost-governed application foundation: a dedicated project, explicit APIs, named gcloud configuration, group-based human access, dedicated VM service account, custom-mode VPC, regional subnet, private VM, restricted firewall, logging, labels, quota review, budget, and cleanup evidence.</w:t>
      </w:r>
    </w:p>
    <w:p>
      <w:pPr>
        <w:pStyle w:val="CodeBlock"/>
        <w:keepLines/>
        <w:spacing w:after="120"/>
      </w:pPr>
      <w:r>
        <w:rPr>
          <w:rFonts w:ascii="Cascadia Mono" w:hAnsi="Cascadia Mono"/>
          <w:sz w:val="16"/>
        </w:rPr>
        <w:t>Billing Account</w:t>
        <w:br/>
        <w:t xml:space="preserve">      │</w:t>
        <w:br/>
        <w:t>Learning / Nonproduction Project</w:t>
        <w:br/>
        <w:t xml:space="preserve">      ├── IAM groups and dedicated service account</w:t>
        <w:br/>
        <w:t xml:space="preserve">      ├── Custom-mode global VPC</w:t>
        <w:br/>
        <w:t xml:space="preserve">      │      └── asia-south1 private subnet</w:t>
        <w:br/>
        <w:t xml:space="preserve">      ├── Private Compute Engine VM</w:t>
        <w:br/>
        <w:t xml:space="preserve">      ├── Logging and audit evidence</w:t>
        <w:br/>
        <w:t xml:space="preserve">      ├── Labels / ownership / expiry</w:t>
        <w:br/>
        <w:t xml:space="preserve">      └── Budget alerts and cleanup automation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A73E8"/>
            <w:tcMar>
              <w:top w:w="80" w:type="dxa"/>
              <w:start w:w="100" w:type="dxa"/>
              <w:bottom w:w="80" w:type="dxa"/>
              <w:end w:w="100" w:type="dxa"/>
            </w:tcMar>
            <w:vAlign w:val="center"/>
          </w:tcPr>
          <w:p>
            <w:pPr>
              <w:jc w:val="center"/>
            </w:pPr>
            <w:r>
              <w:rPr>
                <w:b/>
                <w:color w:val="FFFFFF"/>
                <w:sz w:val="17"/>
              </w:rPr>
              <w:t>Symptom</w:t>
            </w:r>
          </w:p>
        </w:tc>
        <w:tc>
          <w:tcPr>
            <w:tcW w:type="dxa" w:w="2592"/>
            <w:shd w:fill="1A73E8"/>
            <w:tcMar>
              <w:top w:w="80" w:type="dxa"/>
              <w:start w:w="100" w:type="dxa"/>
              <w:bottom w:w="80" w:type="dxa"/>
              <w:end w:w="100" w:type="dxa"/>
            </w:tcMar>
            <w:vAlign w:val="center"/>
          </w:tcPr>
          <w:p>
            <w:pPr>
              <w:jc w:val="center"/>
            </w:pPr>
            <w:r>
              <w:rPr>
                <w:b/>
                <w:color w:val="FFFFFF"/>
                <w:sz w:val="17"/>
              </w:rPr>
              <w:t>Likely Cause</w:t>
            </w:r>
          </w:p>
        </w:tc>
        <w:tc>
          <w:tcPr>
            <w:tcW w:type="dxa" w:w="5328"/>
            <w:shd w:fill="1A73E8"/>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Budget exceeded without warning</w:t>
            </w:r>
          </w:p>
        </w:tc>
        <w:tc>
          <w:tcPr>
            <w:tcW w:type="dxa" w:w="2592"/>
            <w:tcMar>
              <w:top w:w="80" w:type="dxa"/>
              <w:start w:w="100" w:type="dxa"/>
              <w:bottom w:w="80" w:type="dxa"/>
              <w:end w:w="100" w:type="dxa"/>
            </w:tcMar>
            <w:vAlign w:val="top"/>
          </w:tcPr>
          <w:p>
            <w:pPr>
              <w:spacing w:after="0"/>
            </w:pPr>
            <w:r>
              <w:rPr>
                <w:sz w:val="16"/>
              </w:rPr>
              <w:t>Wrong scope, thresholds, recipients, or notification delay</w:t>
            </w:r>
          </w:p>
        </w:tc>
        <w:tc>
          <w:tcPr>
            <w:tcW w:type="dxa" w:w="5328"/>
            <w:tcMar>
              <w:top w:w="80" w:type="dxa"/>
              <w:start w:w="100" w:type="dxa"/>
              <w:bottom w:w="80" w:type="dxa"/>
              <w:end w:w="100" w:type="dxa"/>
            </w:tcMar>
            <w:vAlign w:val="top"/>
          </w:tcPr>
          <w:p>
            <w:pPr>
              <w:spacing w:after="0"/>
            </w:pPr>
            <w:r>
              <w:rPr>
                <w:sz w:val="16"/>
              </w:rPr>
              <w:t>Verify budget scope, thresholds, email/Pub/Sub recipients, and billing permissions.</w:t>
            </w:r>
          </w:p>
        </w:tc>
      </w:tr>
      <w:tr>
        <w:trPr>
          <w:cantSplit/>
        </w:trPr>
        <w:tc>
          <w:tcPr>
            <w:tcW w:type="dxa" w:w="2160"/>
            <w:tcMar>
              <w:top w:w="80" w:type="dxa"/>
              <w:start w:w="100" w:type="dxa"/>
              <w:bottom w:w="80" w:type="dxa"/>
              <w:end w:w="100" w:type="dxa"/>
            </w:tcMar>
            <w:vAlign w:val="top"/>
          </w:tcPr>
          <w:p>
            <w:pPr>
              <w:spacing w:after="0"/>
            </w:pPr>
            <w:r>
              <w:rPr>
                <w:sz w:val="16"/>
              </w:rPr>
              <w:t>Cost cannot be attributed</w:t>
            </w:r>
          </w:p>
        </w:tc>
        <w:tc>
          <w:tcPr>
            <w:tcW w:type="dxa" w:w="2592"/>
            <w:tcMar>
              <w:top w:w="80" w:type="dxa"/>
              <w:start w:w="100" w:type="dxa"/>
              <w:bottom w:w="80" w:type="dxa"/>
              <w:end w:w="100" w:type="dxa"/>
            </w:tcMar>
            <w:vAlign w:val="top"/>
          </w:tcPr>
          <w:p>
            <w:pPr>
              <w:spacing w:after="0"/>
            </w:pPr>
            <w:r>
              <w:rPr>
                <w:sz w:val="16"/>
              </w:rPr>
              <w:t>Shared project and missing metadata</w:t>
            </w:r>
          </w:p>
        </w:tc>
        <w:tc>
          <w:tcPr>
            <w:tcW w:type="dxa" w:w="5328"/>
            <w:tcMar>
              <w:top w:w="80" w:type="dxa"/>
              <w:start w:w="100" w:type="dxa"/>
              <w:bottom w:w="80" w:type="dxa"/>
              <w:end w:w="100" w:type="dxa"/>
            </w:tcMar>
            <w:vAlign w:val="top"/>
          </w:tcPr>
          <w:p>
            <w:pPr>
              <w:spacing w:after="0"/>
            </w:pPr>
            <w:r>
              <w:rPr>
                <w:sz w:val="16"/>
              </w:rPr>
              <w:t>Improve project boundaries, labels, billing export, and owner mapping.</w:t>
            </w:r>
          </w:p>
        </w:tc>
      </w:tr>
      <w:tr>
        <w:trPr>
          <w:cantSplit/>
        </w:trPr>
        <w:tc>
          <w:tcPr>
            <w:tcW w:type="dxa" w:w="2160"/>
            <w:tcMar>
              <w:top w:w="80" w:type="dxa"/>
              <w:start w:w="100" w:type="dxa"/>
              <w:bottom w:w="80" w:type="dxa"/>
              <w:end w:w="100" w:type="dxa"/>
            </w:tcMar>
            <w:vAlign w:val="top"/>
          </w:tcPr>
          <w:p>
            <w:pPr>
              <w:spacing w:after="0"/>
            </w:pPr>
            <w:r>
              <w:rPr>
                <w:sz w:val="16"/>
              </w:rPr>
              <w:t>Cleanup automation deletes required resource</w:t>
            </w:r>
          </w:p>
        </w:tc>
        <w:tc>
          <w:tcPr>
            <w:tcW w:type="dxa" w:w="2592"/>
            <w:tcMar>
              <w:top w:w="80" w:type="dxa"/>
              <w:start w:w="100" w:type="dxa"/>
              <w:bottom w:w="80" w:type="dxa"/>
              <w:end w:w="100" w:type="dxa"/>
            </w:tcMar>
            <w:vAlign w:val="top"/>
          </w:tcPr>
          <w:p>
            <w:pPr>
              <w:spacing w:after="0"/>
            </w:pPr>
            <w:r>
              <w:rPr>
                <w:sz w:val="16"/>
              </w:rPr>
              <w:t>Expiry logic lacks state/exception safeguards</w:t>
            </w:r>
          </w:p>
        </w:tc>
        <w:tc>
          <w:tcPr>
            <w:tcW w:type="dxa" w:w="5328"/>
            <w:tcMar>
              <w:top w:w="80" w:type="dxa"/>
              <w:start w:w="100" w:type="dxa"/>
              <w:bottom w:w="80" w:type="dxa"/>
              <w:end w:w="100" w:type="dxa"/>
            </w:tcMar>
            <w:vAlign w:val="top"/>
          </w:tcPr>
          <w:p>
            <w:pPr>
              <w:spacing w:after="0"/>
            </w:pPr>
            <w:r>
              <w:rPr>
                <w:sz w:val="16"/>
              </w:rPr>
              <w:t>Use allowlists, protection labels, approval, dry run, and recovery design.</w:t>
            </w:r>
          </w:p>
        </w:tc>
      </w:tr>
    </w:tbl>
    <w:p>
      <w:pPr>
        <w:spacing w:after="20"/>
      </w:pPr>
    </w:p>
    <w:p>
      <w:pPr>
        <w:pStyle w:val="Heading2"/>
        <w:keepNext/>
      </w:pPr>
      <w:r>
        <w:t>Hands-on Lab 10: Build the Google Cloud Foundation Capstone</w:t>
      </w:r>
    </w:p>
    <w:p>
      <w:pPr>
        <w:pStyle w:val="Heading3"/>
        <w:keepNext/>
      </w:pPr>
      <w:r>
        <w:t>Prerequisites</w:t>
      </w:r>
    </w:p>
    <w:p>
      <w:pPr>
        <w:pStyle w:val="ListBullet"/>
        <w:spacing w:after="60"/>
      </w:pPr>
      <w:r>
        <w:t>Completion of Chapters 1-9 and a dedicated learning project.</w:t>
      </w:r>
    </w:p>
    <w:p>
      <w:pPr>
        <w:pStyle w:val="Heading3"/>
        <w:keepNext/>
      </w:pPr>
      <w:r>
        <w:t>Implementation</w:t>
      </w:r>
    </w:p>
    <w:p>
      <w:pPr>
        <w:spacing w:after="60"/>
        <w:ind w:left="360" w:hanging="259"/>
      </w:pPr>
      <w:r>
        <w:rPr>
          <w:b/>
        </w:rPr>
        <w:t xml:space="preserve">1. </w:t>
      </w:r>
      <w:r>
        <w:t>Create a named gcloud configuration and verify the active principal and project.</w:t>
      </w:r>
    </w:p>
    <w:p>
      <w:pPr>
        <w:spacing w:after="60"/>
        <w:ind w:left="360" w:hanging="259"/>
      </w:pPr>
      <w:r>
        <w:rPr>
          <w:b/>
        </w:rPr>
        <w:t xml:space="preserve">2. </w:t>
      </w:r>
      <w:r>
        <w:t>Document hierarchy, billing account, enabled APIs, labels, owner, and expiry.</w:t>
      </w:r>
    </w:p>
    <w:p>
      <w:pPr>
        <w:spacing w:after="60"/>
        <w:ind w:left="360" w:hanging="259"/>
      </w:pPr>
      <w:r>
        <w:rPr>
          <w:b/>
        </w:rPr>
        <w:t xml:space="preserve">3. </w:t>
      </w:r>
      <w:r>
        <w:t>Create group-based human access and a dedicated VM runtime service account.</w:t>
      </w:r>
    </w:p>
    <w:p>
      <w:pPr>
        <w:spacing w:after="60"/>
        <w:ind w:left="360" w:hanging="259"/>
      </w:pPr>
      <w:r>
        <w:rPr>
          <w:b/>
        </w:rPr>
        <w:t xml:space="preserve">4. </w:t>
      </w:r>
      <w:r>
        <w:t>Build a custom-mode VPC, regional subnet, private access, and minimal firewall rules.</w:t>
      </w:r>
    </w:p>
    <w:p>
      <w:pPr>
        <w:spacing w:after="60"/>
        <w:ind w:left="360" w:hanging="259"/>
      </w:pPr>
      <w:r>
        <w:rPr>
          <w:b/>
        </w:rPr>
        <w:t xml:space="preserve">5. </w:t>
      </w:r>
      <w:r>
        <w:t>Deploy a private VM with Shielded VM features and a simple startup workload.</w:t>
      </w:r>
    </w:p>
    <w:p>
      <w:pPr>
        <w:spacing w:after="60"/>
        <w:ind w:left="360" w:hanging="259"/>
      </w:pPr>
      <w:r>
        <w:rPr>
          <w:b/>
        </w:rPr>
        <w:t xml:space="preserve">6. </w:t>
      </w:r>
      <w:r>
        <w:t>Create a budget, threshold notifications, and a cleanup checklist.</w:t>
      </w:r>
    </w:p>
    <w:p>
      <w:pPr>
        <w:spacing w:after="60"/>
        <w:ind w:left="360" w:hanging="259"/>
      </w:pPr>
      <w:r>
        <w:rPr>
          <w:b/>
        </w:rPr>
        <w:t xml:space="preserve">7. </w:t>
      </w:r>
      <w:r>
        <w:t>Capture IAM, network, VM, audit, quota, and billing evidence.</w:t>
      </w:r>
    </w:p>
    <w:p>
      <w:pPr>
        <w:spacing w:after="60"/>
        <w:ind w:left="360" w:hanging="259"/>
      </w:pPr>
      <w:r>
        <w:rPr>
          <w:b/>
        </w:rPr>
        <w:t xml:space="preserve">8. </w:t>
      </w:r>
      <w:r>
        <w:t>Perform cleanup and prove that no orphaned billable resources remain.</w:t>
      </w:r>
    </w:p>
    <w:p>
      <w:pPr>
        <w:pStyle w:val="Heading3"/>
        <w:keepNext/>
      </w:pPr>
      <w:r>
        <w:t>Validation Evidence</w:t>
      </w:r>
    </w:p>
    <w:p>
      <w:pPr>
        <w:pStyle w:val="ListBullet"/>
        <w:spacing w:after="60"/>
      </w:pPr>
      <w:r>
        <w:t>The environment has no accidental broad basic-role grant.</w:t>
      </w:r>
    </w:p>
    <w:p>
      <w:pPr>
        <w:pStyle w:val="ListBullet"/>
        <w:spacing w:after="60"/>
      </w:pPr>
      <w:r>
        <w:t>The VM has no external IP and uses a dedicated service account.</w:t>
      </w:r>
    </w:p>
    <w:p>
      <w:pPr>
        <w:pStyle w:val="ListBullet"/>
        <w:spacing w:after="60"/>
      </w:pPr>
      <w:r>
        <w:t>Only the required network path is allowed.</w:t>
      </w:r>
    </w:p>
    <w:p>
      <w:pPr>
        <w:pStyle w:val="ListBullet"/>
        <w:spacing w:after="60"/>
      </w:pPr>
      <w:r>
        <w:t>Budget and ownership controls are visible.</w:t>
      </w:r>
    </w:p>
    <w:p>
      <w:pPr>
        <w:pStyle w:val="ListBullet"/>
        <w:spacing w:after="60"/>
      </w:pPr>
      <w:r>
        <w:t>Cleanup evidence shows no VM, orphaned disk, snapshot, or static IP.</w:t>
      </w:r>
    </w:p>
    <w:p>
      <w:pPr>
        <w:pStyle w:val="Heading3"/>
        <w:keepNext/>
      </w:pPr>
      <w:r>
        <w:t>Cleanup</w:t>
      </w:r>
    </w:p>
    <w:p>
      <w:pPr>
        <w:pStyle w:val="ListBullet"/>
        <w:spacing w:after="60"/>
      </w:pPr>
      <w:r>
        <w:t>Delete all capstone compute and network resources unless retained intentionally.</w:t>
      </w:r>
    </w:p>
    <w:p>
      <w:pPr>
        <w:pStyle w:val="ListBullet"/>
        <w:spacing w:after="60"/>
      </w:pPr>
      <w:r>
        <w:t>Optionally delete the learning project after exporting evidence and confirming no reuse.</w:t>
      </w:r>
    </w:p>
    <w:p>
      <w:pPr>
        <w:pStyle w:val="Heading2"/>
        <w:keepNext/>
      </w:pPr>
      <w:r>
        <w:t>Interview Questions and Model Answers</w:t>
      </w:r>
    </w:p>
    <w:p>
      <w:pPr>
        <w:spacing w:after="40"/>
      </w:pPr>
      <w:r>
        <w:rPr>
          <w:b/>
        </w:rPr>
        <w:t>1. Do budgets cap Google Cloud spending automatically?</w:t>
      </w:r>
    </w:p>
    <w:p>
      <w:pPr>
        <w:spacing w:after="120"/>
        <w:ind w:left="216"/>
      </w:pPr>
      <w:r>
        <w:t>No. Budgets primarily monitor and notify; enforcement requires separate quotas, automation, policy, or operational action.</w:t>
      </w:r>
    </w:p>
    <w:p>
      <w:pPr>
        <w:spacing w:after="40"/>
      </w:pPr>
      <w:r>
        <w:rPr>
          <w:b/>
        </w:rPr>
        <w:t>2. Why export billing data to BigQuery?</w:t>
      </w:r>
    </w:p>
    <w:p>
      <w:pPr>
        <w:spacing w:after="120"/>
        <w:ind w:left="216"/>
      </w:pPr>
      <w:r>
        <w:t>For detailed allocation, custom reporting, anomaly analysis, and unit-economics calculations.</w:t>
      </w:r>
    </w:p>
    <w:p>
      <w:pPr>
        <w:spacing w:after="40"/>
      </w:pPr>
      <w:r>
        <w:rPr>
          <w:b/>
        </w:rPr>
        <w:t>3. What is unit economics?</w:t>
      </w:r>
    </w:p>
    <w:p>
      <w:pPr>
        <w:spacing w:after="120"/>
        <w:ind w:left="216"/>
      </w:pPr>
      <w:r>
        <w:t>Measuring cloud cost relative to a business output such as request, customer, order, or dataset processed.</w:t>
      </w:r>
    </w:p>
    <w:p>
      <w:pPr>
        <w:spacing w:after="40"/>
      </w:pPr>
      <w:r>
        <w:rPr>
          <w:b/>
        </w:rPr>
        <w:t>4. What proves a foundation is production ready?</w:t>
      </w:r>
    </w:p>
    <w:p>
      <w:pPr>
        <w:spacing w:after="120"/>
        <w:ind w:left="216"/>
      </w:pPr>
      <w:r>
        <w:t>Validated identity, policy, networking, observability, quota, cost, recovery, ownership, and cleanup evidence.</w:t>
      </w:r>
    </w:p>
    <w:p>
      <w:pPr>
        <w:pStyle w:val="Heading2"/>
        <w:keepNext/>
      </w:pPr>
      <w:r>
        <w:t>Chapter Summary</w:t>
      </w:r>
    </w:p>
    <w:p>
      <w:pPr>
        <w:pStyle w:val="ListBullet"/>
        <w:spacing w:after="60"/>
      </w:pPr>
      <w:r>
        <w:t>Billing is a separate administrative boundary linked to projects.</w:t>
      </w:r>
    </w:p>
    <w:p>
      <w:pPr>
        <w:pStyle w:val="ListBullet"/>
        <w:spacing w:after="60"/>
      </w:pPr>
      <w:r>
        <w:t>Budgets alert but are not universal hard caps.</w:t>
      </w:r>
    </w:p>
    <w:p>
      <w:pPr>
        <w:pStyle w:val="ListBullet"/>
        <w:spacing w:after="60"/>
      </w:pPr>
      <w:r>
        <w:t>FinOps needs ownership, allocation, measurement, and action.</w:t>
      </w:r>
    </w:p>
    <w:p>
      <w:pPr>
        <w:pStyle w:val="ListBullet"/>
        <w:spacing w:after="60"/>
      </w:pPr>
      <w:r>
        <w:t>The capstone integrates secure identity, networking, compute, governance, and cost controls.</w:t>
      </w:r>
    </w:p>
    <w:p>
      <w:pPr>
        <w:pStyle w:val="Heading1"/>
        <w:keepNext/>
        <w:pageBreakBefore/>
      </w:pPr>
      <w:r>
        <w:t>Appendix A - Google Cloud Command Reference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A73E8"/>
            <w:tcMar>
              <w:top w:w="80" w:type="dxa"/>
              <w:start w:w="100" w:type="dxa"/>
              <w:bottom w:w="80" w:type="dxa"/>
              <w:end w:w="100" w:type="dxa"/>
            </w:tcMar>
            <w:vAlign w:val="center"/>
          </w:tcPr>
          <w:p>
            <w:pPr>
              <w:jc w:val="center"/>
            </w:pPr>
            <w:r>
              <w:rPr>
                <w:b/>
                <w:color w:val="FFFFFF"/>
                <w:sz w:val="17"/>
              </w:rPr>
              <w:t>Purpose</w:t>
            </w:r>
          </w:p>
        </w:tc>
        <w:tc>
          <w:tcPr>
            <w:tcW w:type="dxa" w:w="7200"/>
            <w:shd w:fill="1A73E8"/>
            <w:tcMar>
              <w:top w:w="80" w:type="dxa"/>
              <w:start w:w="100" w:type="dxa"/>
              <w:bottom w:w="80" w:type="dxa"/>
              <w:end w:w="100" w:type="dxa"/>
            </w:tcMar>
            <w:vAlign w:val="center"/>
          </w:tcPr>
          <w:p>
            <w:pPr>
              <w:jc w:val="center"/>
            </w:pPr>
            <w:r>
              <w:rPr>
                <w:b/>
                <w:color w:val="FFFFFF"/>
                <w:sz w:val="17"/>
              </w:rPr>
              <w:t>Command</w:t>
            </w:r>
          </w:p>
        </w:tc>
      </w:tr>
      <w:tr>
        <w:trPr>
          <w:cantSplit/>
        </w:trPr>
        <w:tc>
          <w:tcPr>
            <w:tcW w:type="dxa" w:w="2880"/>
            <w:tcMar>
              <w:top w:w="80" w:type="dxa"/>
              <w:start w:w="100" w:type="dxa"/>
              <w:bottom w:w="80" w:type="dxa"/>
              <w:end w:w="100" w:type="dxa"/>
            </w:tcMar>
            <w:vAlign w:val="top"/>
          </w:tcPr>
          <w:p>
            <w:pPr>
              <w:spacing w:after="0"/>
            </w:pPr>
            <w:r>
              <w:rPr>
                <w:sz w:val="16"/>
              </w:rPr>
              <w:t>Verify identity</w:t>
            </w:r>
          </w:p>
        </w:tc>
        <w:tc>
          <w:tcPr>
            <w:tcW w:type="dxa" w:w="7200"/>
            <w:tcMar>
              <w:top w:w="80" w:type="dxa"/>
              <w:start w:w="100" w:type="dxa"/>
              <w:bottom w:w="80" w:type="dxa"/>
              <w:end w:w="100" w:type="dxa"/>
            </w:tcMar>
            <w:vAlign w:val="top"/>
          </w:tcPr>
          <w:p>
            <w:pPr>
              <w:spacing w:after="0"/>
            </w:pPr>
            <w:r>
              <w:rPr>
                <w:sz w:val="16"/>
              </w:rPr>
              <w:t>gcloud auth list</w:t>
            </w:r>
          </w:p>
        </w:tc>
      </w:tr>
      <w:tr>
        <w:trPr>
          <w:cantSplit/>
        </w:trPr>
        <w:tc>
          <w:tcPr>
            <w:tcW w:type="dxa" w:w="2880"/>
            <w:tcMar>
              <w:top w:w="80" w:type="dxa"/>
              <w:start w:w="100" w:type="dxa"/>
              <w:bottom w:w="80" w:type="dxa"/>
              <w:end w:w="100" w:type="dxa"/>
            </w:tcMar>
            <w:vAlign w:val="top"/>
          </w:tcPr>
          <w:p>
            <w:pPr>
              <w:spacing w:after="0"/>
            </w:pPr>
            <w:r>
              <w:rPr>
                <w:sz w:val="16"/>
              </w:rPr>
              <w:t>List configurations</w:t>
            </w:r>
          </w:p>
        </w:tc>
        <w:tc>
          <w:tcPr>
            <w:tcW w:type="dxa" w:w="7200"/>
            <w:tcMar>
              <w:top w:w="80" w:type="dxa"/>
              <w:start w:w="100" w:type="dxa"/>
              <w:bottom w:w="80" w:type="dxa"/>
              <w:end w:w="100" w:type="dxa"/>
            </w:tcMar>
            <w:vAlign w:val="top"/>
          </w:tcPr>
          <w:p>
            <w:pPr>
              <w:spacing w:after="0"/>
            </w:pPr>
            <w:r>
              <w:rPr>
                <w:sz w:val="16"/>
              </w:rPr>
              <w:t>gcloud config configurations list</w:t>
            </w:r>
          </w:p>
        </w:tc>
      </w:tr>
      <w:tr>
        <w:trPr>
          <w:cantSplit/>
        </w:trPr>
        <w:tc>
          <w:tcPr>
            <w:tcW w:type="dxa" w:w="2880"/>
            <w:tcMar>
              <w:top w:w="80" w:type="dxa"/>
              <w:start w:w="100" w:type="dxa"/>
              <w:bottom w:w="80" w:type="dxa"/>
              <w:end w:w="100" w:type="dxa"/>
            </w:tcMar>
            <w:vAlign w:val="top"/>
          </w:tcPr>
          <w:p>
            <w:pPr>
              <w:spacing w:after="0"/>
            </w:pPr>
            <w:r>
              <w:rPr>
                <w:sz w:val="16"/>
              </w:rPr>
              <w:t>Show active context</w:t>
            </w:r>
          </w:p>
        </w:tc>
        <w:tc>
          <w:tcPr>
            <w:tcW w:type="dxa" w:w="7200"/>
            <w:tcMar>
              <w:top w:w="80" w:type="dxa"/>
              <w:start w:w="100" w:type="dxa"/>
              <w:bottom w:w="80" w:type="dxa"/>
              <w:end w:w="100" w:type="dxa"/>
            </w:tcMar>
            <w:vAlign w:val="top"/>
          </w:tcPr>
          <w:p>
            <w:pPr>
              <w:spacing w:after="0"/>
            </w:pPr>
            <w:r>
              <w:rPr>
                <w:sz w:val="16"/>
              </w:rPr>
              <w:t>gcloud config list</w:t>
            </w:r>
          </w:p>
        </w:tc>
      </w:tr>
      <w:tr>
        <w:trPr>
          <w:cantSplit/>
        </w:trPr>
        <w:tc>
          <w:tcPr>
            <w:tcW w:type="dxa" w:w="2880"/>
            <w:tcMar>
              <w:top w:w="80" w:type="dxa"/>
              <w:start w:w="100" w:type="dxa"/>
              <w:bottom w:w="80" w:type="dxa"/>
              <w:end w:w="100" w:type="dxa"/>
            </w:tcMar>
            <w:vAlign w:val="top"/>
          </w:tcPr>
          <w:p>
            <w:pPr>
              <w:spacing w:after="0"/>
            </w:pPr>
            <w:r>
              <w:rPr>
                <w:sz w:val="16"/>
              </w:rPr>
              <w:t>Set project</w:t>
            </w:r>
          </w:p>
        </w:tc>
        <w:tc>
          <w:tcPr>
            <w:tcW w:type="dxa" w:w="7200"/>
            <w:tcMar>
              <w:top w:w="80" w:type="dxa"/>
              <w:start w:w="100" w:type="dxa"/>
              <w:bottom w:w="80" w:type="dxa"/>
              <w:end w:w="100" w:type="dxa"/>
            </w:tcMar>
            <w:vAlign w:val="top"/>
          </w:tcPr>
          <w:p>
            <w:pPr>
              <w:spacing w:after="0"/>
            </w:pPr>
            <w:r>
              <w:rPr>
                <w:sz w:val="16"/>
              </w:rPr>
              <w:t>gcloud config set project PROJECT_ID</w:t>
            </w:r>
          </w:p>
        </w:tc>
      </w:tr>
      <w:tr>
        <w:trPr>
          <w:cantSplit/>
        </w:trPr>
        <w:tc>
          <w:tcPr>
            <w:tcW w:type="dxa" w:w="2880"/>
            <w:tcMar>
              <w:top w:w="80" w:type="dxa"/>
              <w:start w:w="100" w:type="dxa"/>
              <w:bottom w:w="80" w:type="dxa"/>
              <w:end w:w="100" w:type="dxa"/>
            </w:tcMar>
            <w:vAlign w:val="top"/>
          </w:tcPr>
          <w:p>
            <w:pPr>
              <w:spacing w:after="0"/>
            </w:pPr>
            <w:r>
              <w:rPr>
                <w:sz w:val="16"/>
              </w:rPr>
              <w:t>List projects</w:t>
            </w:r>
          </w:p>
        </w:tc>
        <w:tc>
          <w:tcPr>
            <w:tcW w:type="dxa" w:w="7200"/>
            <w:tcMar>
              <w:top w:w="80" w:type="dxa"/>
              <w:start w:w="100" w:type="dxa"/>
              <w:bottom w:w="80" w:type="dxa"/>
              <w:end w:w="100" w:type="dxa"/>
            </w:tcMar>
            <w:vAlign w:val="top"/>
          </w:tcPr>
          <w:p>
            <w:pPr>
              <w:spacing w:after="0"/>
            </w:pPr>
            <w:r>
              <w:rPr>
                <w:sz w:val="16"/>
              </w:rPr>
              <w:t>gcloud projects list</w:t>
            </w:r>
          </w:p>
        </w:tc>
      </w:tr>
      <w:tr>
        <w:trPr>
          <w:cantSplit/>
        </w:trPr>
        <w:tc>
          <w:tcPr>
            <w:tcW w:type="dxa" w:w="2880"/>
            <w:tcMar>
              <w:top w:w="80" w:type="dxa"/>
              <w:start w:w="100" w:type="dxa"/>
              <w:bottom w:w="80" w:type="dxa"/>
              <w:end w:w="100" w:type="dxa"/>
            </w:tcMar>
            <w:vAlign w:val="top"/>
          </w:tcPr>
          <w:p>
            <w:pPr>
              <w:spacing w:after="0"/>
            </w:pPr>
            <w:r>
              <w:rPr>
                <w:sz w:val="16"/>
              </w:rPr>
              <w:t>Describe project</w:t>
            </w:r>
          </w:p>
        </w:tc>
        <w:tc>
          <w:tcPr>
            <w:tcW w:type="dxa" w:w="7200"/>
            <w:tcMar>
              <w:top w:w="80" w:type="dxa"/>
              <w:start w:w="100" w:type="dxa"/>
              <w:bottom w:w="80" w:type="dxa"/>
              <w:end w:w="100" w:type="dxa"/>
            </w:tcMar>
            <w:vAlign w:val="top"/>
          </w:tcPr>
          <w:p>
            <w:pPr>
              <w:spacing w:after="0"/>
            </w:pPr>
            <w:r>
              <w:rPr>
                <w:sz w:val="16"/>
              </w:rPr>
              <w:t>gcloud projects describe PROJECT_ID</w:t>
            </w:r>
          </w:p>
        </w:tc>
      </w:tr>
      <w:tr>
        <w:trPr>
          <w:cantSplit/>
        </w:trPr>
        <w:tc>
          <w:tcPr>
            <w:tcW w:type="dxa" w:w="2880"/>
            <w:tcMar>
              <w:top w:w="80" w:type="dxa"/>
              <w:start w:w="100" w:type="dxa"/>
              <w:bottom w:w="80" w:type="dxa"/>
              <w:end w:w="100" w:type="dxa"/>
            </w:tcMar>
            <w:vAlign w:val="top"/>
          </w:tcPr>
          <w:p>
            <w:pPr>
              <w:spacing w:after="0"/>
            </w:pPr>
            <w:r>
              <w:rPr>
                <w:sz w:val="16"/>
              </w:rPr>
              <w:t>List enabled APIs</w:t>
            </w:r>
          </w:p>
        </w:tc>
        <w:tc>
          <w:tcPr>
            <w:tcW w:type="dxa" w:w="7200"/>
            <w:tcMar>
              <w:top w:w="80" w:type="dxa"/>
              <w:start w:w="100" w:type="dxa"/>
              <w:bottom w:w="80" w:type="dxa"/>
              <w:end w:w="100" w:type="dxa"/>
            </w:tcMar>
            <w:vAlign w:val="top"/>
          </w:tcPr>
          <w:p>
            <w:pPr>
              <w:spacing w:after="0"/>
            </w:pPr>
            <w:r>
              <w:rPr>
                <w:sz w:val="16"/>
              </w:rPr>
              <w:t>gcloud services list --enabled</w:t>
            </w:r>
          </w:p>
        </w:tc>
      </w:tr>
      <w:tr>
        <w:trPr>
          <w:cantSplit/>
        </w:trPr>
        <w:tc>
          <w:tcPr>
            <w:tcW w:type="dxa" w:w="2880"/>
            <w:tcMar>
              <w:top w:w="80" w:type="dxa"/>
              <w:start w:w="100" w:type="dxa"/>
              <w:bottom w:w="80" w:type="dxa"/>
              <w:end w:w="100" w:type="dxa"/>
            </w:tcMar>
            <w:vAlign w:val="top"/>
          </w:tcPr>
          <w:p>
            <w:pPr>
              <w:spacing w:after="0"/>
            </w:pPr>
            <w:r>
              <w:rPr>
                <w:sz w:val="16"/>
              </w:rPr>
              <w:t>Enable Compute API</w:t>
            </w:r>
          </w:p>
        </w:tc>
        <w:tc>
          <w:tcPr>
            <w:tcW w:type="dxa" w:w="7200"/>
            <w:tcMar>
              <w:top w:w="80" w:type="dxa"/>
              <w:start w:w="100" w:type="dxa"/>
              <w:bottom w:w="80" w:type="dxa"/>
              <w:end w:w="100" w:type="dxa"/>
            </w:tcMar>
            <w:vAlign w:val="top"/>
          </w:tcPr>
          <w:p>
            <w:pPr>
              <w:spacing w:after="0"/>
            </w:pPr>
            <w:r>
              <w:rPr>
                <w:sz w:val="16"/>
              </w:rPr>
              <w:t>gcloud services enable compute.googleapis.com</w:t>
            </w:r>
          </w:p>
        </w:tc>
      </w:tr>
      <w:tr>
        <w:trPr>
          <w:cantSplit/>
        </w:trPr>
        <w:tc>
          <w:tcPr>
            <w:tcW w:type="dxa" w:w="2880"/>
            <w:tcMar>
              <w:top w:w="80" w:type="dxa"/>
              <w:start w:w="100" w:type="dxa"/>
              <w:bottom w:w="80" w:type="dxa"/>
              <w:end w:w="100" w:type="dxa"/>
            </w:tcMar>
            <w:vAlign w:val="top"/>
          </w:tcPr>
          <w:p>
            <w:pPr>
              <w:spacing w:after="0"/>
            </w:pPr>
            <w:r>
              <w:rPr>
                <w:sz w:val="16"/>
              </w:rPr>
              <w:t>List IAM policy</w:t>
            </w:r>
          </w:p>
        </w:tc>
        <w:tc>
          <w:tcPr>
            <w:tcW w:type="dxa" w:w="7200"/>
            <w:tcMar>
              <w:top w:w="80" w:type="dxa"/>
              <w:start w:w="100" w:type="dxa"/>
              <w:bottom w:w="80" w:type="dxa"/>
              <w:end w:w="100" w:type="dxa"/>
            </w:tcMar>
            <w:vAlign w:val="top"/>
          </w:tcPr>
          <w:p>
            <w:pPr>
              <w:spacing w:after="0"/>
            </w:pPr>
            <w:r>
              <w:rPr>
                <w:sz w:val="16"/>
              </w:rPr>
              <w:t>gcloud projects get-iam-policy PROJECT_ID</w:t>
            </w:r>
          </w:p>
        </w:tc>
      </w:tr>
      <w:tr>
        <w:trPr>
          <w:cantSplit/>
        </w:trPr>
        <w:tc>
          <w:tcPr>
            <w:tcW w:type="dxa" w:w="2880"/>
            <w:tcMar>
              <w:top w:w="80" w:type="dxa"/>
              <w:start w:w="100" w:type="dxa"/>
              <w:bottom w:w="80" w:type="dxa"/>
              <w:end w:w="100" w:type="dxa"/>
            </w:tcMar>
            <w:vAlign w:val="top"/>
          </w:tcPr>
          <w:p>
            <w:pPr>
              <w:spacing w:after="0"/>
            </w:pPr>
            <w:r>
              <w:rPr>
                <w:sz w:val="16"/>
              </w:rPr>
              <w:t>List service accounts</w:t>
            </w:r>
          </w:p>
        </w:tc>
        <w:tc>
          <w:tcPr>
            <w:tcW w:type="dxa" w:w="7200"/>
            <w:tcMar>
              <w:top w:w="80" w:type="dxa"/>
              <w:start w:w="100" w:type="dxa"/>
              <w:bottom w:w="80" w:type="dxa"/>
              <w:end w:w="100" w:type="dxa"/>
            </w:tcMar>
            <w:vAlign w:val="top"/>
          </w:tcPr>
          <w:p>
            <w:pPr>
              <w:spacing w:after="0"/>
            </w:pPr>
            <w:r>
              <w:rPr>
                <w:sz w:val="16"/>
              </w:rPr>
              <w:t>gcloud iam service-accounts list</w:t>
            </w:r>
          </w:p>
        </w:tc>
      </w:tr>
      <w:tr>
        <w:trPr>
          <w:cantSplit/>
        </w:trPr>
        <w:tc>
          <w:tcPr>
            <w:tcW w:type="dxa" w:w="2880"/>
            <w:tcMar>
              <w:top w:w="80" w:type="dxa"/>
              <w:start w:w="100" w:type="dxa"/>
              <w:bottom w:w="80" w:type="dxa"/>
              <w:end w:w="100" w:type="dxa"/>
            </w:tcMar>
            <w:vAlign w:val="top"/>
          </w:tcPr>
          <w:p>
            <w:pPr>
              <w:spacing w:after="0"/>
            </w:pPr>
            <w:r>
              <w:rPr>
                <w:sz w:val="16"/>
              </w:rPr>
              <w:t>List regions/zones</w:t>
            </w:r>
          </w:p>
        </w:tc>
        <w:tc>
          <w:tcPr>
            <w:tcW w:type="dxa" w:w="7200"/>
            <w:tcMar>
              <w:top w:w="80" w:type="dxa"/>
              <w:start w:w="100" w:type="dxa"/>
              <w:bottom w:w="80" w:type="dxa"/>
              <w:end w:w="100" w:type="dxa"/>
            </w:tcMar>
            <w:vAlign w:val="top"/>
          </w:tcPr>
          <w:p>
            <w:pPr>
              <w:spacing w:after="0"/>
            </w:pPr>
            <w:r>
              <w:rPr>
                <w:sz w:val="16"/>
              </w:rPr>
              <w:t>gcloud compute regions list; gcloud compute zones list</w:t>
            </w:r>
          </w:p>
        </w:tc>
      </w:tr>
      <w:tr>
        <w:trPr>
          <w:cantSplit/>
        </w:trPr>
        <w:tc>
          <w:tcPr>
            <w:tcW w:type="dxa" w:w="2880"/>
            <w:tcMar>
              <w:top w:w="80" w:type="dxa"/>
              <w:start w:w="100" w:type="dxa"/>
              <w:bottom w:w="80" w:type="dxa"/>
              <w:end w:w="100" w:type="dxa"/>
            </w:tcMar>
            <w:vAlign w:val="top"/>
          </w:tcPr>
          <w:p>
            <w:pPr>
              <w:spacing w:after="0"/>
            </w:pPr>
            <w:r>
              <w:rPr>
                <w:sz w:val="16"/>
              </w:rPr>
              <w:t>List VPC networks</w:t>
            </w:r>
          </w:p>
        </w:tc>
        <w:tc>
          <w:tcPr>
            <w:tcW w:type="dxa" w:w="7200"/>
            <w:tcMar>
              <w:top w:w="80" w:type="dxa"/>
              <w:start w:w="100" w:type="dxa"/>
              <w:bottom w:w="80" w:type="dxa"/>
              <w:end w:w="100" w:type="dxa"/>
            </w:tcMar>
            <w:vAlign w:val="top"/>
          </w:tcPr>
          <w:p>
            <w:pPr>
              <w:spacing w:after="0"/>
            </w:pPr>
            <w:r>
              <w:rPr>
                <w:sz w:val="16"/>
              </w:rPr>
              <w:t>gcloud compute networks list</w:t>
            </w:r>
          </w:p>
        </w:tc>
      </w:tr>
      <w:tr>
        <w:trPr>
          <w:cantSplit/>
        </w:trPr>
        <w:tc>
          <w:tcPr>
            <w:tcW w:type="dxa" w:w="2880"/>
            <w:tcMar>
              <w:top w:w="80" w:type="dxa"/>
              <w:start w:w="100" w:type="dxa"/>
              <w:bottom w:w="80" w:type="dxa"/>
              <w:end w:w="100" w:type="dxa"/>
            </w:tcMar>
            <w:vAlign w:val="top"/>
          </w:tcPr>
          <w:p>
            <w:pPr>
              <w:spacing w:after="0"/>
            </w:pPr>
            <w:r>
              <w:rPr>
                <w:sz w:val="16"/>
              </w:rPr>
              <w:t>List subnets</w:t>
            </w:r>
          </w:p>
        </w:tc>
        <w:tc>
          <w:tcPr>
            <w:tcW w:type="dxa" w:w="7200"/>
            <w:tcMar>
              <w:top w:w="80" w:type="dxa"/>
              <w:start w:w="100" w:type="dxa"/>
              <w:bottom w:w="80" w:type="dxa"/>
              <w:end w:w="100" w:type="dxa"/>
            </w:tcMar>
            <w:vAlign w:val="top"/>
          </w:tcPr>
          <w:p>
            <w:pPr>
              <w:spacing w:after="0"/>
            </w:pPr>
            <w:r>
              <w:rPr>
                <w:sz w:val="16"/>
              </w:rPr>
              <w:t>gcloud compute networks subnets list</w:t>
            </w:r>
          </w:p>
        </w:tc>
      </w:tr>
      <w:tr>
        <w:trPr>
          <w:cantSplit/>
        </w:trPr>
        <w:tc>
          <w:tcPr>
            <w:tcW w:type="dxa" w:w="2880"/>
            <w:tcMar>
              <w:top w:w="80" w:type="dxa"/>
              <w:start w:w="100" w:type="dxa"/>
              <w:bottom w:w="80" w:type="dxa"/>
              <w:end w:w="100" w:type="dxa"/>
            </w:tcMar>
            <w:vAlign w:val="top"/>
          </w:tcPr>
          <w:p>
            <w:pPr>
              <w:spacing w:after="0"/>
            </w:pPr>
            <w:r>
              <w:rPr>
                <w:sz w:val="16"/>
              </w:rPr>
              <w:t>List firewall rules</w:t>
            </w:r>
          </w:p>
        </w:tc>
        <w:tc>
          <w:tcPr>
            <w:tcW w:type="dxa" w:w="7200"/>
            <w:tcMar>
              <w:top w:w="80" w:type="dxa"/>
              <w:start w:w="100" w:type="dxa"/>
              <w:bottom w:w="80" w:type="dxa"/>
              <w:end w:w="100" w:type="dxa"/>
            </w:tcMar>
            <w:vAlign w:val="top"/>
          </w:tcPr>
          <w:p>
            <w:pPr>
              <w:spacing w:after="0"/>
            </w:pPr>
            <w:r>
              <w:rPr>
                <w:sz w:val="16"/>
              </w:rPr>
              <w:t>gcloud compute firewall-rules list</w:t>
            </w:r>
          </w:p>
        </w:tc>
      </w:tr>
      <w:tr>
        <w:trPr>
          <w:cantSplit/>
        </w:trPr>
        <w:tc>
          <w:tcPr>
            <w:tcW w:type="dxa" w:w="2880"/>
            <w:tcMar>
              <w:top w:w="80" w:type="dxa"/>
              <w:start w:w="100" w:type="dxa"/>
              <w:bottom w:w="80" w:type="dxa"/>
              <w:end w:w="100" w:type="dxa"/>
            </w:tcMar>
            <w:vAlign w:val="top"/>
          </w:tcPr>
          <w:p>
            <w:pPr>
              <w:spacing w:after="0"/>
            </w:pPr>
            <w:r>
              <w:rPr>
                <w:sz w:val="16"/>
              </w:rPr>
              <w:t>List VMs</w:t>
            </w:r>
          </w:p>
        </w:tc>
        <w:tc>
          <w:tcPr>
            <w:tcW w:type="dxa" w:w="7200"/>
            <w:tcMar>
              <w:top w:w="80" w:type="dxa"/>
              <w:start w:w="100" w:type="dxa"/>
              <w:bottom w:w="80" w:type="dxa"/>
              <w:end w:w="100" w:type="dxa"/>
            </w:tcMar>
            <w:vAlign w:val="top"/>
          </w:tcPr>
          <w:p>
            <w:pPr>
              <w:spacing w:after="0"/>
            </w:pPr>
            <w:r>
              <w:rPr>
                <w:sz w:val="16"/>
              </w:rPr>
              <w:t>gcloud compute instances list</w:t>
            </w:r>
          </w:p>
        </w:tc>
      </w:tr>
      <w:tr>
        <w:trPr>
          <w:cantSplit/>
        </w:trPr>
        <w:tc>
          <w:tcPr>
            <w:tcW w:type="dxa" w:w="2880"/>
            <w:tcMar>
              <w:top w:w="80" w:type="dxa"/>
              <w:start w:w="100" w:type="dxa"/>
              <w:bottom w:w="80" w:type="dxa"/>
              <w:end w:w="100" w:type="dxa"/>
            </w:tcMar>
            <w:vAlign w:val="top"/>
          </w:tcPr>
          <w:p>
            <w:pPr>
              <w:spacing w:after="0"/>
            </w:pPr>
            <w:r>
              <w:rPr>
                <w:sz w:val="16"/>
              </w:rPr>
              <w:t>List disks/addresses</w:t>
            </w:r>
          </w:p>
        </w:tc>
        <w:tc>
          <w:tcPr>
            <w:tcW w:type="dxa" w:w="7200"/>
            <w:tcMar>
              <w:top w:w="80" w:type="dxa"/>
              <w:start w:w="100" w:type="dxa"/>
              <w:bottom w:w="80" w:type="dxa"/>
              <w:end w:w="100" w:type="dxa"/>
            </w:tcMar>
            <w:vAlign w:val="top"/>
          </w:tcPr>
          <w:p>
            <w:pPr>
              <w:spacing w:after="0"/>
            </w:pPr>
            <w:r>
              <w:rPr>
                <w:sz w:val="16"/>
              </w:rPr>
              <w:t>gcloud compute disks list; gcloud compute addresses list</w:t>
            </w:r>
          </w:p>
        </w:tc>
      </w:tr>
      <w:tr>
        <w:trPr>
          <w:cantSplit/>
        </w:trPr>
        <w:tc>
          <w:tcPr>
            <w:tcW w:type="dxa" w:w="2880"/>
            <w:tcMar>
              <w:top w:w="80" w:type="dxa"/>
              <w:start w:w="100" w:type="dxa"/>
              <w:bottom w:w="80" w:type="dxa"/>
              <w:end w:w="100" w:type="dxa"/>
            </w:tcMar>
            <w:vAlign w:val="top"/>
          </w:tcPr>
          <w:p>
            <w:pPr>
              <w:spacing w:after="0"/>
            </w:pPr>
            <w:r>
              <w:rPr>
                <w:sz w:val="16"/>
              </w:rPr>
              <w:t>List quotas</w:t>
            </w:r>
          </w:p>
        </w:tc>
        <w:tc>
          <w:tcPr>
            <w:tcW w:type="dxa" w:w="7200"/>
            <w:tcMar>
              <w:top w:w="80" w:type="dxa"/>
              <w:start w:w="100" w:type="dxa"/>
              <w:bottom w:w="80" w:type="dxa"/>
              <w:end w:w="100" w:type="dxa"/>
            </w:tcMar>
            <w:vAlign w:val="top"/>
          </w:tcPr>
          <w:p>
            <w:pPr>
              <w:spacing w:after="0"/>
            </w:pPr>
            <w:r>
              <w:rPr>
                <w:sz w:val="16"/>
              </w:rPr>
              <w:t>gcloud compute project-info describe --project PROJECT_ID</w:t>
            </w:r>
          </w:p>
        </w:tc>
      </w:tr>
      <w:tr>
        <w:trPr>
          <w:cantSplit/>
        </w:trPr>
        <w:tc>
          <w:tcPr>
            <w:tcW w:type="dxa" w:w="2880"/>
            <w:tcMar>
              <w:top w:w="80" w:type="dxa"/>
              <w:start w:w="100" w:type="dxa"/>
              <w:bottom w:w="80" w:type="dxa"/>
              <w:end w:w="100" w:type="dxa"/>
            </w:tcMar>
            <w:vAlign w:val="top"/>
          </w:tcPr>
          <w:p>
            <w:pPr>
              <w:spacing w:after="0"/>
            </w:pPr>
            <w:r>
              <w:rPr>
                <w:sz w:val="16"/>
              </w:rPr>
              <w:t>Describe billing link</w:t>
            </w:r>
          </w:p>
        </w:tc>
        <w:tc>
          <w:tcPr>
            <w:tcW w:type="dxa" w:w="7200"/>
            <w:tcMar>
              <w:top w:w="80" w:type="dxa"/>
              <w:start w:w="100" w:type="dxa"/>
              <w:bottom w:w="80" w:type="dxa"/>
              <w:end w:w="100" w:type="dxa"/>
            </w:tcMar>
            <w:vAlign w:val="top"/>
          </w:tcPr>
          <w:p>
            <w:pPr>
              <w:spacing w:after="0"/>
            </w:pPr>
            <w:r>
              <w:rPr>
                <w:sz w:val="16"/>
              </w:rPr>
              <w:t>gcloud billing projects describe PROJECT_ID</w:t>
            </w:r>
          </w:p>
        </w:tc>
      </w:tr>
    </w:tbl>
    <w:p>
      <w:pPr>
        <w:spacing w:after="20"/>
      </w:pPr>
    </w:p>
    <w:p>
      <w:pPr>
        <w:spacing w:after="120"/>
      </w:pPr>
      <w:r>
        <w:rPr>
          <w:i w:val="0"/>
        </w:rPr>
        <w:t>Always review command help and current official documentation before destructive or production changes. Use explicit --project, --region, and --zone flags in automation where ambiguity would be dangerous.</w:t>
      </w:r>
    </w:p>
    <w:p>
      <w:pPr>
        <w:pStyle w:val="Heading1"/>
        <w:keepNext/>
      </w:pPr>
      <w:r>
        <w:t>Appendix B - Cross-Service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A73E8"/>
            <w:tcMar>
              <w:top w:w="80" w:type="dxa"/>
              <w:start w:w="100" w:type="dxa"/>
              <w:bottom w:w="80" w:type="dxa"/>
              <w:end w:w="100" w:type="dxa"/>
            </w:tcMar>
            <w:vAlign w:val="center"/>
          </w:tcPr>
          <w:p>
            <w:pPr>
              <w:jc w:val="center"/>
            </w:pPr>
            <w:r>
              <w:rPr>
                <w:b/>
                <w:color w:val="FFFFFF"/>
                <w:sz w:val="17"/>
              </w:rPr>
              <w:t>Layer</w:t>
            </w:r>
          </w:p>
        </w:tc>
        <w:tc>
          <w:tcPr>
            <w:tcW w:type="dxa" w:w="3744"/>
            <w:shd w:fill="1A73E8"/>
            <w:tcMar>
              <w:top w:w="80" w:type="dxa"/>
              <w:start w:w="100" w:type="dxa"/>
              <w:bottom w:w="80" w:type="dxa"/>
              <w:end w:w="100" w:type="dxa"/>
            </w:tcMar>
            <w:vAlign w:val="center"/>
          </w:tcPr>
          <w:p>
            <w:pPr>
              <w:jc w:val="center"/>
            </w:pPr>
            <w:r>
              <w:rPr>
                <w:b/>
                <w:color w:val="FFFFFF"/>
                <w:sz w:val="17"/>
              </w:rPr>
              <w:t>First Evidence</w:t>
            </w:r>
          </w:p>
        </w:tc>
        <w:tc>
          <w:tcPr>
            <w:tcW w:type="dxa" w:w="4608"/>
            <w:shd w:fill="1A73E8"/>
            <w:tcMar>
              <w:top w:w="80" w:type="dxa"/>
              <w:start w:w="100" w:type="dxa"/>
              <w:bottom w:w="80" w:type="dxa"/>
              <w:end w:w="100" w:type="dxa"/>
            </w:tcMar>
            <w:vAlign w:val="center"/>
          </w:tcPr>
          <w:p>
            <w:pPr>
              <w:jc w:val="center"/>
            </w:pPr>
            <w:r>
              <w:rPr>
                <w:b/>
                <w:color w:val="FFFFFF"/>
                <w:sz w:val="17"/>
              </w:rPr>
              <w:t>Common Causes</w:t>
            </w:r>
          </w:p>
        </w:tc>
      </w:tr>
      <w:tr>
        <w:trPr>
          <w:cantSplit/>
        </w:trPr>
        <w:tc>
          <w:tcPr>
            <w:tcW w:type="dxa" w:w="1728"/>
            <w:tcMar>
              <w:top w:w="80" w:type="dxa"/>
              <w:start w:w="100" w:type="dxa"/>
              <w:bottom w:w="80" w:type="dxa"/>
              <w:end w:w="100" w:type="dxa"/>
            </w:tcMar>
            <w:vAlign w:val="top"/>
          </w:tcPr>
          <w:p>
            <w:pPr>
              <w:spacing w:after="0"/>
            </w:pPr>
            <w:r>
              <w:rPr>
                <w:sz w:val="16"/>
              </w:rPr>
              <w:t>Context</w:t>
            </w:r>
          </w:p>
        </w:tc>
        <w:tc>
          <w:tcPr>
            <w:tcW w:type="dxa" w:w="3744"/>
            <w:tcMar>
              <w:top w:w="80" w:type="dxa"/>
              <w:start w:w="100" w:type="dxa"/>
              <w:bottom w:w="80" w:type="dxa"/>
              <w:end w:w="100" w:type="dxa"/>
            </w:tcMar>
            <w:vAlign w:val="top"/>
          </w:tcPr>
          <w:p>
            <w:pPr>
              <w:spacing w:after="0"/>
            </w:pPr>
            <w:r>
              <w:rPr>
                <w:sz w:val="16"/>
              </w:rPr>
              <w:t>gcloud auth list; gcloud config list</w:t>
            </w:r>
          </w:p>
        </w:tc>
        <w:tc>
          <w:tcPr>
            <w:tcW w:type="dxa" w:w="4608"/>
            <w:tcMar>
              <w:top w:w="80" w:type="dxa"/>
              <w:start w:w="100" w:type="dxa"/>
              <w:bottom w:w="80" w:type="dxa"/>
              <w:end w:w="100" w:type="dxa"/>
            </w:tcMar>
            <w:vAlign w:val="top"/>
          </w:tcPr>
          <w:p>
            <w:pPr>
              <w:spacing w:after="0"/>
            </w:pPr>
            <w:r>
              <w:rPr>
                <w:sz w:val="16"/>
              </w:rPr>
              <w:t>Wrong account, project, region, zone, or configuration.</w:t>
            </w:r>
          </w:p>
        </w:tc>
      </w:tr>
      <w:tr>
        <w:trPr>
          <w:cantSplit/>
        </w:trPr>
        <w:tc>
          <w:tcPr>
            <w:tcW w:type="dxa" w:w="1728"/>
            <w:tcMar>
              <w:top w:w="80" w:type="dxa"/>
              <w:start w:w="100" w:type="dxa"/>
              <w:bottom w:w="80" w:type="dxa"/>
              <w:end w:w="100" w:type="dxa"/>
            </w:tcMar>
            <w:vAlign w:val="top"/>
          </w:tcPr>
          <w:p>
            <w:pPr>
              <w:spacing w:after="0"/>
            </w:pPr>
            <w:r>
              <w:rPr>
                <w:sz w:val="16"/>
              </w:rPr>
              <w:t>API</w:t>
            </w:r>
          </w:p>
        </w:tc>
        <w:tc>
          <w:tcPr>
            <w:tcW w:type="dxa" w:w="3744"/>
            <w:tcMar>
              <w:top w:w="80" w:type="dxa"/>
              <w:start w:w="100" w:type="dxa"/>
              <w:bottom w:w="80" w:type="dxa"/>
              <w:end w:w="100" w:type="dxa"/>
            </w:tcMar>
            <w:vAlign w:val="top"/>
          </w:tcPr>
          <w:p>
            <w:pPr>
              <w:spacing w:after="0"/>
            </w:pPr>
            <w:r>
              <w:rPr>
                <w:sz w:val="16"/>
              </w:rPr>
              <w:t>Enabled services and service usage errors</w:t>
            </w:r>
          </w:p>
        </w:tc>
        <w:tc>
          <w:tcPr>
            <w:tcW w:type="dxa" w:w="4608"/>
            <w:tcMar>
              <w:top w:w="80" w:type="dxa"/>
              <w:start w:w="100" w:type="dxa"/>
              <w:bottom w:w="80" w:type="dxa"/>
              <w:end w:w="100" w:type="dxa"/>
            </w:tcMar>
            <w:vAlign w:val="top"/>
          </w:tcPr>
          <w:p>
            <w:pPr>
              <w:spacing w:after="0"/>
            </w:pPr>
            <w:r>
              <w:rPr>
                <w:sz w:val="16"/>
              </w:rPr>
              <w:t>API disabled, service agent not ready, organization policy.</w:t>
            </w:r>
          </w:p>
        </w:tc>
      </w:tr>
      <w:tr>
        <w:trPr>
          <w:cantSplit/>
        </w:trPr>
        <w:tc>
          <w:tcPr>
            <w:tcW w:type="dxa" w:w="1728"/>
            <w:tcMar>
              <w:top w:w="80" w:type="dxa"/>
              <w:start w:w="100" w:type="dxa"/>
              <w:bottom w:w="80" w:type="dxa"/>
              <w:end w:w="100" w:type="dxa"/>
            </w:tcMar>
            <w:vAlign w:val="top"/>
          </w:tcPr>
          <w:p>
            <w:pPr>
              <w:spacing w:after="0"/>
            </w:pPr>
            <w:r>
              <w:rPr>
                <w:sz w:val="16"/>
              </w:rPr>
              <w:t>IAM</w:t>
            </w:r>
          </w:p>
        </w:tc>
        <w:tc>
          <w:tcPr>
            <w:tcW w:type="dxa" w:w="3744"/>
            <w:tcMar>
              <w:top w:w="80" w:type="dxa"/>
              <w:start w:w="100" w:type="dxa"/>
              <w:bottom w:w="80" w:type="dxa"/>
              <w:end w:w="100" w:type="dxa"/>
            </w:tcMar>
            <w:vAlign w:val="top"/>
          </w:tcPr>
          <w:p>
            <w:pPr>
              <w:spacing w:after="0"/>
            </w:pPr>
            <w:r>
              <w:rPr>
                <w:sz w:val="16"/>
              </w:rPr>
              <w:t>Policy Troubleshooter, effective policy, audit logs</w:t>
            </w:r>
          </w:p>
        </w:tc>
        <w:tc>
          <w:tcPr>
            <w:tcW w:type="dxa" w:w="4608"/>
            <w:tcMar>
              <w:top w:w="80" w:type="dxa"/>
              <w:start w:w="100" w:type="dxa"/>
              <w:bottom w:w="80" w:type="dxa"/>
              <w:end w:w="100" w:type="dxa"/>
            </w:tcMar>
            <w:vAlign w:val="top"/>
          </w:tcPr>
          <w:p>
            <w:pPr>
              <w:spacing w:after="0"/>
            </w:pPr>
            <w:r>
              <w:rPr>
                <w:sz w:val="16"/>
              </w:rPr>
              <w:t>Missing permission, wrong resource, inherited deny, impersonation failure.</w:t>
            </w:r>
          </w:p>
        </w:tc>
      </w:tr>
      <w:tr>
        <w:trPr>
          <w:cantSplit/>
        </w:trPr>
        <w:tc>
          <w:tcPr>
            <w:tcW w:type="dxa" w:w="1728"/>
            <w:tcMar>
              <w:top w:w="80" w:type="dxa"/>
              <w:start w:w="100" w:type="dxa"/>
              <w:bottom w:w="80" w:type="dxa"/>
              <w:end w:w="100" w:type="dxa"/>
            </w:tcMar>
            <w:vAlign w:val="top"/>
          </w:tcPr>
          <w:p>
            <w:pPr>
              <w:spacing w:after="0"/>
            </w:pPr>
            <w:r>
              <w:rPr>
                <w:sz w:val="16"/>
              </w:rPr>
              <w:t>Hierarchy</w:t>
            </w:r>
          </w:p>
        </w:tc>
        <w:tc>
          <w:tcPr>
            <w:tcW w:type="dxa" w:w="3744"/>
            <w:tcMar>
              <w:top w:w="80" w:type="dxa"/>
              <w:start w:w="100" w:type="dxa"/>
              <w:bottom w:w="80" w:type="dxa"/>
              <w:end w:w="100" w:type="dxa"/>
            </w:tcMar>
            <w:vAlign w:val="top"/>
          </w:tcPr>
          <w:p>
            <w:pPr>
              <w:spacing w:after="0"/>
            </w:pPr>
            <w:r>
              <w:rPr>
                <w:sz w:val="16"/>
              </w:rPr>
              <w:t>Resource parent and effective policy</w:t>
            </w:r>
          </w:p>
        </w:tc>
        <w:tc>
          <w:tcPr>
            <w:tcW w:type="dxa" w:w="4608"/>
            <w:tcMar>
              <w:top w:w="80" w:type="dxa"/>
              <w:start w:w="100" w:type="dxa"/>
              <w:bottom w:w="80" w:type="dxa"/>
              <w:end w:w="100" w:type="dxa"/>
            </w:tcMar>
            <w:vAlign w:val="top"/>
          </w:tcPr>
          <w:p>
            <w:pPr>
              <w:spacing w:after="0"/>
            </w:pPr>
            <w:r>
              <w:rPr>
                <w:sz w:val="16"/>
              </w:rPr>
              <w:t>Wrong folder/project placement, inherited controls, move impact.</w:t>
            </w:r>
          </w:p>
        </w:tc>
      </w:tr>
      <w:tr>
        <w:trPr>
          <w:cantSplit/>
        </w:trPr>
        <w:tc>
          <w:tcPr>
            <w:tcW w:type="dxa" w:w="1728"/>
            <w:tcMar>
              <w:top w:w="80" w:type="dxa"/>
              <w:start w:w="100" w:type="dxa"/>
              <w:bottom w:w="80" w:type="dxa"/>
              <w:end w:w="100" w:type="dxa"/>
            </w:tcMar>
            <w:vAlign w:val="top"/>
          </w:tcPr>
          <w:p>
            <w:pPr>
              <w:spacing w:after="0"/>
            </w:pPr>
            <w:r>
              <w:rPr>
                <w:sz w:val="16"/>
              </w:rPr>
              <w:t>Compute</w:t>
            </w:r>
          </w:p>
        </w:tc>
        <w:tc>
          <w:tcPr>
            <w:tcW w:type="dxa" w:w="3744"/>
            <w:tcMar>
              <w:top w:w="80" w:type="dxa"/>
              <w:start w:w="100" w:type="dxa"/>
              <w:bottom w:w="80" w:type="dxa"/>
              <w:end w:w="100" w:type="dxa"/>
            </w:tcMar>
            <w:vAlign w:val="top"/>
          </w:tcPr>
          <w:p>
            <w:pPr>
              <w:spacing w:after="0"/>
            </w:pPr>
            <w:r>
              <w:rPr>
                <w:sz w:val="16"/>
              </w:rPr>
              <w:t>Serial/boot logs, instance description, guest status</w:t>
            </w:r>
          </w:p>
        </w:tc>
        <w:tc>
          <w:tcPr>
            <w:tcW w:type="dxa" w:w="4608"/>
            <w:tcMar>
              <w:top w:w="80" w:type="dxa"/>
              <w:start w:w="100" w:type="dxa"/>
              <w:bottom w:w="80" w:type="dxa"/>
              <w:end w:w="100" w:type="dxa"/>
            </w:tcMar>
            <w:vAlign w:val="top"/>
          </w:tcPr>
          <w:p>
            <w:pPr>
              <w:spacing w:after="0"/>
            </w:pPr>
            <w:r>
              <w:rPr>
                <w:sz w:val="16"/>
              </w:rPr>
              <w:t>Image, startup script, disk, quota, service account, host/zone issue.</w:t>
            </w:r>
          </w:p>
        </w:tc>
      </w:tr>
      <w:tr>
        <w:trPr>
          <w:cantSplit/>
        </w:trPr>
        <w:tc>
          <w:tcPr>
            <w:tcW w:type="dxa" w:w="1728"/>
            <w:tcMar>
              <w:top w:w="80" w:type="dxa"/>
              <w:start w:w="100" w:type="dxa"/>
              <w:bottom w:w="80" w:type="dxa"/>
              <w:end w:w="100" w:type="dxa"/>
            </w:tcMar>
            <w:vAlign w:val="top"/>
          </w:tcPr>
          <w:p>
            <w:pPr>
              <w:spacing w:after="0"/>
            </w:pPr>
            <w:r>
              <w:rPr>
                <w:sz w:val="16"/>
              </w:rPr>
              <w:t>Network</w:t>
            </w:r>
          </w:p>
        </w:tc>
        <w:tc>
          <w:tcPr>
            <w:tcW w:type="dxa" w:w="3744"/>
            <w:tcMar>
              <w:top w:w="80" w:type="dxa"/>
              <w:start w:w="100" w:type="dxa"/>
              <w:bottom w:w="80" w:type="dxa"/>
              <w:end w:w="100" w:type="dxa"/>
            </w:tcMar>
            <w:vAlign w:val="top"/>
          </w:tcPr>
          <w:p>
            <w:pPr>
              <w:spacing w:after="0"/>
            </w:pPr>
            <w:r>
              <w:rPr>
                <w:sz w:val="16"/>
              </w:rPr>
              <w:t>Connectivity Tests, routes, firewall logs, flow logs</w:t>
            </w:r>
          </w:p>
        </w:tc>
        <w:tc>
          <w:tcPr>
            <w:tcW w:type="dxa" w:w="4608"/>
            <w:tcMar>
              <w:top w:w="80" w:type="dxa"/>
              <w:start w:w="100" w:type="dxa"/>
              <w:bottom w:w="80" w:type="dxa"/>
              <w:end w:w="100" w:type="dxa"/>
            </w:tcMar>
            <w:vAlign w:val="top"/>
          </w:tcPr>
          <w:p>
            <w:pPr>
              <w:spacing w:after="0"/>
            </w:pPr>
            <w:r>
              <w:rPr>
                <w:sz w:val="16"/>
              </w:rPr>
              <w:t>Firewall, route, DNS, overlapping ranges, missing NAT/private access.</w:t>
            </w:r>
          </w:p>
        </w:tc>
      </w:tr>
      <w:tr>
        <w:trPr>
          <w:cantSplit/>
        </w:trPr>
        <w:tc>
          <w:tcPr>
            <w:tcW w:type="dxa" w:w="1728"/>
            <w:tcMar>
              <w:top w:w="80" w:type="dxa"/>
              <w:start w:w="100" w:type="dxa"/>
              <w:bottom w:w="80" w:type="dxa"/>
              <w:end w:w="100" w:type="dxa"/>
            </w:tcMar>
            <w:vAlign w:val="top"/>
          </w:tcPr>
          <w:p>
            <w:pPr>
              <w:spacing w:after="0"/>
            </w:pPr>
            <w:r>
              <w:rPr>
                <w:sz w:val="16"/>
              </w:rPr>
              <w:t>Quota</w:t>
            </w:r>
          </w:p>
        </w:tc>
        <w:tc>
          <w:tcPr>
            <w:tcW w:type="dxa" w:w="3744"/>
            <w:tcMar>
              <w:top w:w="80" w:type="dxa"/>
              <w:start w:w="100" w:type="dxa"/>
              <w:bottom w:w="80" w:type="dxa"/>
              <w:end w:w="100" w:type="dxa"/>
            </w:tcMar>
            <w:vAlign w:val="top"/>
          </w:tcPr>
          <w:p>
            <w:pPr>
              <w:spacing w:after="0"/>
            </w:pPr>
            <w:r>
              <w:rPr>
                <w:sz w:val="16"/>
              </w:rPr>
              <w:t>Quota page/API and regional utilization</w:t>
            </w:r>
          </w:p>
        </w:tc>
        <w:tc>
          <w:tcPr>
            <w:tcW w:type="dxa" w:w="4608"/>
            <w:tcMar>
              <w:top w:w="80" w:type="dxa"/>
              <w:start w:w="100" w:type="dxa"/>
              <w:bottom w:w="80" w:type="dxa"/>
              <w:end w:w="100" w:type="dxa"/>
            </w:tcMar>
            <w:vAlign w:val="top"/>
          </w:tcPr>
          <w:p>
            <w:pPr>
              <w:spacing w:after="0"/>
            </w:pPr>
            <w:r>
              <w:rPr>
                <w:sz w:val="16"/>
              </w:rPr>
              <w:t>Insufficient regional capacity or service limit.</w:t>
            </w:r>
          </w:p>
        </w:tc>
      </w:tr>
      <w:tr>
        <w:trPr>
          <w:cantSplit/>
        </w:trPr>
        <w:tc>
          <w:tcPr>
            <w:tcW w:type="dxa" w:w="1728"/>
            <w:tcMar>
              <w:top w:w="80" w:type="dxa"/>
              <w:start w:w="100" w:type="dxa"/>
              <w:bottom w:w="80" w:type="dxa"/>
              <w:end w:w="100" w:type="dxa"/>
            </w:tcMar>
            <w:vAlign w:val="top"/>
          </w:tcPr>
          <w:p>
            <w:pPr>
              <w:spacing w:after="0"/>
            </w:pPr>
            <w:r>
              <w:rPr>
                <w:sz w:val="16"/>
              </w:rPr>
              <w:t>Billing</w:t>
            </w:r>
          </w:p>
        </w:tc>
        <w:tc>
          <w:tcPr>
            <w:tcW w:type="dxa" w:w="3744"/>
            <w:tcMar>
              <w:top w:w="80" w:type="dxa"/>
              <w:start w:w="100" w:type="dxa"/>
              <w:bottom w:w="80" w:type="dxa"/>
              <w:end w:w="100" w:type="dxa"/>
            </w:tcMar>
            <w:vAlign w:val="top"/>
          </w:tcPr>
          <w:p>
            <w:pPr>
              <w:spacing w:after="0"/>
            </w:pPr>
            <w:r>
              <w:rPr>
                <w:sz w:val="16"/>
              </w:rPr>
              <w:t>Reports, SKU, project linkage, labels</w:t>
            </w:r>
          </w:p>
        </w:tc>
        <w:tc>
          <w:tcPr>
            <w:tcW w:type="dxa" w:w="4608"/>
            <w:tcMar>
              <w:top w:w="80" w:type="dxa"/>
              <w:start w:w="100" w:type="dxa"/>
              <w:bottom w:w="80" w:type="dxa"/>
              <w:end w:w="100" w:type="dxa"/>
            </w:tcMar>
            <w:vAlign w:val="top"/>
          </w:tcPr>
          <w:p>
            <w:pPr>
              <w:spacing w:after="0"/>
            </w:pPr>
            <w:r>
              <w:rPr>
                <w:sz w:val="16"/>
              </w:rPr>
              <w:t>Orphan resources, data transfer, retention, missing allocation.</w:t>
            </w:r>
          </w:p>
        </w:tc>
      </w:tr>
    </w:tbl>
    <w:p>
      <w:pPr>
        <w:spacing w:after="20"/>
      </w:pPr>
    </w:p>
    <w:p>
      <w:pPr>
        <w:pStyle w:val="Heading1"/>
        <w:keepNext/>
      </w:pPr>
      <w:r>
        <w:t>Appendix C - Foundation Production-Readiness Checklist</w:t>
      </w:r>
    </w:p>
    <w:p>
      <w:pPr>
        <w:pStyle w:val="ListBullet"/>
        <w:spacing w:after="60"/>
      </w:pPr>
      <w:r>
        <w:t>☐ Resource hierarchy and project ownership are documented.</w:t>
      </w:r>
    </w:p>
    <w:p>
      <w:pPr>
        <w:pStyle w:val="ListBullet"/>
        <w:spacing w:after="60"/>
      </w:pPr>
      <w:r>
        <w:t>☐ Production and nonproduction are separated.</w:t>
      </w:r>
    </w:p>
    <w:p>
      <w:pPr>
        <w:pStyle w:val="ListBullet"/>
        <w:spacing w:after="60"/>
      </w:pPr>
      <w:r>
        <w:t>☐ Billing account linkage, budgets, recipients, and export are defined.</w:t>
      </w:r>
    </w:p>
    <w:p>
      <w:pPr>
        <w:pStyle w:val="ListBullet"/>
        <w:spacing w:after="60"/>
      </w:pPr>
      <w:r>
        <w:t>☐ Groups are used for workforce access and broad basic roles are removed.</w:t>
      </w:r>
    </w:p>
    <w:p>
      <w:pPr>
        <w:pStyle w:val="ListBullet"/>
        <w:spacing w:after="60"/>
      </w:pPr>
      <w:r>
        <w:t>☐ Service accounts are dedicated per workload and long-lived keys are prohibited or formally excepted.</w:t>
      </w:r>
    </w:p>
    <w:p>
      <w:pPr>
        <w:pStyle w:val="ListBullet"/>
        <w:spacing w:after="60"/>
      </w:pPr>
      <w:r>
        <w:t>☐ gcloud configurations and automation use explicit context.</w:t>
      </w:r>
    </w:p>
    <w:p>
      <w:pPr>
        <w:pStyle w:val="ListBullet"/>
        <w:spacing w:after="60"/>
      </w:pPr>
      <w:r>
        <w:t>☐ Required APIs are managed and unused APIs are reviewed.</w:t>
      </w:r>
    </w:p>
    <w:p>
      <w:pPr>
        <w:pStyle w:val="ListBullet"/>
        <w:spacing w:after="60"/>
      </w:pPr>
      <w:r>
        <w:t>☐ Organization policies are staged, tested, and have governed exceptions.</w:t>
      </w:r>
    </w:p>
    <w:p>
      <w:pPr>
        <w:pStyle w:val="ListBullet"/>
        <w:spacing w:after="60"/>
      </w:pPr>
      <w:r>
        <w:t>☐ Labels/tags identify owner, environment, cost center, application, data class, and expiry.</w:t>
      </w:r>
    </w:p>
    <w:p>
      <w:pPr>
        <w:pStyle w:val="ListBullet"/>
        <w:spacing w:after="60"/>
      </w:pPr>
      <w:r>
        <w:t>☐ Regional and zonal failure domains are documented.</w:t>
      </w:r>
    </w:p>
    <w:p>
      <w:pPr>
        <w:pStyle w:val="ListBullet"/>
        <w:spacing w:after="60"/>
      </w:pPr>
      <w:r>
        <w:t>☐ Quota is sufficient in primary and recovery locations.</w:t>
      </w:r>
    </w:p>
    <w:p>
      <w:pPr>
        <w:pStyle w:val="ListBullet"/>
        <w:spacing w:after="60"/>
      </w:pPr>
      <w:r>
        <w:t>☐ VPC is custom mode with deliberate subnet ranges.</w:t>
      </w:r>
    </w:p>
    <w:p>
      <w:pPr>
        <w:pStyle w:val="ListBullet"/>
        <w:spacing w:after="60"/>
      </w:pPr>
      <w:r>
        <w:t>☐ Public IP use is justified and restricted.</w:t>
      </w:r>
    </w:p>
    <w:p>
      <w:pPr>
        <w:pStyle w:val="ListBullet"/>
        <w:spacing w:after="60"/>
      </w:pPr>
      <w:r>
        <w:t>☐ Firewall rules are least privilege and administrative access is controlled.</w:t>
      </w:r>
    </w:p>
    <w:p>
      <w:pPr>
        <w:pStyle w:val="ListBullet"/>
        <w:spacing w:after="60"/>
      </w:pPr>
      <w:r>
        <w:t>☐ VM images, patching, logging, service accounts, disks, and deletion behavior are defined.</w:t>
      </w:r>
    </w:p>
    <w:p>
      <w:pPr>
        <w:pStyle w:val="ListBullet"/>
        <w:spacing w:after="60"/>
      </w:pPr>
      <w:r>
        <w:t>☐ Audit logs and operational logs are retained and accessible.</w:t>
      </w:r>
    </w:p>
    <w:p>
      <w:pPr>
        <w:pStyle w:val="ListBullet"/>
        <w:spacing w:after="60"/>
      </w:pPr>
      <w:r>
        <w:t>☐ Cleanup, decommissioning, and orphan-resource detection are automated.</w:t>
      </w:r>
    </w:p>
    <w:p>
      <w:pPr>
        <w:pStyle w:val="ListBullet"/>
        <w:spacing w:after="60"/>
      </w:pPr>
      <w:r>
        <w:t>☐ Capstone validation includes allowed and denied tests plus cost evidence.</w:t>
      </w:r>
    </w:p>
    <w:p>
      <w:pPr>
        <w:pStyle w:val="Heading1"/>
        <w:keepNext/>
      </w:pPr>
      <w:r>
        <w:t>Appendix D - 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A73E8"/>
            <w:tcMar>
              <w:top w:w="80" w:type="dxa"/>
              <w:start w:w="100" w:type="dxa"/>
              <w:bottom w:w="80" w:type="dxa"/>
              <w:end w:w="100" w:type="dxa"/>
            </w:tcMar>
            <w:vAlign w:val="center"/>
          </w:tcPr>
          <w:p>
            <w:pPr>
              <w:jc w:val="center"/>
            </w:pPr>
            <w:r>
              <w:rPr>
                <w:b/>
                <w:color w:val="FFFFFF"/>
                <w:sz w:val="17"/>
              </w:rPr>
              <w:t>Term</w:t>
            </w:r>
          </w:p>
        </w:tc>
        <w:tc>
          <w:tcPr>
            <w:tcW w:type="dxa" w:w="7200"/>
            <w:shd w:fill="1A73E8"/>
            <w:tcMar>
              <w:top w:w="80" w:type="dxa"/>
              <w:start w:w="100" w:type="dxa"/>
              <w:bottom w:w="80" w:type="dxa"/>
              <w:end w:w="100" w:type="dxa"/>
            </w:tcMar>
            <w:vAlign w:val="center"/>
          </w:tcPr>
          <w:p>
            <w:pPr>
              <w:jc w:val="center"/>
            </w:pPr>
            <w:r>
              <w:rPr>
                <w:b/>
                <w:color w:val="FFFFFF"/>
                <w:sz w:val="17"/>
              </w:rPr>
              <w:t>Definition</w:t>
            </w:r>
          </w:p>
        </w:tc>
      </w:tr>
      <w:tr>
        <w:trPr>
          <w:cantSplit/>
        </w:trPr>
        <w:tc>
          <w:tcPr>
            <w:tcW w:type="dxa" w:w="2880"/>
            <w:tcMar>
              <w:top w:w="80" w:type="dxa"/>
              <w:start w:w="100" w:type="dxa"/>
              <w:bottom w:w="80" w:type="dxa"/>
              <w:end w:w="100" w:type="dxa"/>
            </w:tcMar>
            <w:vAlign w:val="top"/>
          </w:tcPr>
          <w:p>
            <w:pPr>
              <w:spacing w:after="0"/>
            </w:pPr>
            <w:r>
              <w:rPr>
                <w:sz w:val="16"/>
              </w:rPr>
              <w:t>Application Default Credentials (ADC)</w:t>
            </w:r>
          </w:p>
        </w:tc>
        <w:tc>
          <w:tcPr>
            <w:tcW w:type="dxa" w:w="7200"/>
            <w:tcMar>
              <w:top w:w="80" w:type="dxa"/>
              <w:start w:w="100" w:type="dxa"/>
              <w:bottom w:w="80" w:type="dxa"/>
              <w:end w:w="100" w:type="dxa"/>
            </w:tcMar>
            <w:vAlign w:val="top"/>
          </w:tcPr>
          <w:p>
            <w:pPr>
              <w:spacing w:after="0"/>
            </w:pPr>
            <w:r>
              <w:rPr>
                <w:sz w:val="16"/>
              </w:rPr>
              <w:t>A standard credential-discovery mechanism used by Google client libraries.</w:t>
            </w:r>
          </w:p>
        </w:tc>
      </w:tr>
      <w:tr>
        <w:trPr>
          <w:cantSplit/>
        </w:trPr>
        <w:tc>
          <w:tcPr>
            <w:tcW w:type="dxa" w:w="2880"/>
            <w:tcMar>
              <w:top w:w="80" w:type="dxa"/>
              <w:start w:w="100" w:type="dxa"/>
              <w:bottom w:w="80" w:type="dxa"/>
              <w:end w:w="100" w:type="dxa"/>
            </w:tcMar>
            <w:vAlign w:val="top"/>
          </w:tcPr>
          <w:p>
            <w:pPr>
              <w:spacing w:after="0"/>
            </w:pPr>
            <w:r>
              <w:rPr>
                <w:sz w:val="16"/>
              </w:rPr>
              <w:t>Billing account</w:t>
            </w:r>
          </w:p>
        </w:tc>
        <w:tc>
          <w:tcPr>
            <w:tcW w:type="dxa" w:w="7200"/>
            <w:tcMar>
              <w:top w:w="80" w:type="dxa"/>
              <w:start w:w="100" w:type="dxa"/>
              <w:bottom w:w="80" w:type="dxa"/>
              <w:end w:w="100" w:type="dxa"/>
            </w:tcMar>
            <w:vAlign w:val="top"/>
          </w:tcPr>
          <w:p>
            <w:pPr>
              <w:spacing w:after="0"/>
            </w:pPr>
            <w:r>
              <w:rPr>
                <w:sz w:val="16"/>
              </w:rPr>
              <w:t>The account that pays for usage from linked Google Cloud projects.</w:t>
            </w:r>
          </w:p>
        </w:tc>
      </w:tr>
      <w:tr>
        <w:trPr>
          <w:cantSplit/>
        </w:trPr>
        <w:tc>
          <w:tcPr>
            <w:tcW w:type="dxa" w:w="2880"/>
            <w:tcMar>
              <w:top w:w="80" w:type="dxa"/>
              <w:start w:w="100" w:type="dxa"/>
              <w:bottom w:w="80" w:type="dxa"/>
              <w:end w:w="100" w:type="dxa"/>
            </w:tcMar>
            <w:vAlign w:val="top"/>
          </w:tcPr>
          <w:p>
            <w:pPr>
              <w:spacing w:after="0"/>
            </w:pPr>
            <w:r>
              <w:rPr>
                <w:sz w:val="16"/>
              </w:rPr>
              <w:t>Cloud Identity</w:t>
            </w:r>
          </w:p>
        </w:tc>
        <w:tc>
          <w:tcPr>
            <w:tcW w:type="dxa" w:w="7200"/>
            <w:tcMar>
              <w:top w:w="80" w:type="dxa"/>
              <w:start w:w="100" w:type="dxa"/>
              <w:bottom w:w="80" w:type="dxa"/>
              <w:end w:w="100" w:type="dxa"/>
            </w:tcMar>
            <w:vAlign w:val="top"/>
          </w:tcPr>
          <w:p>
            <w:pPr>
              <w:spacing w:after="0"/>
            </w:pPr>
            <w:r>
              <w:rPr>
                <w:sz w:val="16"/>
              </w:rPr>
              <w:t>Google identity platform for users and groups, often used to establish an organization resource.</w:t>
            </w:r>
          </w:p>
        </w:tc>
      </w:tr>
      <w:tr>
        <w:trPr>
          <w:cantSplit/>
        </w:trPr>
        <w:tc>
          <w:tcPr>
            <w:tcW w:type="dxa" w:w="2880"/>
            <w:tcMar>
              <w:top w:w="80" w:type="dxa"/>
              <w:start w:w="100" w:type="dxa"/>
              <w:bottom w:w="80" w:type="dxa"/>
              <w:end w:w="100" w:type="dxa"/>
            </w:tcMar>
            <w:vAlign w:val="top"/>
          </w:tcPr>
          <w:p>
            <w:pPr>
              <w:spacing w:after="0"/>
            </w:pPr>
            <w:r>
              <w:rPr>
                <w:sz w:val="16"/>
              </w:rPr>
              <w:t>Cloud Shell</w:t>
            </w:r>
          </w:p>
        </w:tc>
        <w:tc>
          <w:tcPr>
            <w:tcW w:type="dxa" w:w="7200"/>
            <w:tcMar>
              <w:top w:w="80" w:type="dxa"/>
              <w:start w:w="100" w:type="dxa"/>
              <w:bottom w:w="80" w:type="dxa"/>
              <w:end w:w="100" w:type="dxa"/>
            </w:tcMar>
            <w:vAlign w:val="top"/>
          </w:tcPr>
          <w:p>
            <w:pPr>
              <w:spacing w:after="0"/>
            </w:pPr>
            <w:r>
              <w:rPr>
                <w:sz w:val="16"/>
              </w:rPr>
              <w:t>Browser-based, authenticated shell with Google Cloud CLI and common tools installed.</w:t>
            </w:r>
          </w:p>
        </w:tc>
      </w:tr>
      <w:tr>
        <w:trPr>
          <w:cantSplit/>
        </w:trPr>
        <w:tc>
          <w:tcPr>
            <w:tcW w:type="dxa" w:w="2880"/>
            <w:tcMar>
              <w:top w:w="80" w:type="dxa"/>
              <w:start w:w="100" w:type="dxa"/>
              <w:bottom w:w="80" w:type="dxa"/>
              <w:end w:w="100" w:type="dxa"/>
            </w:tcMar>
            <w:vAlign w:val="top"/>
          </w:tcPr>
          <w:p>
            <w:pPr>
              <w:spacing w:after="0"/>
            </w:pPr>
            <w:r>
              <w:rPr>
                <w:sz w:val="16"/>
              </w:rPr>
              <w:t>Folder</w:t>
            </w:r>
          </w:p>
        </w:tc>
        <w:tc>
          <w:tcPr>
            <w:tcW w:type="dxa" w:w="7200"/>
            <w:tcMar>
              <w:top w:w="80" w:type="dxa"/>
              <w:start w:w="100" w:type="dxa"/>
              <w:bottom w:w="80" w:type="dxa"/>
              <w:end w:w="100" w:type="dxa"/>
            </w:tcMar>
            <w:vAlign w:val="top"/>
          </w:tcPr>
          <w:p>
            <w:pPr>
              <w:spacing w:after="0"/>
            </w:pPr>
            <w:r>
              <w:rPr>
                <w:sz w:val="16"/>
              </w:rPr>
              <w:t>Optional resource-hierarchy node used to group projects and inherit controls.</w:t>
            </w:r>
          </w:p>
        </w:tc>
      </w:tr>
      <w:tr>
        <w:trPr>
          <w:cantSplit/>
        </w:trPr>
        <w:tc>
          <w:tcPr>
            <w:tcW w:type="dxa" w:w="2880"/>
            <w:tcMar>
              <w:top w:w="80" w:type="dxa"/>
              <w:start w:w="100" w:type="dxa"/>
              <w:bottom w:w="80" w:type="dxa"/>
              <w:end w:w="100" w:type="dxa"/>
            </w:tcMar>
            <w:vAlign w:val="top"/>
          </w:tcPr>
          <w:p>
            <w:pPr>
              <w:spacing w:after="0"/>
            </w:pPr>
            <w:r>
              <w:rPr>
                <w:sz w:val="16"/>
              </w:rPr>
              <w:t>IAM</w:t>
            </w:r>
          </w:p>
        </w:tc>
        <w:tc>
          <w:tcPr>
            <w:tcW w:type="dxa" w:w="7200"/>
            <w:tcMar>
              <w:top w:w="80" w:type="dxa"/>
              <w:start w:w="100" w:type="dxa"/>
              <w:bottom w:w="80" w:type="dxa"/>
              <w:end w:w="100" w:type="dxa"/>
            </w:tcMar>
            <w:vAlign w:val="top"/>
          </w:tcPr>
          <w:p>
            <w:pPr>
              <w:spacing w:after="0"/>
            </w:pPr>
            <w:r>
              <w:rPr>
                <w:sz w:val="16"/>
              </w:rPr>
              <w:t>Identity and Access Management: principals, roles, permissions, and policies.</w:t>
            </w:r>
          </w:p>
        </w:tc>
      </w:tr>
      <w:tr>
        <w:trPr>
          <w:cantSplit/>
        </w:trPr>
        <w:tc>
          <w:tcPr>
            <w:tcW w:type="dxa" w:w="2880"/>
            <w:tcMar>
              <w:top w:w="80" w:type="dxa"/>
              <w:start w:w="100" w:type="dxa"/>
              <w:bottom w:w="80" w:type="dxa"/>
              <w:end w:w="100" w:type="dxa"/>
            </w:tcMar>
            <w:vAlign w:val="top"/>
          </w:tcPr>
          <w:p>
            <w:pPr>
              <w:spacing w:after="0"/>
            </w:pPr>
            <w:r>
              <w:rPr>
                <w:sz w:val="16"/>
              </w:rPr>
              <w:t>Organization Policy</w:t>
            </w:r>
          </w:p>
        </w:tc>
        <w:tc>
          <w:tcPr>
            <w:tcW w:type="dxa" w:w="7200"/>
            <w:tcMar>
              <w:top w:w="80" w:type="dxa"/>
              <w:start w:w="100" w:type="dxa"/>
              <w:bottom w:w="80" w:type="dxa"/>
              <w:end w:w="100" w:type="dxa"/>
            </w:tcMar>
            <w:vAlign w:val="top"/>
          </w:tcPr>
          <w:p>
            <w:pPr>
              <w:spacing w:after="0"/>
            </w:pPr>
            <w:r>
              <w:rPr>
                <w:sz w:val="16"/>
              </w:rPr>
              <w:t>Constraints that limit resource configuration across the hierarchy.</w:t>
            </w:r>
          </w:p>
        </w:tc>
      </w:tr>
      <w:tr>
        <w:trPr>
          <w:cantSplit/>
        </w:trPr>
        <w:tc>
          <w:tcPr>
            <w:tcW w:type="dxa" w:w="2880"/>
            <w:tcMar>
              <w:top w:w="80" w:type="dxa"/>
              <w:start w:w="100" w:type="dxa"/>
              <w:bottom w:w="80" w:type="dxa"/>
              <w:end w:w="100" w:type="dxa"/>
            </w:tcMar>
            <w:vAlign w:val="top"/>
          </w:tcPr>
          <w:p>
            <w:pPr>
              <w:spacing w:after="0"/>
            </w:pPr>
            <w:r>
              <w:rPr>
                <w:sz w:val="16"/>
              </w:rPr>
              <w:t>Project</w:t>
            </w:r>
          </w:p>
        </w:tc>
        <w:tc>
          <w:tcPr>
            <w:tcW w:type="dxa" w:w="7200"/>
            <w:tcMar>
              <w:top w:w="80" w:type="dxa"/>
              <w:start w:w="100" w:type="dxa"/>
              <w:bottom w:w="80" w:type="dxa"/>
              <w:end w:w="100" w:type="dxa"/>
            </w:tcMar>
            <w:vAlign w:val="top"/>
          </w:tcPr>
          <w:p>
            <w:pPr>
              <w:spacing w:after="0"/>
            </w:pPr>
            <w:r>
              <w:rPr>
                <w:sz w:val="16"/>
              </w:rPr>
              <w:t>Core Google Cloud boundary for resources, APIs, quotas, IAM, billing association, and lifecycle.</w:t>
            </w:r>
          </w:p>
        </w:tc>
      </w:tr>
      <w:tr>
        <w:trPr>
          <w:cantSplit/>
        </w:trPr>
        <w:tc>
          <w:tcPr>
            <w:tcW w:type="dxa" w:w="2880"/>
            <w:tcMar>
              <w:top w:w="80" w:type="dxa"/>
              <w:start w:w="100" w:type="dxa"/>
              <w:bottom w:w="80" w:type="dxa"/>
              <w:end w:w="100" w:type="dxa"/>
            </w:tcMar>
            <w:vAlign w:val="top"/>
          </w:tcPr>
          <w:p>
            <w:pPr>
              <w:spacing w:after="0"/>
            </w:pPr>
            <w:r>
              <w:rPr>
                <w:sz w:val="16"/>
              </w:rPr>
              <w:t>Resource Manager tag</w:t>
            </w:r>
          </w:p>
        </w:tc>
        <w:tc>
          <w:tcPr>
            <w:tcW w:type="dxa" w:w="7200"/>
            <w:tcMar>
              <w:top w:w="80" w:type="dxa"/>
              <w:start w:w="100" w:type="dxa"/>
              <w:bottom w:w="80" w:type="dxa"/>
              <w:end w:w="100" w:type="dxa"/>
            </w:tcMar>
            <w:vAlign w:val="top"/>
          </w:tcPr>
          <w:p>
            <w:pPr>
              <w:spacing w:after="0"/>
            </w:pPr>
            <w:r>
              <w:rPr>
                <w:sz w:val="16"/>
              </w:rPr>
              <w:t>Hierarchical key/value metadata used for governance and supported policy conditions.</w:t>
            </w:r>
          </w:p>
        </w:tc>
      </w:tr>
      <w:tr>
        <w:trPr>
          <w:cantSplit/>
        </w:trPr>
        <w:tc>
          <w:tcPr>
            <w:tcW w:type="dxa" w:w="2880"/>
            <w:tcMar>
              <w:top w:w="80" w:type="dxa"/>
              <w:start w:w="100" w:type="dxa"/>
              <w:bottom w:w="80" w:type="dxa"/>
              <w:end w:w="100" w:type="dxa"/>
            </w:tcMar>
            <w:vAlign w:val="top"/>
          </w:tcPr>
          <w:p>
            <w:pPr>
              <w:spacing w:after="0"/>
            </w:pPr>
            <w:r>
              <w:rPr>
                <w:sz w:val="16"/>
              </w:rPr>
              <w:t>Service account</w:t>
            </w:r>
          </w:p>
        </w:tc>
        <w:tc>
          <w:tcPr>
            <w:tcW w:type="dxa" w:w="7200"/>
            <w:tcMar>
              <w:top w:w="80" w:type="dxa"/>
              <w:start w:w="100" w:type="dxa"/>
              <w:bottom w:w="80" w:type="dxa"/>
              <w:end w:w="100" w:type="dxa"/>
            </w:tcMar>
            <w:vAlign w:val="top"/>
          </w:tcPr>
          <w:p>
            <w:pPr>
              <w:spacing w:after="0"/>
            </w:pPr>
            <w:r>
              <w:rPr>
                <w:sz w:val="16"/>
              </w:rPr>
              <w:t>A workload identity used by applications, VMs, and automation.</w:t>
            </w:r>
          </w:p>
        </w:tc>
      </w:tr>
      <w:tr>
        <w:trPr>
          <w:cantSplit/>
        </w:trPr>
        <w:tc>
          <w:tcPr>
            <w:tcW w:type="dxa" w:w="2880"/>
            <w:tcMar>
              <w:top w:w="80" w:type="dxa"/>
              <w:start w:w="100" w:type="dxa"/>
              <w:bottom w:w="80" w:type="dxa"/>
              <w:end w:w="100" w:type="dxa"/>
            </w:tcMar>
            <w:vAlign w:val="top"/>
          </w:tcPr>
          <w:p>
            <w:pPr>
              <w:spacing w:after="0"/>
            </w:pPr>
            <w:r>
              <w:rPr>
                <w:sz w:val="16"/>
              </w:rPr>
              <w:t>Shared VPC</w:t>
            </w:r>
          </w:p>
        </w:tc>
        <w:tc>
          <w:tcPr>
            <w:tcW w:type="dxa" w:w="7200"/>
            <w:tcMar>
              <w:top w:w="80" w:type="dxa"/>
              <w:start w:w="100" w:type="dxa"/>
              <w:bottom w:w="80" w:type="dxa"/>
              <w:end w:w="100" w:type="dxa"/>
            </w:tcMar>
            <w:vAlign w:val="top"/>
          </w:tcPr>
          <w:p>
            <w:pPr>
              <w:spacing w:after="0"/>
            </w:pPr>
            <w:r>
              <w:rPr>
                <w:sz w:val="16"/>
              </w:rPr>
              <w:t>A model in which a host project supplies centrally governed networks to service projects.</w:t>
            </w:r>
          </w:p>
        </w:tc>
      </w:tr>
      <w:tr>
        <w:trPr>
          <w:cantSplit/>
        </w:trPr>
        <w:tc>
          <w:tcPr>
            <w:tcW w:type="dxa" w:w="2880"/>
            <w:tcMar>
              <w:top w:w="80" w:type="dxa"/>
              <w:start w:w="100" w:type="dxa"/>
              <w:bottom w:w="80" w:type="dxa"/>
              <w:end w:w="100" w:type="dxa"/>
            </w:tcMar>
            <w:vAlign w:val="top"/>
          </w:tcPr>
          <w:p>
            <w:pPr>
              <w:spacing w:after="0"/>
            </w:pPr>
            <w:r>
              <w:rPr>
                <w:sz w:val="16"/>
              </w:rPr>
              <w:t>VPC</w:t>
            </w:r>
          </w:p>
        </w:tc>
        <w:tc>
          <w:tcPr>
            <w:tcW w:type="dxa" w:w="7200"/>
            <w:tcMar>
              <w:top w:w="80" w:type="dxa"/>
              <w:start w:w="100" w:type="dxa"/>
              <w:bottom w:w="80" w:type="dxa"/>
              <w:end w:w="100" w:type="dxa"/>
            </w:tcMar>
            <w:vAlign w:val="top"/>
          </w:tcPr>
          <w:p>
            <w:pPr>
              <w:spacing w:after="0"/>
            </w:pPr>
            <w:r>
              <w:rPr>
                <w:sz w:val="16"/>
              </w:rPr>
              <w:t>A global virtual network containing regional subnets.</w:t>
            </w:r>
          </w:p>
        </w:tc>
      </w:tr>
      <w:tr>
        <w:trPr>
          <w:cantSplit/>
        </w:trPr>
        <w:tc>
          <w:tcPr>
            <w:tcW w:type="dxa" w:w="2880"/>
            <w:tcMar>
              <w:top w:w="80" w:type="dxa"/>
              <w:start w:w="100" w:type="dxa"/>
              <w:bottom w:w="80" w:type="dxa"/>
              <w:end w:w="100" w:type="dxa"/>
            </w:tcMar>
            <w:vAlign w:val="top"/>
          </w:tcPr>
          <w:p>
            <w:pPr>
              <w:spacing w:after="0"/>
            </w:pPr>
            <w:r>
              <w:rPr>
                <w:sz w:val="16"/>
              </w:rPr>
              <w:t>Workload Identity Federation</w:t>
            </w:r>
          </w:p>
        </w:tc>
        <w:tc>
          <w:tcPr>
            <w:tcW w:type="dxa" w:w="7200"/>
            <w:tcMar>
              <w:top w:w="80" w:type="dxa"/>
              <w:start w:w="100" w:type="dxa"/>
              <w:bottom w:w="80" w:type="dxa"/>
              <w:end w:w="100" w:type="dxa"/>
            </w:tcMar>
            <w:vAlign w:val="top"/>
          </w:tcPr>
          <w:p>
            <w:pPr>
              <w:spacing w:after="0"/>
            </w:pPr>
            <w:r>
              <w:rPr>
                <w:sz w:val="16"/>
              </w:rPr>
              <w:t>Federation that exchanges external identity assertions for short-lived Google Cloud credentials.</w:t>
            </w:r>
          </w:p>
        </w:tc>
      </w:tr>
      <w:tr>
        <w:trPr>
          <w:cantSplit/>
        </w:trPr>
        <w:tc>
          <w:tcPr>
            <w:tcW w:type="dxa" w:w="2880"/>
            <w:tcMar>
              <w:top w:w="80" w:type="dxa"/>
              <w:start w:w="100" w:type="dxa"/>
              <w:bottom w:w="80" w:type="dxa"/>
              <w:end w:w="100" w:type="dxa"/>
            </w:tcMar>
            <w:vAlign w:val="top"/>
          </w:tcPr>
          <w:p>
            <w:pPr>
              <w:spacing w:after="0"/>
            </w:pPr>
            <w:r>
              <w:rPr>
                <w:sz w:val="16"/>
              </w:rPr>
              <w:t>Zone</w:t>
            </w:r>
          </w:p>
        </w:tc>
        <w:tc>
          <w:tcPr>
            <w:tcW w:type="dxa" w:w="7200"/>
            <w:tcMar>
              <w:top w:w="80" w:type="dxa"/>
              <w:start w:w="100" w:type="dxa"/>
              <w:bottom w:w="80" w:type="dxa"/>
              <w:end w:w="100" w:type="dxa"/>
            </w:tcMar>
            <w:vAlign w:val="top"/>
          </w:tcPr>
          <w:p>
            <w:pPr>
              <w:spacing w:after="0"/>
            </w:pPr>
            <w:r>
              <w:rPr>
                <w:sz w:val="16"/>
              </w:rPr>
              <w:t>A deployment and failure domain within a Google Cloud region.</w:t>
            </w:r>
          </w:p>
        </w:tc>
      </w:tr>
    </w:tbl>
    <w:p>
      <w:pPr>
        <w:spacing w:after="20"/>
      </w:pPr>
    </w:p>
    <w:p>
      <w:pPr>
        <w:pStyle w:val="Heading1"/>
        <w:keepNext/>
      </w:pPr>
      <w:r>
        <w:t>Official Google Cloud Documentation Index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A73E8"/>
            <w:tcMar>
              <w:top w:w="80" w:type="dxa"/>
              <w:start w:w="100" w:type="dxa"/>
              <w:bottom w:w="80" w:type="dxa"/>
              <w:end w:w="100" w:type="dxa"/>
            </w:tcMar>
            <w:vAlign w:val="center"/>
          </w:tcPr>
          <w:p>
            <w:pPr>
              <w:jc w:val="center"/>
            </w:pPr>
            <w:r>
              <w:rPr>
                <w:b/>
                <w:color w:val="FFFFFF"/>
                <w:sz w:val="17"/>
              </w:rPr>
              <w:t>Topic</w:t>
            </w:r>
          </w:p>
        </w:tc>
        <w:tc>
          <w:tcPr>
            <w:tcW w:type="dxa" w:w="6912"/>
            <w:shd w:fill="1A73E8"/>
            <w:tcMar>
              <w:top w:w="80" w:type="dxa"/>
              <w:start w:w="100" w:type="dxa"/>
              <w:bottom w:w="80" w:type="dxa"/>
              <w:end w:w="100" w:type="dxa"/>
            </w:tcMar>
            <w:vAlign w:val="center"/>
          </w:tcPr>
          <w:p>
            <w:pPr>
              <w:jc w:val="center"/>
            </w:pPr>
            <w:r>
              <w:rPr>
                <w:b/>
                <w:color w:val="FFFFFF"/>
                <w:sz w:val="17"/>
              </w:rPr>
              <w:t>Official URL</w:t>
            </w:r>
          </w:p>
        </w:tc>
      </w:tr>
      <w:tr>
        <w:trPr>
          <w:cantSplit/>
        </w:trPr>
        <w:tc>
          <w:tcPr>
            <w:tcW w:type="dxa" w:w="3168"/>
            <w:tcMar>
              <w:top w:w="80" w:type="dxa"/>
              <w:start w:w="100" w:type="dxa"/>
              <w:bottom w:w="80" w:type="dxa"/>
              <w:end w:w="100" w:type="dxa"/>
            </w:tcMar>
            <w:vAlign w:val="top"/>
          </w:tcPr>
          <w:p>
            <w:pPr>
              <w:spacing w:after="0"/>
            </w:pPr>
            <w:r>
              <w:rPr>
                <w:sz w:val="16"/>
              </w:rPr>
              <w:t>Google Cloud overview</w:t>
            </w:r>
          </w:p>
        </w:tc>
        <w:tc>
          <w:tcPr>
            <w:tcW w:type="dxa" w:w="6912"/>
            <w:tcMar>
              <w:top w:w="80" w:type="dxa"/>
              <w:start w:w="100" w:type="dxa"/>
              <w:bottom w:w="80" w:type="dxa"/>
              <w:end w:w="100" w:type="dxa"/>
            </w:tcMar>
            <w:vAlign w:val="top"/>
          </w:tcPr>
          <w:p>
            <w:pPr>
              <w:spacing w:after="0"/>
            </w:pPr>
            <w:r>
              <w:rPr>
                <w:sz w:val="16"/>
              </w:rPr>
              <w:t>https://docs.cloud.google.com/docs/overview</w:t>
            </w:r>
          </w:p>
        </w:tc>
      </w:tr>
      <w:tr>
        <w:trPr>
          <w:cantSplit/>
        </w:trPr>
        <w:tc>
          <w:tcPr>
            <w:tcW w:type="dxa" w:w="3168"/>
            <w:tcMar>
              <w:top w:w="80" w:type="dxa"/>
              <w:start w:w="100" w:type="dxa"/>
              <w:bottom w:w="80" w:type="dxa"/>
              <w:end w:w="100" w:type="dxa"/>
            </w:tcMar>
            <w:vAlign w:val="top"/>
          </w:tcPr>
          <w:p>
            <w:pPr>
              <w:spacing w:after="0"/>
            </w:pPr>
            <w:r>
              <w:rPr>
                <w:sz w:val="16"/>
              </w:rPr>
              <w:t>Regions and zones / Compute</w:t>
            </w:r>
          </w:p>
        </w:tc>
        <w:tc>
          <w:tcPr>
            <w:tcW w:type="dxa" w:w="6912"/>
            <w:tcMar>
              <w:top w:w="80" w:type="dxa"/>
              <w:start w:w="100" w:type="dxa"/>
              <w:bottom w:w="80" w:type="dxa"/>
              <w:end w:w="100" w:type="dxa"/>
            </w:tcMar>
            <w:vAlign w:val="top"/>
          </w:tcPr>
          <w:p>
            <w:pPr>
              <w:spacing w:after="0"/>
            </w:pPr>
            <w:r>
              <w:rPr>
                <w:sz w:val="16"/>
              </w:rPr>
              <w:t>https://docs.cloud.google.com/docs/compute-area</w:t>
            </w:r>
          </w:p>
        </w:tc>
      </w:tr>
      <w:tr>
        <w:trPr>
          <w:cantSplit/>
        </w:trPr>
        <w:tc>
          <w:tcPr>
            <w:tcW w:type="dxa" w:w="3168"/>
            <w:tcMar>
              <w:top w:w="80" w:type="dxa"/>
              <w:start w:w="100" w:type="dxa"/>
              <w:bottom w:w="80" w:type="dxa"/>
              <w:end w:w="100" w:type="dxa"/>
            </w:tcMar>
            <w:vAlign w:val="top"/>
          </w:tcPr>
          <w:p>
            <w:pPr>
              <w:spacing w:after="0"/>
            </w:pPr>
            <w:r>
              <w:rPr>
                <w:sz w:val="16"/>
              </w:rPr>
              <w:t>Resource hierarchy</w:t>
            </w:r>
          </w:p>
        </w:tc>
        <w:tc>
          <w:tcPr>
            <w:tcW w:type="dxa" w:w="6912"/>
            <w:tcMar>
              <w:top w:w="80" w:type="dxa"/>
              <w:start w:w="100" w:type="dxa"/>
              <w:bottom w:w="80" w:type="dxa"/>
              <w:end w:w="100" w:type="dxa"/>
            </w:tcMar>
            <w:vAlign w:val="top"/>
          </w:tcPr>
          <w:p>
            <w:pPr>
              <w:spacing w:after="0"/>
            </w:pPr>
            <w:r>
              <w:rPr>
                <w:sz w:val="16"/>
              </w:rPr>
              <w:t>https://docs.cloud.google.com/resource-manager/docs/cloud-platform-resource-hierarchy</w:t>
            </w:r>
          </w:p>
        </w:tc>
      </w:tr>
      <w:tr>
        <w:trPr>
          <w:cantSplit/>
        </w:trPr>
        <w:tc>
          <w:tcPr>
            <w:tcW w:type="dxa" w:w="3168"/>
            <w:tcMar>
              <w:top w:w="80" w:type="dxa"/>
              <w:start w:w="100" w:type="dxa"/>
              <w:bottom w:w="80" w:type="dxa"/>
              <w:end w:w="100" w:type="dxa"/>
            </w:tcMar>
            <w:vAlign w:val="top"/>
          </w:tcPr>
          <w:p>
            <w:pPr>
              <w:spacing w:after="0"/>
            </w:pPr>
            <w:r>
              <w:rPr>
                <w:sz w:val="16"/>
              </w:rPr>
              <w:t>Projects</w:t>
            </w:r>
          </w:p>
        </w:tc>
        <w:tc>
          <w:tcPr>
            <w:tcW w:type="dxa" w:w="6912"/>
            <w:tcMar>
              <w:top w:w="80" w:type="dxa"/>
              <w:start w:w="100" w:type="dxa"/>
              <w:bottom w:w="80" w:type="dxa"/>
              <w:end w:w="100" w:type="dxa"/>
            </w:tcMar>
            <w:vAlign w:val="top"/>
          </w:tcPr>
          <w:p>
            <w:pPr>
              <w:spacing w:after="0"/>
            </w:pPr>
            <w:r>
              <w:rPr>
                <w:sz w:val="16"/>
              </w:rPr>
              <w:t>https://docs.cloud.google.com/resource-manager/docs/creating-managing-projects</w:t>
            </w:r>
          </w:p>
        </w:tc>
      </w:tr>
      <w:tr>
        <w:trPr>
          <w:cantSplit/>
        </w:trPr>
        <w:tc>
          <w:tcPr>
            <w:tcW w:type="dxa" w:w="3168"/>
            <w:tcMar>
              <w:top w:w="80" w:type="dxa"/>
              <w:start w:w="100" w:type="dxa"/>
              <w:bottom w:w="80" w:type="dxa"/>
              <w:end w:w="100" w:type="dxa"/>
            </w:tcMar>
            <w:vAlign w:val="top"/>
          </w:tcPr>
          <w:p>
            <w:pPr>
              <w:spacing w:after="0"/>
            </w:pPr>
            <w:r>
              <w:rPr>
                <w:sz w:val="16"/>
              </w:rPr>
              <w:t>IAM resource hierarchy access</w:t>
            </w:r>
          </w:p>
        </w:tc>
        <w:tc>
          <w:tcPr>
            <w:tcW w:type="dxa" w:w="6912"/>
            <w:tcMar>
              <w:top w:w="80" w:type="dxa"/>
              <w:start w:w="100" w:type="dxa"/>
              <w:bottom w:w="80" w:type="dxa"/>
              <w:end w:w="100" w:type="dxa"/>
            </w:tcMar>
            <w:vAlign w:val="top"/>
          </w:tcPr>
          <w:p>
            <w:pPr>
              <w:spacing w:after="0"/>
            </w:pPr>
            <w:r>
              <w:rPr>
                <w:sz w:val="16"/>
              </w:rPr>
              <w:t>https://docs.cloud.google.com/iam/docs/resource-hierarchy-access-control</w:t>
            </w:r>
          </w:p>
        </w:tc>
      </w:tr>
      <w:tr>
        <w:trPr>
          <w:cantSplit/>
        </w:trPr>
        <w:tc>
          <w:tcPr>
            <w:tcW w:type="dxa" w:w="3168"/>
            <w:tcMar>
              <w:top w:w="80" w:type="dxa"/>
              <w:start w:w="100" w:type="dxa"/>
              <w:bottom w:w="80" w:type="dxa"/>
              <w:end w:w="100" w:type="dxa"/>
            </w:tcMar>
            <w:vAlign w:val="top"/>
          </w:tcPr>
          <w:p>
            <w:pPr>
              <w:spacing w:after="0"/>
            </w:pPr>
            <w:r>
              <w:rPr>
                <w:sz w:val="16"/>
              </w:rPr>
              <w:t>Service account best practices</w:t>
            </w:r>
          </w:p>
        </w:tc>
        <w:tc>
          <w:tcPr>
            <w:tcW w:type="dxa" w:w="6912"/>
            <w:tcMar>
              <w:top w:w="80" w:type="dxa"/>
              <w:start w:w="100" w:type="dxa"/>
              <w:bottom w:w="80" w:type="dxa"/>
              <w:end w:w="100" w:type="dxa"/>
            </w:tcMar>
            <w:vAlign w:val="top"/>
          </w:tcPr>
          <w:p>
            <w:pPr>
              <w:spacing w:after="0"/>
            </w:pPr>
            <w:r>
              <w:rPr>
                <w:sz w:val="16"/>
              </w:rPr>
              <w:t>https://docs.cloud.google.com/iam/docs/best-practices-service-accounts</w:t>
            </w:r>
          </w:p>
        </w:tc>
      </w:tr>
      <w:tr>
        <w:trPr>
          <w:cantSplit/>
        </w:trPr>
        <w:tc>
          <w:tcPr>
            <w:tcW w:type="dxa" w:w="3168"/>
            <w:tcMar>
              <w:top w:w="80" w:type="dxa"/>
              <w:start w:w="100" w:type="dxa"/>
              <w:bottom w:w="80" w:type="dxa"/>
              <w:end w:w="100" w:type="dxa"/>
            </w:tcMar>
            <w:vAlign w:val="top"/>
          </w:tcPr>
          <w:p>
            <w:pPr>
              <w:spacing w:after="0"/>
            </w:pPr>
            <w:r>
              <w:rPr>
                <w:sz w:val="16"/>
              </w:rPr>
              <w:t>Workload Identity Federation</w:t>
            </w:r>
          </w:p>
        </w:tc>
        <w:tc>
          <w:tcPr>
            <w:tcW w:type="dxa" w:w="6912"/>
            <w:tcMar>
              <w:top w:w="80" w:type="dxa"/>
              <w:start w:w="100" w:type="dxa"/>
              <w:bottom w:w="80" w:type="dxa"/>
              <w:end w:w="100" w:type="dxa"/>
            </w:tcMar>
            <w:vAlign w:val="top"/>
          </w:tcPr>
          <w:p>
            <w:pPr>
              <w:spacing w:after="0"/>
            </w:pPr>
            <w:r>
              <w:rPr>
                <w:sz w:val="16"/>
              </w:rPr>
              <w:t>https://docs.cloud.google.com/iam/docs/workload-identity-federation</w:t>
            </w:r>
          </w:p>
        </w:tc>
      </w:tr>
      <w:tr>
        <w:trPr>
          <w:cantSplit/>
        </w:trPr>
        <w:tc>
          <w:tcPr>
            <w:tcW w:type="dxa" w:w="3168"/>
            <w:tcMar>
              <w:top w:w="80" w:type="dxa"/>
              <w:start w:w="100" w:type="dxa"/>
              <w:bottom w:w="80" w:type="dxa"/>
              <w:end w:w="100" w:type="dxa"/>
            </w:tcMar>
            <w:vAlign w:val="top"/>
          </w:tcPr>
          <w:p>
            <w:pPr>
              <w:spacing w:after="0"/>
            </w:pPr>
            <w:r>
              <w:rPr>
                <w:sz w:val="16"/>
              </w:rPr>
              <w:t>Google Cloud SDK and gcloud</w:t>
            </w:r>
          </w:p>
        </w:tc>
        <w:tc>
          <w:tcPr>
            <w:tcW w:type="dxa" w:w="6912"/>
            <w:tcMar>
              <w:top w:w="80" w:type="dxa"/>
              <w:start w:w="100" w:type="dxa"/>
              <w:bottom w:w="80" w:type="dxa"/>
              <w:end w:w="100" w:type="dxa"/>
            </w:tcMar>
            <w:vAlign w:val="top"/>
          </w:tcPr>
          <w:p>
            <w:pPr>
              <w:spacing w:after="0"/>
            </w:pPr>
            <w:r>
              <w:rPr>
                <w:sz w:val="16"/>
              </w:rPr>
              <w:t>https://docs.cloud.google.com/sdk</w:t>
            </w:r>
          </w:p>
        </w:tc>
      </w:tr>
      <w:tr>
        <w:trPr>
          <w:cantSplit/>
        </w:trPr>
        <w:tc>
          <w:tcPr>
            <w:tcW w:type="dxa" w:w="3168"/>
            <w:tcMar>
              <w:top w:w="80" w:type="dxa"/>
              <w:start w:w="100" w:type="dxa"/>
              <w:bottom w:w="80" w:type="dxa"/>
              <w:end w:w="100" w:type="dxa"/>
            </w:tcMar>
            <w:vAlign w:val="top"/>
          </w:tcPr>
          <w:p>
            <w:pPr>
              <w:spacing w:after="0"/>
            </w:pPr>
            <w:r>
              <w:rPr>
                <w:sz w:val="16"/>
              </w:rPr>
              <w:t>Cloud Shell</w:t>
            </w:r>
          </w:p>
        </w:tc>
        <w:tc>
          <w:tcPr>
            <w:tcW w:type="dxa" w:w="6912"/>
            <w:tcMar>
              <w:top w:w="80" w:type="dxa"/>
              <w:start w:w="100" w:type="dxa"/>
              <w:bottom w:w="80" w:type="dxa"/>
              <w:end w:w="100" w:type="dxa"/>
            </w:tcMar>
            <w:vAlign w:val="top"/>
          </w:tcPr>
          <w:p>
            <w:pPr>
              <w:spacing w:after="0"/>
            </w:pPr>
            <w:r>
              <w:rPr>
                <w:sz w:val="16"/>
              </w:rPr>
              <w:t>https://docs.cloud.google.com/shell/docs</w:t>
            </w:r>
          </w:p>
        </w:tc>
      </w:tr>
      <w:tr>
        <w:trPr>
          <w:cantSplit/>
        </w:trPr>
        <w:tc>
          <w:tcPr>
            <w:tcW w:type="dxa" w:w="3168"/>
            <w:tcMar>
              <w:top w:w="80" w:type="dxa"/>
              <w:start w:w="100" w:type="dxa"/>
              <w:bottom w:w="80" w:type="dxa"/>
              <w:end w:w="100" w:type="dxa"/>
            </w:tcMar>
            <w:vAlign w:val="top"/>
          </w:tcPr>
          <w:p>
            <w:pPr>
              <w:spacing w:after="0"/>
            </w:pPr>
            <w:r>
              <w:rPr>
                <w:sz w:val="16"/>
              </w:rPr>
              <w:t>Compute Engine instance creation</w:t>
            </w:r>
          </w:p>
        </w:tc>
        <w:tc>
          <w:tcPr>
            <w:tcW w:type="dxa" w:w="6912"/>
            <w:tcMar>
              <w:top w:w="80" w:type="dxa"/>
              <w:start w:w="100" w:type="dxa"/>
              <w:bottom w:w="80" w:type="dxa"/>
              <w:end w:w="100" w:type="dxa"/>
            </w:tcMar>
            <w:vAlign w:val="top"/>
          </w:tcPr>
          <w:p>
            <w:pPr>
              <w:spacing w:after="0"/>
            </w:pPr>
            <w:r>
              <w:rPr>
                <w:sz w:val="16"/>
              </w:rPr>
              <w:t>https://docs.cloud.google.com/compute/docs/instances/create-start-instance</w:t>
            </w:r>
          </w:p>
        </w:tc>
      </w:tr>
      <w:tr>
        <w:trPr>
          <w:cantSplit/>
        </w:trPr>
        <w:tc>
          <w:tcPr>
            <w:tcW w:type="dxa" w:w="3168"/>
            <w:tcMar>
              <w:top w:w="80" w:type="dxa"/>
              <w:start w:w="100" w:type="dxa"/>
              <w:bottom w:w="80" w:type="dxa"/>
              <w:end w:w="100" w:type="dxa"/>
            </w:tcMar>
            <w:vAlign w:val="top"/>
          </w:tcPr>
          <w:p>
            <w:pPr>
              <w:spacing w:after="0"/>
            </w:pPr>
            <w:r>
              <w:rPr>
                <w:sz w:val="16"/>
              </w:rPr>
              <w:t>VPC overview</w:t>
            </w:r>
          </w:p>
        </w:tc>
        <w:tc>
          <w:tcPr>
            <w:tcW w:type="dxa" w:w="6912"/>
            <w:tcMar>
              <w:top w:w="80" w:type="dxa"/>
              <w:start w:w="100" w:type="dxa"/>
              <w:bottom w:w="80" w:type="dxa"/>
              <w:end w:w="100" w:type="dxa"/>
            </w:tcMar>
            <w:vAlign w:val="top"/>
          </w:tcPr>
          <w:p>
            <w:pPr>
              <w:spacing w:after="0"/>
            </w:pPr>
            <w:r>
              <w:rPr>
                <w:sz w:val="16"/>
              </w:rPr>
              <w:t>https://docs.cloud.google.com/vpc/docs/overview</w:t>
            </w:r>
          </w:p>
        </w:tc>
      </w:tr>
      <w:tr>
        <w:trPr>
          <w:cantSplit/>
        </w:trPr>
        <w:tc>
          <w:tcPr>
            <w:tcW w:type="dxa" w:w="3168"/>
            <w:tcMar>
              <w:top w:w="80" w:type="dxa"/>
              <w:start w:w="100" w:type="dxa"/>
              <w:bottom w:w="80" w:type="dxa"/>
              <w:end w:w="100" w:type="dxa"/>
            </w:tcMar>
            <w:vAlign w:val="top"/>
          </w:tcPr>
          <w:p>
            <w:pPr>
              <w:spacing w:after="0"/>
            </w:pPr>
            <w:r>
              <w:rPr>
                <w:sz w:val="16"/>
              </w:rPr>
              <w:t>Cloud Billing documentation</w:t>
            </w:r>
          </w:p>
        </w:tc>
        <w:tc>
          <w:tcPr>
            <w:tcW w:type="dxa" w:w="6912"/>
            <w:tcMar>
              <w:top w:w="80" w:type="dxa"/>
              <w:start w:w="100" w:type="dxa"/>
              <w:bottom w:w="80" w:type="dxa"/>
              <w:end w:w="100" w:type="dxa"/>
            </w:tcMar>
            <w:vAlign w:val="top"/>
          </w:tcPr>
          <w:p>
            <w:pPr>
              <w:spacing w:after="0"/>
            </w:pPr>
            <w:r>
              <w:rPr>
                <w:sz w:val="16"/>
              </w:rPr>
              <w:t>https://docs.cloud.google.com/billing/docs</w:t>
            </w:r>
          </w:p>
        </w:tc>
      </w:tr>
      <w:tr>
        <w:trPr>
          <w:cantSplit/>
        </w:trPr>
        <w:tc>
          <w:tcPr>
            <w:tcW w:type="dxa" w:w="3168"/>
            <w:tcMar>
              <w:top w:w="80" w:type="dxa"/>
              <w:start w:w="100" w:type="dxa"/>
              <w:bottom w:w="80" w:type="dxa"/>
              <w:end w:w="100" w:type="dxa"/>
            </w:tcMar>
            <w:vAlign w:val="top"/>
          </w:tcPr>
          <w:p>
            <w:pPr>
              <w:spacing w:after="0"/>
            </w:pPr>
            <w:r>
              <w:rPr>
                <w:sz w:val="16"/>
              </w:rPr>
              <w:t>Budgets and alerts</w:t>
            </w:r>
          </w:p>
        </w:tc>
        <w:tc>
          <w:tcPr>
            <w:tcW w:type="dxa" w:w="6912"/>
            <w:tcMar>
              <w:top w:w="80" w:type="dxa"/>
              <w:start w:w="100" w:type="dxa"/>
              <w:bottom w:w="80" w:type="dxa"/>
              <w:end w:w="100" w:type="dxa"/>
            </w:tcMar>
            <w:vAlign w:val="top"/>
          </w:tcPr>
          <w:p>
            <w:pPr>
              <w:spacing w:after="0"/>
            </w:pPr>
            <w:r>
              <w:rPr>
                <w:sz w:val="16"/>
              </w:rPr>
              <w:t>https://docs.cloud.google.com/billing/docs/how-to/budgets</w:t>
            </w:r>
          </w:p>
        </w:tc>
      </w:tr>
      <w:tr>
        <w:trPr>
          <w:cantSplit/>
        </w:trPr>
        <w:tc>
          <w:tcPr>
            <w:tcW w:type="dxa" w:w="3168"/>
            <w:tcMar>
              <w:top w:w="80" w:type="dxa"/>
              <w:start w:w="100" w:type="dxa"/>
              <w:bottom w:w="80" w:type="dxa"/>
              <w:end w:w="100" w:type="dxa"/>
            </w:tcMar>
            <w:vAlign w:val="top"/>
          </w:tcPr>
          <w:p>
            <w:pPr>
              <w:spacing w:after="0"/>
            </w:pPr>
            <w:r>
              <w:rPr>
                <w:sz w:val="16"/>
              </w:rPr>
              <w:t>Cloud quotas</w:t>
            </w:r>
          </w:p>
        </w:tc>
        <w:tc>
          <w:tcPr>
            <w:tcW w:type="dxa" w:w="6912"/>
            <w:tcMar>
              <w:top w:w="80" w:type="dxa"/>
              <w:start w:w="100" w:type="dxa"/>
              <w:bottom w:w="80" w:type="dxa"/>
              <w:end w:w="100" w:type="dxa"/>
            </w:tcMar>
            <w:vAlign w:val="top"/>
          </w:tcPr>
          <w:p>
            <w:pPr>
              <w:spacing w:after="0"/>
            </w:pPr>
            <w:r>
              <w:rPr>
                <w:sz w:val="16"/>
              </w:rPr>
              <w:t>https://docs.cloud.google.com/docs/quotas/overview</w:t>
            </w:r>
          </w:p>
        </w:tc>
      </w:tr>
    </w:tbl>
    <w:p>
      <w:pPr>
        <w:spacing w:after="20"/>
      </w:pPr>
    </w:p>
    <w:p>
      <w:pPr>
        <w:spacing w:after="120"/>
      </w:pPr>
      <w:r>
        <w:rPr>
          <w:i/>
          <w:color w:val="505050"/>
        </w:rPr>
        <w:t>Google Cloud services, names, regional availability, quotas, pricing, and certification requirements change. Validate current official documentation before production implementation or exam scheduling.</w:t>
      </w:r>
    </w:p>
    <w:p>
      <w:pPr>
        <w:pStyle w:val="Heading1"/>
        <w:keepNext/>
      </w:pPr>
      <w:r>
        <w:t>Completion Statement</w:t>
      </w:r>
    </w:p>
    <w:p>
      <w:pPr>
        <w:spacing w:after="120"/>
      </w:pPr>
      <w:r>
        <w:rPr>
          <w:i w:val="0"/>
        </w:rPr>
        <w:t>Volume 8A is complete when the learner can create and explain a secure Google Cloud foundation, demonstrate least-privilege identity, use gcloud safely, deploy a private Compute Engine workload, troubleshoot VPC connectivity, prove budget and ownership controls, and clean up every billable resource with evidence.</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8A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4EA6"/>
        <w:sz w:val="16"/>
      </w:rPr>
      <w:t>DEVOPS MASTER COURSE  |  VOLUME 8A - GOOGLE CLOUD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8A: Google Cloud Foundations</dc:title>
  <dc:subject>Google Cloud foundations, resource hierarchy, IAM, service accounts, gcloud, Compute Engine, VPC, billing, quotas, governance, and capstone</dc:subject>
  <dc:creator>DevOps Master Course</dc:creator>
  <cp:keywords>Google Cloud, GCP, Resource Manager, IAM, service accounts, Workload Identity Federation, gcloud, Compute Engine, VPC, Cloud Billing, FinOps</cp:keywords>
  <dc:description>2026 Edition</dc:description>
  <cp:lastModifiedBy/>
  <cp:revision>1</cp:revision>
  <dcterms:created xsi:type="dcterms:W3CDTF">2013-12-23T23:15:00Z</dcterms:created>
  <dcterms:modified xsi:type="dcterms:W3CDTF">2013-12-23T23:15:00Z</dcterms:modified>
  <cp:category/>
</cp:coreProperties>
</file>