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Aptos Display" w:hAnsi="Aptos Display"/>
          <w:b/>
          <w:color w:val="174EA6"/>
          <w:sz w:val="38"/>
        </w:rPr>
        <w:t>DEVOPS MASTER COURSE</w:t>
      </w:r>
    </w:p>
    <w:p>
      <w:pPr>
        <w:spacing w:after="200"/>
        <w:jc w:val="center"/>
      </w:pPr>
      <w:r>
        <w:rPr>
          <w:rFonts w:ascii="Aptos Display" w:hAnsi="Aptos Display"/>
          <w:b/>
          <w:color w:val="1A73E8"/>
          <w:sz w:val="50"/>
        </w:rPr>
        <w:t>Volume 8C</w:t>
      </w:r>
    </w:p>
    <w:p>
      <w:pPr>
        <w:spacing w:after="200"/>
        <w:jc w:val="center"/>
      </w:pPr>
      <w:r>
        <w:rPr>
          <w:rFonts w:ascii="Aptos Display" w:hAnsi="Aptos Display"/>
          <w:b/>
          <w:color w:val="174EA6"/>
          <w:sz w:val="58"/>
        </w:rPr>
        <w:t>Google Cloud Data Platforms</w:t>
      </w:r>
    </w:p>
    <w:p>
      <w:pPr>
        <w:spacing w:after="600"/>
        <w:jc w:val="center"/>
      </w:pPr>
      <w:r>
        <w:rPr>
          <w:rFonts w:ascii="Aptos Display" w:hAnsi="Aptos Display"/>
          <w:b/>
          <w:color w:val="4285F4"/>
          <w:sz w:val="36"/>
        </w:rPr>
        <w:t>Chapters 21-30</w:t>
      </w:r>
    </w:p>
    <w:tbl>
      <w:tblPr>
        <w:tblW w:type="auto" w:w="0"/>
        <w:jc w:val="center"/>
        <w:tblLayout w:type="fixed"/>
        <w:tblLook w:firstColumn="1" w:firstRow="1" w:lastColumn="0" w:lastRow="0" w:noHBand="0" w:noVBand="1" w:val="04A0"/>
      </w:tblPr>
      <w:tblGrid>
        <w:gridCol w:w="10166"/>
      </w:tblGrid>
      <w:tr>
        <w:trPr>
          <w:tblHeader w:val="true"/>
          <w:tblHeader w:val="true"/>
        </w:trPr>
        <w:tc>
          <w:tcPr>
            <w:tcW w:type="dxa" w:w="10080"/>
            <w:shd w:fill="1A73E8"/>
            <w:tcMar>
              <w:top w:w="160" w:type="dxa"/>
              <w:start w:w="120" w:type="dxa"/>
              <w:bottom w:w="160" w:type="dxa"/>
              <w:end w:w="120" w:type="dxa"/>
            </w:tcMar>
          </w:tcPr>
          <w:p>
            <w:pPr>
              <w:jc w:val="center"/>
            </w:pPr>
            <w:r>
              <w:rPr>
                <w:b/>
                <w:color w:val="FFFFFF"/>
                <w:sz w:val="20"/>
              </w:rPr>
              <w:t>Relational Databases • Globally Distributed Data • NoSQL • Caching • Analytics • Lakehouse • Streaming • Spark • Migration • AI-Ready Governance</w:t>
            </w:r>
          </w:p>
        </w:tc>
      </w:tr>
    </w:tbl>
    <w:p>
      <w:pPr>
        <w:spacing w:after="360"/>
        <w:jc w:val="center"/>
      </w:pPr>
      <w:r>
        <w:rPr>
          <w:rFonts w:ascii="Aptos Display" w:hAnsi="Aptos Display"/>
          <w:b w:val="0"/>
          <w:color w:val="505050"/>
          <w:sz w:val="22"/>
        </w:rPr>
        <w:t>2026 Edition</w:t>
      </w:r>
    </w:p>
    <w:p>
      <w:r>
        <w:br w:type="page"/>
      </w:r>
    </w:p>
    <w:p>
      <w:pPr>
        <w:pStyle w:val="Heading1"/>
        <w:keepNext/>
      </w:pPr>
      <w:r>
        <w:t>About This Part</w:t>
      </w:r>
    </w:p>
    <w:p>
      <w:pPr>
        <w:spacing w:after="120"/>
      </w:pPr>
      <w:r>
        <w:rPr>
          <w:i w:val="0"/>
        </w:rPr>
        <w:t>Volume 8C develops the database and data-platform judgment required for production Google Cloud engineering. The objective is not to memorize product names. It is to select data services from workload evidence, design schemas and partitions that scale, protect data paths, operate recovery, and create analytics systems that remain governable when they become inputs to machine learning and generative AI.</w:t>
      </w:r>
    </w:p>
    <w:p>
      <w:pPr>
        <w:spacing w:after="120"/>
      </w:pPr>
      <w:r>
        <w:rPr>
          <w:i w:val="0"/>
        </w:rPr>
        <w:t>Every chapter connects architecture to operations. Labs require validation evidence, failure testing, cost cleanup, and explicit rollback. Managed services remove infrastructure work, but they do not remove responsibility for data modeling, access control, capacity, observability, retention, lineage, or business continuity.</w:t>
      </w:r>
    </w:p>
    <w:p>
      <w:pPr>
        <w:pStyle w:val="Heading1"/>
        <w:keepNext/>
      </w:pPr>
      <w:r>
        <w:t>Volume 8 Progress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864"/>
            <w:shd w:fill="1A73E8"/>
            <w:tcMar>
              <w:top w:w="80" w:type="dxa"/>
              <w:start w:w="100" w:type="dxa"/>
              <w:bottom w:w="80" w:type="dxa"/>
              <w:end w:w="100" w:type="dxa"/>
            </w:tcMar>
            <w:vAlign w:val="center"/>
          </w:tcPr>
          <w:p>
            <w:pPr>
              <w:jc w:val="center"/>
            </w:pPr>
            <w:r>
              <w:rPr>
                <w:b/>
                <w:color w:val="FFFFFF"/>
                <w:sz w:val="16"/>
              </w:rPr>
              <w:t>Part</w:t>
            </w:r>
          </w:p>
        </w:tc>
        <w:tc>
          <w:tcPr>
            <w:tcW w:type="dxa" w:w="6912"/>
            <w:shd w:fill="1A73E8"/>
            <w:tcMar>
              <w:top w:w="80" w:type="dxa"/>
              <w:start w:w="100" w:type="dxa"/>
              <w:bottom w:w="80" w:type="dxa"/>
              <w:end w:w="100" w:type="dxa"/>
            </w:tcMar>
            <w:vAlign w:val="center"/>
          </w:tcPr>
          <w:p>
            <w:pPr>
              <w:jc w:val="center"/>
            </w:pPr>
            <w:r>
              <w:rPr>
                <w:b/>
                <w:color w:val="FFFFFF"/>
                <w:sz w:val="16"/>
              </w:rPr>
              <w:t>Coverage</w:t>
            </w:r>
          </w:p>
        </w:tc>
        <w:tc>
          <w:tcPr>
            <w:tcW w:type="dxa" w:w="1584"/>
            <w:shd w:fill="1A73E8"/>
            <w:tcMar>
              <w:top w:w="80" w:type="dxa"/>
              <w:start w:w="100" w:type="dxa"/>
              <w:bottom w:w="80" w:type="dxa"/>
              <w:end w:w="100" w:type="dxa"/>
            </w:tcMar>
            <w:vAlign w:val="center"/>
          </w:tcPr>
          <w:p>
            <w:pPr>
              <w:jc w:val="center"/>
            </w:pPr>
            <w:r>
              <w:rPr>
                <w:b/>
                <w:color w:val="FFFFFF"/>
                <w:sz w:val="16"/>
              </w:rPr>
              <w:t>Status</w:t>
            </w:r>
          </w:p>
        </w:tc>
      </w:tr>
      <w:tr>
        <w:trPr>
          <w:cantSplit/>
        </w:trPr>
        <w:tc>
          <w:tcPr>
            <w:tcW w:type="dxa" w:w="864"/>
            <w:tcMar>
              <w:top w:w="80" w:type="dxa"/>
              <w:start w:w="100" w:type="dxa"/>
              <w:bottom w:w="80" w:type="dxa"/>
              <w:end w:w="100" w:type="dxa"/>
            </w:tcMar>
            <w:vAlign w:val="top"/>
          </w:tcPr>
          <w:p>
            <w:pPr>
              <w:spacing w:after="0"/>
            </w:pPr>
            <w:r>
              <w:rPr>
                <w:sz w:val="16"/>
              </w:rPr>
              <w:t>8A</w:t>
            </w:r>
          </w:p>
        </w:tc>
        <w:tc>
          <w:tcPr>
            <w:tcW w:type="dxa" w:w="6912"/>
            <w:tcMar>
              <w:top w:w="80" w:type="dxa"/>
              <w:start w:w="100" w:type="dxa"/>
              <w:bottom w:w="80" w:type="dxa"/>
              <w:end w:w="100" w:type="dxa"/>
            </w:tcMar>
            <w:vAlign w:val="top"/>
          </w:tcPr>
          <w:p>
            <w:pPr>
              <w:spacing w:after="0"/>
            </w:pPr>
            <w:r>
              <w:rPr>
                <w:sz w:val="16"/>
              </w:rPr>
              <w:t>Foundations: hierarchy, IAM, tools, compute, VPC, billing</w:t>
            </w:r>
          </w:p>
        </w:tc>
        <w:tc>
          <w:tcPr>
            <w:tcW w:type="dxa" w:w="1584"/>
            <w:tcMar>
              <w:top w:w="80" w:type="dxa"/>
              <w:start w:w="100" w:type="dxa"/>
              <w:bottom w:w="80" w:type="dxa"/>
              <w:end w:w="100" w:type="dxa"/>
            </w:tcMar>
            <w:vAlign w:val="top"/>
          </w:tcPr>
          <w:p>
            <w:pPr>
              <w:spacing w:after="0"/>
            </w:pPr>
            <w:r>
              <w:rPr>
                <w:sz w:val="16"/>
              </w:rPr>
              <w:t>Complete</w:t>
            </w:r>
          </w:p>
        </w:tc>
      </w:tr>
      <w:tr>
        <w:trPr>
          <w:cantSplit/>
        </w:trPr>
        <w:tc>
          <w:tcPr>
            <w:tcW w:type="dxa" w:w="864"/>
            <w:tcMar>
              <w:top w:w="80" w:type="dxa"/>
              <w:start w:w="100" w:type="dxa"/>
              <w:bottom w:w="80" w:type="dxa"/>
              <w:end w:w="100" w:type="dxa"/>
            </w:tcMar>
            <w:vAlign w:val="top"/>
          </w:tcPr>
          <w:p>
            <w:pPr>
              <w:spacing w:after="0"/>
            </w:pPr>
            <w:r>
              <w:rPr>
                <w:sz w:val="16"/>
              </w:rPr>
              <w:t>8B</w:t>
            </w:r>
          </w:p>
        </w:tc>
        <w:tc>
          <w:tcPr>
            <w:tcW w:type="dxa" w:w="6912"/>
            <w:tcMar>
              <w:top w:w="80" w:type="dxa"/>
              <w:start w:w="100" w:type="dxa"/>
              <w:bottom w:w="80" w:type="dxa"/>
              <w:end w:w="100" w:type="dxa"/>
            </w:tcMar>
            <w:vAlign w:val="top"/>
          </w:tcPr>
          <w:p>
            <w:pPr>
              <w:spacing w:after="0"/>
            </w:pPr>
            <w:r>
              <w:rPr>
                <w:sz w:val="16"/>
              </w:rPr>
              <w:t>Core infrastructure: fleets, networking, delivery, storage, connectivity, DR</w:t>
            </w:r>
          </w:p>
        </w:tc>
        <w:tc>
          <w:tcPr>
            <w:tcW w:type="dxa" w:w="1584"/>
            <w:tcMar>
              <w:top w:w="80" w:type="dxa"/>
              <w:start w:w="100" w:type="dxa"/>
              <w:bottom w:w="80" w:type="dxa"/>
              <w:end w:w="100" w:type="dxa"/>
            </w:tcMar>
            <w:vAlign w:val="top"/>
          </w:tcPr>
          <w:p>
            <w:pPr>
              <w:spacing w:after="0"/>
            </w:pPr>
            <w:r>
              <w:rPr>
                <w:sz w:val="16"/>
              </w:rPr>
              <w:t>Complete</w:t>
            </w:r>
          </w:p>
        </w:tc>
      </w:tr>
      <w:tr>
        <w:trPr>
          <w:cantSplit/>
        </w:trPr>
        <w:tc>
          <w:tcPr>
            <w:tcW w:type="dxa" w:w="864"/>
            <w:tcMar>
              <w:top w:w="80" w:type="dxa"/>
              <w:start w:w="100" w:type="dxa"/>
              <w:bottom w:w="80" w:type="dxa"/>
              <w:end w:w="100" w:type="dxa"/>
            </w:tcMar>
            <w:vAlign w:val="top"/>
          </w:tcPr>
          <w:p>
            <w:pPr>
              <w:spacing w:after="0"/>
            </w:pPr>
            <w:r>
              <w:rPr>
                <w:sz w:val="16"/>
              </w:rPr>
              <w:t>8C</w:t>
            </w:r>
          </w:p>
        </w:tc>
        <w:tc>
          <w:tcPr>
            <w:tcW w:type="dxa" w:w="6912"/>
            <w:tcMar>
              <w:top w:w="80" w:type="dxa"/>
              <w:start w:w="100" w:type="dxa"/>
              <w:bottom w:w="80" w:type="dxa"/>
              <w:end w:w="100" w:type="dxa"/>
            </w:tcMar>
            <w:vAlign w:val="top"/>
          </w:tcPr>
          <w:p>
            <w:pPr>
              <w:spacing w:after="0"/>
            </w:pPr>
            <w:r>
              <w:rPr>
                <w:sz w:val="16"/>
              </w:rPr>
              <w:t>Databases, analytics, data engineering, AI-ready platforms, migration</w:t>
            </w:r>
          </w:p>
        </w:tc>
        <w:tc>
          <w:tcPr>
            <w:tcW w:type="dxa" w:w="1584"/>
            <w:tcMar>
              <w:top w:w="80" w:type="dxa"/>
              <w:start w:w="100" w:type="dxa"/>
              <w:bottom w:w="80" w:type="dxa"/>
              <w:end w:w="100" w:type="dxa"/>
            </w:tcMar>
            <w:vAlign w:val="top"/>
          </w:tcPr>
          <w:p>
            <w:pPr>
              <w:spacing w:after="0"/>
            </w:pPr>
            <w:r>
              <w:rPr>
                <w:sz w:val="16"/>
              </w:rPr>
              <w:t>This book</w:t>
            </w:r>
          </w:p>
        </w:tc>
      </w:tr>
      <w:tr>
        <w:trPr>
          <w:cantSplit/>
        </w:trPr>
        <w:tc>
          <w:tcPr>
            <w:tcW w:type="dxa" w:w="864"/>
            <w:tcMar>
              <w:top w:w="80" w:type="dxa"/>
              <w:start w:w="100" w:type="dxa"/>
              <w:bottom w:w="80" w:type="dxa"/>
              <w:end w:w="100" w:type="dxa"/>
            </w:tcMar>
            <w:vAlign w:val="top"/>
          </w:tcPr>
          <w:p>
            <w:pPr>
              <w:spacing w:after="0"/>
            </w:pPr>
            <w:r>
              <w:rPr>
                <w:sz w:val="16"/>
              </w:rPr>
              <w:t>8D</w:t>
            </w:r>
          </w:p>
        </w:tc>
        <w:tc>
          <w:tcPr>
            <w:tcW w:type="dxa" w:w="6912"/>
            <w:tcMar>
              <w:top w:w="80" w:type="dxa"/>
              <w:start w:w="100" w:type="dxa"/>
              <w:bottom w:w="80" w:type="dxa"/>
              <w:end w:w="100" w:type="dxa"/>
            </w:tcMar>
            <w:vAlign w:val="top"/>
          </w:tcPr>
          <w:p>
            <w:pPr>
              <w:spacing w:after="0"/>
            </w:pPr>
            <w:r>
              <w:rPr>
                <w:sz w:val="16"/>
              </w:rPr>
              <w:t>GKE, Cloud Run, functions, APIs, Pub/Sub, Eventarc, workflows</w:t>
            </w:r>
          </w:p>
        </w:tc>
        <w:tc>
          <w:tcPr>
            <w:tcW w:type="dxa" w:w="1584"/>
            <w:tcMar>
              <w:top w:w="80" w:type="dxa"/>
              <w:start w:w="100" w:type="dxa"/>
              <w:bottom w:w="80" w:type="dxa"/>
              <w:end w:w="100" w:type="dxa"/>
            </w:tcMar>
            <w:vAlign w:val="top"/>
          </w:tcPr>
          <w:p>
            <w:pPr>
              <w:spacing w:after="0"/>
            </w:pPr>
            <w:r>
              <w:rPr>
                <w:sz w:val="16"/>
              </w:rPr>
              <w:t>Next</w:t>
            </w:r>
          </w:p>
        </w:tc>
      </w:tr>
      <w:tr>
        <w:trPr>
          <w:cantSplit/>
        </w:trPr>
        <w:tc>
          <w:tcPr>
            <w:tcW w:type="dxa" w:w="864"/>
            <w:tcMar>
              <w:top w:w="80" w:type="dxa"/>
              <w:start w:w="100" w:type="dxa"/>
              <w:bottom w:w="80" w:type="dxa"/>
              <w:end w:w="100" w:type="dxa"/>
            </w:tcMar>
            <w:vAlign w:val="top"/>
          </w:tcPr>
          <w:p>
            <w:pPr>
              <w:spacing w:after="0"/>
            </w:pPr>
            <w:r>
              <w:rPr>
                <w:sz w:val="16"/>
              </w:rPr>
              <w:t>8E</w:t>
            </w:r>
          </w:p>
        </w:tc>
        <w:tc>
          <w:tcPr>
            <w:tcW w:type="dxa" w:w="6912"/>
            <w:tcMar>
              <w:top w:w="80" w:type="dxa"/>
              <w:start w:w="100" w:type="dxa"/>
              <w:bottom w:w="80" w:type="dxa"/>
              <w:end w:w="100" w:type="dxa"/>
            </w:tcMar>
            <w:vAlign w:val="top"/>
          </w:tcPr>
          <w:p>
            <w:pPr>
              <w:spacing w:after="0"/>
            </w:pPr>
            <w:r>
              <w:rPr>
                <w:sz w:val="16"/>
              </w:rPr>
              <w:t>Terraform, CI/CD, observability, security, governance, FinOps</w:t>
            </w:r>
          </w:p>
        </w:tc>
        <w:tc>
          <w:tcPr>
            <w:tcW w:type="dxa" w:w="1584"/>
            <w:tcMar>
              <w:top w:w="80" w:type="dxa"/>
              <w:start w:w="100" w:type="dxa"/>
              <w:bottom w:w="80" w:type="dxa"/>
              <w:end w:w="100" w:type="dxa"/>
            </w:tcMar>
            <w:vAlign w:val="top"/>
          </w:tcPr>
          <w:p>
            <w:pPr>
              <w:spacing w:after="0"/>
            </w:pPr>
            <w:r>
              <w:rPr>
                <w:sz w:val="16"/>
              </w:rPr>
              <w:t>Planned</w:t>
            </w:r>
          </w:p>
        </w:tc>
      </w:tr>
      <w:tr>
        <w:trPr>
          <w:cantSplit/>
        </w:trPr>
        <w:tc>
          <w:tcPr>
            <w:tcW w:type="dxa" w:w="864"/>
            <w:tcMar>
              <w:top w:w="80" w:type="dxa"/>
              <w:start w:w="100" w:type="dxa"/>
              <w:bottom w:w="80" w:type="dxa"/>
              <w:end w:w="100" w:type="dxa"/>
            </w:tcMar>
            <w:vAlign w:val="top"/>
          </w:tcPr>
          <w:p>
            <w:pPr>
              <w:spacing w:after="0"/>
            </w:pPr>
            <w:r>
              <w:rPr>
                <w:sz w:val="16"/>
              </w:rPr>
              <w:t>8F</w:t>
            </w:r>
          </w:p>
        </w:tc>
        <w:tc>
          <w:tcPr>
            <w:tcW w:type="dxa" w:w="6912"/>
            <w:tcMar>
              <w:top w:w="80" w:type="dxa"/>
              <w:start w:w="100" w:type="dxa"/>
              <w:bottom w:w="80" w:type="dxa"/>
              <w:end w:w="100" w:type="dxa"/>
            </w:tcMar>
            <w:vAlign w:val="top"/>
          </w:tcPr>
          <w:p>
            <w:pPr>
              <w:spacing w:after="0"/>
            </w:pPr>
            <w:r>
              <w:rPr>
                <w:sz w:val="16"/>
              </w:rPr>
              <w:t>Enterprise projects, incidents, certifications, interviews, final capstone</w:t>
            </w:r>
          </w:p>
        </w:tc>
        <w:tc>
          <w:tcPr>
            <w:tcW w:type="dxa" w:w="1584"/>
            <w:tcMar>
              <w:top w:w="80" w:type="dxa"/>
              <w:start w:w="100" w:type="dxa"/>
              <w:bottom w:w="80" w:type="dxa"/>
              <w:end w:w="100" w:type="dxa"/>
            </w:tcMar>
            <w:vAlign w:val="top"/>
          </w:tcPr>
          <w:p>
            <w:pPr>
              <w:spacing w:after="0"/>
            </w:pPr>
            <w:r>
              <w:rPr>
                <w:sz w:val="16"/>
              </w:rPr>
              <w:t>Planned</w:t>
            </w:r>
          </w:p>
        </w:tc>
      </w:tr>
    </w:tbl>
    <w:p>
      <w:pPr>
        <w:spacing w:after="20"/>
      </w:pPr>
    </w:p>
    <w:p>
      <w:pPr>
        <w:pStyle w:val="Heading1"/>
        <w:keepNext/>
      </w:pPr>
      <w:r>
        <w:t>Data Safety and Cost Controls</w:t>
      </w:r>
    </w:p>
    <w:p>
      <w:pPr>
        <w:pStyle w:val="ListBullet"/>
        <w:spacing w:after="60"/>
      </w:pPr>
      <w:r>
        <w:t>Use an isolated learning project, budget alerts, short retention, small capacity, and explicit deletion steps. Database, BigQuery, Dataflow, Spark, replication, and network resources can continue charging after a lab ends.</w:t>
      </w:r>
    </w:p>
    <w:p>
      <w:pPr>
        <w:pStyle w:val="ListBullet"/>
        <w:spacing w:after="60"/>
      </w:pPr>
      <w:r>
        <w:t>Never load real personal, payment, health, credential, or regulated data into training resources. Generate synthetic records and document the data classification.</w:t>
      </w:r>
    </w:p>
    <w:p>
      <w:pPr>
        <w:pStyle w:val="ListBullet"/>
        <w:spacing w:after="60"/>
      </w:pPr>
      <w:r>
        <w:t>Prefer private connectivity, managed identities, IAM groups, least privilege, Secret Manager, customer-managed encryption only where governance requires it, and audit logging appropriate to the risk.</w:t>
      </w:r>
    </w:p>
    <w:p>
      <w:pPr>
        <w:pStyle w:val="ListBullet"/>
        <w:spacing w:after="60"/>
      </w:pPr>
      <w:r>
        <w:t>Distinguish high availability, read scaling, backup, point-in-time recovery, replication, and disaster recovery. Each solves a different failure mode and must be tested independently.</w:t>
      </w:r>
    </w:p>
    <w:p>
      <w:pPr>
        <w:pStyle w:val="ListBullet"/>
        <w:spacing w:after="60"/>
      </w:pPr>
      <w:r>
        <w:t>Treat deletion protection, retention, lifecycle rules, schema changes, and migration cutovers as controlled changes with owners, evidence, and rollback.</w:t>
      </w:r>
    </w:p>
    <w:p>
      <w:pPr>
        <w:pStyle w:val="Heading1"/>
        <w:keepNext/>
      </w:pPr>
      <w:r>
        <w:t>Table of Contents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1152"/>
            <w:shd w:fill="1A73E8"/>
            <w:tcMar>
              <w:top w:w="80" w:type="dxa"/>
              <w:start w:w="100" w:type="dxa"/>
              <w:bottom w:w="80" w:type="dxa"/>
              <w:end w:w="100" w:type="dxa"/>
            </w:tcMar>
            <w:vAlign w:val="center"/>
          </w:tcPr>
          <w:p>
            <w:pPr>
              <w:jc w:val="center"/>
            </w:pPr>
            <w:r>
              <w:rPr>
                <w:b/>
                <w:color w:val="FFFFFF"/>
                <w:sz w:val="16"/>
              </w:rPr>
              <w:t>Chapter</w:t>
            </w:r>
          </w:p>
        </w:tc>
        <w:tc>
          <w:tcPr>
            <w:tcW w:type="dxa" w:w="8352"/>
            <w:shd w:fill="1A73E8"/>
            <w:tcMar>
              <w:top w:w="80" w:type="dxa"/>
              <w:start w:w="100" w:type="dxa"/>
              <w:bottom w:w="80" w:type="dxa"/>
              <w:end w:w="100" w:type="dxa"/>
            </w:tcMar>
            <w:vAlign w:val="center"/>
          </w:tcPr>
          <w:p>
            <w:pPr>
              <w:jc w:val="center"/>
            </w:pPr>
            <w:r>
              <w:rPr>
                <w:b/>
                <w:color w:val="FFFFFF"/>
                <w:sz w:val="16"/>
              </w:rPr>
              <w:t>Title</w:t>
            </w:r>
          </w:p>
        </w:tc>
      </w:tr>
      <w:tr>
        <w:trPr>
          <w:cantSplit/>
        </w:trPr>
        <w:tc>
          <w:tcPr>
            <w:tcW w:type="dxa" w:w="1152"/>
            <w:tcMar>
              <w:top w:w="80" w:type="dxa"/>
              <w:start w:w="100" w:type="dxa"/>
              <w:bottom w:w="80" w:type="dxa"/>
              <w:end w:w="100" w:type="dxa"/>
            </w:tcMar>
            <w:vAlign w:val="top"/>
          </w:tcPr>
          <w:p>
            <w:pPr>
              <w:spacing w:after="0"/>
            </w:pPr>
            <w:r>
              <w:rPr>
                <w:sz w:val="16"/>
              </w:rPr>
              <w:t>21</w:t>
            </w:r>
          </w:p>
        </w:tc>
        <w:tc>
          <w:tcPr>
            <w:tcW w:type="dxa" w:w="8352"/>
            <w:tcMar>
              <w:top w:w="80" w:type="dxa"/>
              <w:start w:w="100" w:type="dxa"/>
              <w:bottom w:w="80" w:type="dxa"/>
              <w:end w:w="100" w:type="dxa"/>
            </w:tcMar>
            <w:vAlign w:val="top"/>
          </w:tcPr>
          <w:p>
            <w:pPr>
              <w:spacing w:after="0"/>
            </w:pPr>
            <w:r>
              <w:rPr>
                <w:sz w:val="16"/>
              </w:rPr>
              <w:t>Cloud SQL and AlloyDB Production Engineering</w:t>
            </w:r>
          </w:p>
        </w:tc>
      </w:tr>
      <w:tr>
        <w:trPr>
          <w:cantSplit/>
        </w:trPr>
        <w:tc>
          <w:tcPr>
            <w:tcW w:type="dxa" w:w="1152"/>
            <w:tcMar>
              <w:top w:w="80" w:type="dxa"/>
              <w:start w:w="100" w:type="dxa"/>
              <w:bottom w:w="80" w:type="dxa"/>
              <w:end w:w="100" w:type="dxa"/>
            </w:tcMar>
            <w:vAlign w:val="top"/>
          </w:tcPr>
          <w:p>
            <w:pPr>
              <w:spacing w:after="0"/>
            </w:pPr>
            <w:r>
              <w:rPr>
                <w:sz w:val="16"/>
              </w:rPr>
              <w:t>22</w:t>
            </w:r>
          </w:p>
        </w:tc>
        <w:tc>
          <w:tcPr>
            <w:tcW w:type="dxa" w:w="8352"/>
            <w:tcMar>
              <w:top w:w="80" w:type="dxa"/>
              <w:start w:w="100" w:type="dxa"/>
              <w:bottom w:w="80" w:type="dxa"/>
              <w:end w:w="100" w:type="dxa"/>
            </w:tcMar>
            <w:vAlign w:val="top"/>
          </w:tcPr>
          <w:p>
            <w:pPr>
              <w:spacing w:after="0"/>
            </w:pPr>
            <w:r>
              <w:rPr>
                <w:sz w:val="16"/>
              </w:rPr>
              <w:t>Spanner Global Relational Engineering</w:t>
            </w:r>
          </w:p>
        </w:tc>
      </w:tr>
      <w:tr>
        <w:trPr>
          <w:cantSplit/>
        </w:trPr>
        <w:tc>
          <w:tcPr>
            <w:tcW w:type="dxa" w:w="1152"/>
            <w:tcMar>
              <w:top w:w="80" w:type="dxa"/>
              <w:start w:w="100" w:type="dxa"/>
              <w:bottom w:w="80" w:type="dxa"/>
              <w:end w:w="100" w:type="dxa"/>
            </w:tcMar>
            <w:vAlign w:val="top"/>
          </w:tcPr>
          <w:p>
            <w:pPr>
              <w:spacing w:after="0"/>
            </w:pPr>
            <w:r>
              <w:rPr>
                <w:sz w:val="16"/>
              </w:rPr>
              <w:t>23</w:t>
            </w:r>
          </w:p>
        </w:tc>
        <w:tc>
          <w:tcPr>
            <w:tcW w:type="dxa" w:w="8352"/>
            <w:tcMar>
              <w:top w:w="80" w:type="dxa"/>
              <w:start w:w="100" w:type="dxa"/>
              <w:bottom w:w="80" w:type="dxa"/>
              <w:end w:w="100" w:type="dxa"/>
            </w:tcMar>
            <w:vAlign w:val="top"/>
          </w:tcPr>
          <w:p>
            <w:pPr>
              <w:spacing w:after="0"/>
            </w:pPr>
            <w:r>
              <w:rPr>
                <w:sz w:val="16"/>
              </w:rPr>
              <w:t>Firestore Document Database Engineering</w:t>
            </w:r>
          </w:p>
        </w:tc>
      </w:tr>
      <w:tr>
        <w:trPr>
          <w:cantSplit/>
        </w:trPr>
        <w:tc>
          <w:tcPr>
            <w:tcW w:type="dxa" w:w="1152"/>
            <w:tcMar>
              <w:top w:w="80" w:type="dxa"/>
              <w:start w:w="100" w:type="dxa"/>
              <w:bottom w:w="80" w:type="dxa"/>
              <w:end w:w="100" w:type="dxa"/>
            </w:tcMar>
            <w:vAlign w:val="top"/>
          </w:tcPr>
          <w:p>
            <w:pPr>
              <w:spacing w:after="0"/>
            </w:pPr>
            <w:r>
              <w:rPr>
                <w:sz w:val="16"/>
              </w:rPr>
              <w:t>24</w:t>
            </w:r>
          </w:p>
        </w:tc>
        <w:tc>
          <w:tcPr>
            <w:tcW w:type="dxa" w:w="8352"/>
            <w:tcMar>
              <w:top w:w="80" w:type="dxa"/>
              <w:start w:w="100" w:type="dxa"/>
              <w:bottom w:w="80" w:type="dxa"/>
              <w:end w:w="100" w:type="dxa"/>
            </w:tcMar>
            <w:vAlign w:val="top"/>
          </w:tcPr>
          <w:p>
            <w:pPr>
              <w:spacing w:after="0"/>
            </w:pPr>
            <w:r>
              <w:rPr>
                <w:sz w:val="16"/>
              </w:rPr>
              <w:t>Bigtable and Memorystore for Low-Latency Systems</w:t>
            </w:r>
          </w:p>
        </w:tc>
      </w:tr>
      <w:tr>
        <w:trPr>
          <w:cantSplit/>
        </w:trPr>
        <w:tc>
          <w:tcPr>
            <w:tcW w:type="dxa" w:w="1152"/>
            <w:tcMar>
              <w:top w:w="80" w:type="dxa"/>
              <w:start w:w="100" w:type="dxa"/>
              <w:bottom w:w="80" w:type="dxa"/>
              <w:end w:w="100" w:type="dxa"/>
            </w:tcMar>
            <w:vAlign w:val="top"/>
          </w:tcPr>
          <w:p>
            <w:pPr>
              <w:spacing w:after="0"/>
            </w:pPr>
            <w:r>
              <w:rPr>
                <w:sz w:val="16"/>
              </w:rPr>
              <w:t>25</w:t>
            </w:r>
          </w:p>
        </w:tc>
        <w:tc>
          <w:tcPr>
            <w:tcW w:type="dxa" w:w="8352"/>
            <w:tcMar>
              <w:top w:w="80" w:type="dxa"/>
              <w:start w:w="100" w:type="dxa"/>
              <w:bottom w:w="80" w:type="dxa"/>
              <w:end w:w="100" w:type="dxa"/>
            </w:tcMar>
            <w:vAlign w:val="top"/>
          </w:tcPr>
          <w:p>
            <w:pPr>
              <w:spacing w:after="0"/>
            </w:pPr>
            <w:r>
              <w:rPr>
                <w:sz w:val="16"/>
              </w:rPr>
              <w:t>BigQuery Analytics and Workload Engineering</w:t>
            </w:r>
          </w:p>
        </w:tc>
      </w:tr>
      <w:tr>
        <w:trPr>
          <w:cantSplit/>
        </w:trPr>
        <w:tc>
          <w:tcPr>
            <w:tcW w:type="dxa" w:w="1152"/>
            <w:tcMar>
              <w:top w:w="80" w:type="dxa"/>
              <w:start w:w="100" w:type="dxa"/>
              <w:bottom w:w="80" w:type="dxa"/>
              <w:end w:w="100" w:type="dxa"/>
            </w:tcMar>
            <w:vAlign w:val="top"/>
          </w:tcPr>
          <w:p>
            <w:pPr>
              <w:spacing w:after="0"/>
            </w:pPr>
            <w:r>
              <w:rPr>
                <w:sz w:val="16"/>
              </w:rPr>
              <w:t>26</w:t>
            </w:r>
          </w:p>
        </w:tc>
        <w:tc>
          <w:tcPr>
            <w:tcW w:type="dxa" w:w="8352"/>
            <w:tcMar>
              <w:top w:w="80" w:type="dxa"/>
              <w:start w:w="100" w:type="dxa"/>
              <w:bottom w:w="80" w:type="dxa"/>
              <w:end w:w="100" w:type="dxa"/>
            </w:tcMar>
            <w:vAlign w:val="top"/>
          </w:tcPr>
          <w:p>
            <w:pPr>
              <w:spacing w:after="0"/>
            </w:pPr>
            <w:r>
              <w:rPr>
                <w:sz w:val="16"/>
              </w:rPr>
              <w:t>BigLake, Cloud Storage Lakehouse, and Dataplex Governance</w:t>
            </w:r>
          </w:p>
        </w:tc>
      </w:tr>
      <w:tr>
        <w:trPr>
          <w:cantSplit/>
        </w:trPr>
        <w:tc>
          <w:tcPr>
            <w:tcW w:type="dxa" w:w="1152"/>
            <w:tcMar>
              <w:top w:w="80" w:type="dxa"/>
              <w:start w:w="100" w:type="dxa"/>
              <w:bottom w:w="80" w:type="dxa"/>
              <w:end w:w="100" w:type="dxa"/>
            </w:tcMar>
            <w:vAlign w:val="top"/>
          </w:tcPr>
          <w:p>
            <w:pPr>
              <w:spacing w:after="0"/>
            </w:pPr>
            <w:r>
              <w:rPr>
                <w:sz w:val="16"/>
              </w:rPr>
              <w:t>27</w:t>
            </w:r>
          </w:p>
        </w:tc>
        <w:tc>
          <w:tcPr>
            <w:tcW w:type="dxa" w:w="8352"/>
            <w:tcMar>
              <w:top w:w="80" w:type="dxa"/>
              <w:start w:w="100" w:type="dxa"/>
              <w:bottom w:w="80" w:type="dxa"/>
              <w:end w:w="100" w:type="dxa"/>
            </w:tcMar>
            <w:vAlign w:val="top"/>
          </w:tcPr>
          <w:p>
            <w:pPr>
              <w:spacing w:after="0"/>
            </w:pPr>
            <w:r>
              <w:rPr>
                <w:sz w:val="16"/>
              </w:rPr>
              <w:t>Pub/Sub and Dataflow Streaming Engineering</w:t>
            </w:r>
          </w:p>
        </w:tc>
      </w:tr>
      <w:tr>
        <w:trPr>
          <w:cantSplit/>
        </w:trPr>
        <w:tc>
          <w:tcPr>
            <w:tcW w:type="dxa" w:w="1152"/>
            <w:tcMar>
              <w:top w:w="80" w:type="dxa"/>
              <w:start w:w="100" w:type="dxa"/>
              <w:bottom w:w="80" w:type="dxa"/>
              <w:end w:w="100" w:type="dxa"/>
            </w:tcMar>
            <w:vAlign w:val="top"/>
          </w:tcPr>
          <w:p>
            <w:pPr>
              <w:spacing w:after="0"/>
            </w:pPr>
            <w:r>
              <w:rPr>
                <w:sz w:val="16"/>
              </w:rPr>
              <w:t>28</w:t>
            </w:r>
          </w:p>
        </w:tc>
        <w:tc>
          <w:tcPr>
            <w:tcW w:type="dxa" w:w="8352"/>
            <w:tcMar>
              <w:top w:w="80" w:type="dxa"/>
              <w:start w:w="100" w:type="dxa"/>
              <w:bottom w:w="80" w:type="dxa"/>
              <w:end w:w="100" w:type="dxa"/>
            </w:tcMar>
            <w:vAlign w:val="top"/>
          </w:tcPr>
          <w:p>
            <w:pPr>
              <w:spacing w:after="0"/>
            </w:pPr>
            <w:r>
              <w:rPr>
                <w:sz w:val="16"/>
              </w:rPr>
              <w:t>Managed Service for Apache Spark and Batch Data Processing</w:t>
            </w:r>
          </w:p>
        </w:tc>
      </w:tr>
      <w:tr>
        <w:trPr>
          <w:cantSplit/>
        </w:trPr>
        <w:tc>
          <w:tcPr>
            <w:tcW w:type="dxa" w:w="1152"/>
            <w:tcMar>
              <w:top w:w="80" w:type="dxa"/>
              <w:start w:w="100" w:type="dxa"/>
              <w:bottom w:w="80" w:type="dxa"/>
              <w:end w:w="100" w:type="dxa"/>
            </w:tcMar>
            <w:vAlign w:val="top"/>
          </w:tcPr>
          <w:p>
            <w:pPr>
              <w:spacing w:after="0"/>
            </w:pPr>
            <w:r>
              <w:rPr>
                <w:sz w:val="16"/>
              </w:rPr>
              <w:t>29</w:t>
            </w:r>
          </w:p>
        </w:tc>
        <w:tc>
          <w:tcPr>
            <w:tcW w:type="dxa" w:w="8352"/>
            <w:tcMar>
              <w:top w:w="80" w:type="dxa"/>
              <w:start w:w="100" w:type="dxa"/>
              <w:bottom w:w="80" w:type="dxa"/>
              <w:end w:w="100" w:type="dxa"/>
            </w:tcMar>
            <w:vAlign w:val="top"/>
          </w:tcPr>
          <w:p>
            <w:pPr>
              <w:spacing w:after="0"/>
            </w:pPr>
            <w:r>
              <w:rPr>
                <w:sz w:val="16"/>
              </w:rPr>
              <w:t>Database, CDC, and Bulk Data Migration Engineering</w:t>
            </w:r>
          </w:p>
        </w:tc>
      </w:tr>
      <w:tr>
        <w:trPr>
          <w:cantSplit/>
        </w:trPr>
        <w:tc>
          <w:tcPr>
            <w:tcW w:type="dxa" w:w="1152"/>
            <w:tcMar>
              <w:top w:w="80" w:type="dxa"/>
              <w:start w:w="100" w:type="dxa"/>
              <w:bottom w:w="80" w:type="dxa"/>
              <w:end w:w="100" w:type="dxa"/>
            </w:tcMar>
            <w:vAlign w:val="top"/>
          </w:tcPr>
          <w:p>
            <w:pPr>
              <w:spacing w:after="0"/>
            </w:pPr>
            <w:r>
              <w:rPr>
                <w:sz w:val="16"/>
              </w:rPr>
              <w:t>30</w:t>
            </w:r>
          </w:p>
        </w:tc>
        <w:tc>
          <w:tcPr>
            <w:tcW w:type="dxa" w:w="8352"/>
            <w:tcMar>
              <w:top w:w="80" w:type="dxa"/>
              <w:start w:w="100" w:type="dxa"/>
              <w:bottom w:w="80" w:type="dxa"/>
              <w:end w:w="100" w:type="dxa"/>
            </w:tcMar>
            <w:vAlign w:val="top"/>
          </w:tcPr>
          <w:p>
            <w:pPr>
              <w:spacing w:after="0"/>
            </w:pPr>
            <w:r>
              <w:rPr>
                <w:sz w:val="16"/>
              </w:rPr>
              <w:t>Data Security, Resilience, AI Readiness, and Enterprise Capstone</w:t>
            </w:r>
          </w:p>
        </w:tc>
      </w:tr>
    </w:tbl>
    <w:p>
      <w:pPr>
        <w:spacing w:after="20"/>
      </w:pPr>
    </w:p>
    <w:p>
      <w:pPr>
        <w:pStyle w:val="Heading1"/>
        <w:keepNext/>
        <w:pageBreakBefore/>
      </w:pPr>
      <w:r>
        <w:t>Chapter 21 - Cloud SQL and AlloyDB Production Engineering</w:t>
      </w:r>
    </w:p>
    <w:p>
      <w:pPr>
        <w:spacing w:after="120"/>
      </w:pPr>
      <w:r>
        <w:rPr>
          <w:i/>
          <w:color w:val="505050"/>
        </w:rPr>
        <w:t>Choosing and operating managed relational databases with evidence-based resilience</w:t>
      </w:r>
    </w:p>
    <w:p>
      <w:pPr>
        <w:pStyle w:val="Heading2"/>
        <w:keepNext/>
      </w:pPr>
      <w:r>
        <w:t>Learning Objectives</w:t>
      </w:r>
    </w:p>
    <w:p>
      <w:pPr>
        <w:pStyle w:val="ListBullet"/>
        <w:spacing w:after="60"/>
      </w:pPr>
      <w:r>
        <w:t>Select Cloud SQL or AlloyDB from compatibility, performance, scale, availability, and operational requirements.</w:t>
      </w:r>
    </w:p>
    <w:p>
      <w:pPr>
        <w:pStyle w:val="ListBullet"/>
        <w:spacing w:after="60"/>
      </w:pPr>
      <w:r>
        <w:t>Design private connectivity, identity, connection pooling, backups, replicas, and disaster recovery.</w:t>
      </w:r>
    </w:p>
    <w:p>
      <w:pPr>
        <w:pStyle w:val="ListBullet"/>
        <w:spacing w:after="60"/>
      </w:pPr>
      <w:r>
        <w:t>Operate schema changes, maintenance, observability, and incident response.</w:t>
      </w:r>
    </w:p>
    <w:p>
      <w:pPr>
        <w:pStyle w:val="ListBullet"/>
        <w:spacing w:after="60"/>
      </w:pPr>
      <w:r>
        <w:t>Validate failover and restore instead of treating configuration as proof.</w:t>
      </w:r>
    </w:p>
    <w:p>
      <w:pPr>
        <w:pStyle w:val="Heading2"/>
        <w:keepNext/>
      </w:pPr>
      <w:r>
        <w:t>21.1 Service Selection and Responsibility</w:t>
      </w:r>
    </w:p>
    <w:p>
      <w:pPr>
        <w:spacing w:after="120"/>
      </w:pPr>
      <w:r>
        <w:rPr>
          <w:i w:val="0"/>
        </w:rPr>
        <w:t>Cloud SQL is a managed relational service for MySQL, PostgreSQL, and SQL Server. AlloyDB for PostgreSQL targets demanding PostgreSQL-compatible workloads with a disaggregated architecture, read pools, automatic storage management, and advanced performance capabilities. Neither service removes application-level responsibilities such as schema quality, transaction design, connection behavior, query efficiency, and recovery testing.</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Decision Area</w:t>
            </w:r>
          </w:p>
        </w:tc>
        <w:tc>
          <w:tcPr>
            <w:tcW w:type="dxa" w:w="3744"/>
            <w:shd w:fill="1A73E8"/>
            <w:tcMar>
              <w:top w:w="80" w:type="dxa"/>
              <w:start w:w="100" w:type="dxa"/>
              <w:bottom w:w="80" w:type="dxa"/>
              <w:end w:w="100" w:type="dxa"/>
            </w:tcMar>
            <w:vAlign w:val="center"/>
          </w:tcPr>
          <w:p>
            <w:pPr>
              <w:jc w:val="center"/>
            </w:pPr>
            <w:r>
              <w:rPr>
                <w:b/>
                <w:color w:val="FFFFFF"/>
                <w:sz w:val="16"/>
              </w:rPr>
              <w:t>Cloud SQL</w:t>
            </w:r>
          </w:p>
        </w:tc>
        <w:tc>
          <w:tcPr>
            <w:tcW w:type="dxa" w:w="3744"/>
            <w:shd w:fill="1A73E8"/>
            <w:tcMar>
              <w:top w:w="80" w:type="dxa"/>
              <w:start w:w="100" w:type="dxa"/>
              <w:bottom w:w="80" w:type="dxa"/>
              <w:end w:w="100" w:type="dxa"/>
            </w:tcMar>
            <w:vAlign w:val="center"/>
          </w:tcPr>
          <w:p>
            <w:pPr>
              <w:jc w:val="center"/>
            </w:pPr>
            <w:r>
              <w:rPr>
                <w:b/>
                <w:color w:val="FFFFFF"/>
                <w:sz w:val="16"/>
              </w:rPr>
              <w:t>AlloyDB for PostgreSQL</w:t>
            </w:r>
          </w:p>
        </w:tc>
      </w:tr>
      <w:tr>
        <w:trPr>
          <w:cantSplit/>
        </w:trPr>
        <w:tc>
          <w:tcPr>
            <w:tcW w:type="dxa" w:w="2160"/>
            <w:tcMar>
              <w:top w:w="80" w:type="dxa"/>
              <w:start w:w="100" w:type="dxa"/>
              <w:bottom w:w="80" w:type="dxa"/>
              <w:end w:w="100" w:type="dxa"/>
            </w:tcMar>
            <w:vAlign w:val="top"/>
          </w:tcPr>
          <w:p>
            <w:pPr>
              <w:spacing w:after="0"/>
            </w:pPr>
            <w:r>
              <w:rPr>
                <w:sz w:val="16"/>
              </w:rPr>
              <w:t>Compatibility</w:t>
            </w:r>
          </w:p>
        </w:tc>
        <w:tc>
          <w:tcPr>
            <w:tcW w:type="dxa" w:w="3744"/>
            <w:tcMar>
              <w:top w:w="80" w:type="dxa"/>
              <w:start w:w="100" w:type="dxa"/>
              <w:bottom w:w="80" w:type="dxa"/>
              <w:end w:w="100" w:type="dxa"/>
            </w:tcMar>
            <w:vAlign w:val="top"/>
          </w:tcPr>
          <w:p>
            <w:pPr>
              <w:spacing w:after="0"/>
            </w:pPr>
            <w:r>
              <w:rPr>
                <w:sz w:val="16"/>
              </w:rPr>
              <w:t>Managed MySQL, PostgreSQL, or SQL Server</w:t>
            </w:r>
          </w:p>
        </w:tc>
        <w:tc>
          <w:tcPr>
            <w:tcW w:type="dxa" w:w="3744"/>
            <w:tcMar>
              <w:top w:w="80" w:type="dxa"/>
              <w:start w:w="100" w:type="dxa"/>
              <w:bottom w:w="80" w:type="dxa"/>
              <w:end w:w="100" w:type="dxa"/>
            </w:tcMar>
            <w:vAlign w:val="top"/>
          </w:tcPr>
          <w:p>
            <w:pPr>
              <w:spacing w:after="0"/>
            </w:pPr>
            <w:r>
              <w:rPr>
                <w:sz w:val="16"/>
              </w:rPr>
              <w:t>PostgreSQL-compatible workloads requiring higher scale or performance</w:t>
            </w:r>
          </w:p>
        </w:tc>
      </w:tr>
      <w:tr>
        <w:trPr>
          <w:cantSplit/>
        </w:trPr>
        <w:tc>
          <w:tcPr>
            <w:tcW w:type="dxa" w:w="2160"/>
            <w:tcMar>
              <w:top w:w="80" w:type="dxa"/>
              <w:start w:w="100" w:type="dxa"/>
              <w:bottom w:w="80" w:type="dxa"/>
              <w:end w:w="100" w:type="dxa"/>
            </w:tcMar>
            <w:vAlign w:val="top"/>
          </w:tcPr>
          <w:p>
            <w:pPr>
              <w:spacing w:after="0"/>
            </w:pPr>
            <w:r>
              <w:rPr>
                <w:sz w:val="16"/>
              </w:rPr>
              <w:t>Availability</w:t>
            </w:r>
          </w:p>
        </w:tc>
        <w:tc>
          <w:tcPr>
            <w:tcW w:type="dxa" w:w="3744"/>
            <w:tcMar>
              <w:top w:w="80" w:type="dxa"/>
              <w:start w:w="100" w:type="dxa"/>
              <w:bottom w:w="80" w:type="dxa"/>
              <w:end w:w="100" w:type="dxa"/>
            </w:tcMar>
            <w:vAlign w:val="top"/>
          </w:tcPr>
          <w:p>
            <w:pPr>
              <w:spacing w:after="0"/>
            </w:pPr>
            <w:r>
              <w:rPr>
                <w:sz w:val="16"/>
              </w:rPr>
              <w:t>Regional HA option; replicas can have HA</w:t>
            </w:r>
          </w:p>
        </w:tc>
        <w:tc>
          <w:tcPr>
            <w:tcW w:type="dxa" w:w="3744"/>
            <w:tcMar>
              <w:top w:w="80" w:type="dxa"/>
              <w:start w:w="100" w:type="dxa"/>
              <w:bottom w:w="80" w:type="dxa"/>
              <w:end w:w="100" w:type="dxa"/>
            </w:tcMar>
            <w:vAlign w:val="top"/>
          </w:tcPr>
          <w:p>
            <w:pPr>
              <w:spacing w:after="0"/>
            </w:pPr>
            <w:r>
              <w:rPr>
                <w:sz w:val="16"/>
              </w:rPr>
              <w:t>Regional primary uses active and standby nodes; read pools scale reads</w:t>
            </w:r>
          </w:p>
        </w:tc>
      </w:tr>
      <w:tr>
        <w:trPr>
          <w:cantSplit/>
        </w:trPr>
        <w:tc>
          <w:tcPr>
            <w:tcW w:type="dxa" w:w="2160"/>
            <w:tcMar>
              <w:top w:w="80" w:type="dxa"/>
              <w:start w:w="100" w:type="dxa"/>
              <w:bottom w:w="80" w:type="dxa"/>
              <w:end w:w="100" w:type="dxa"/>
            </w:tcMar>
            <w:vAlign w:val="top"/>
          </w:tcPr>
          <w:p>
            <w:pPr>
              <w:spacing w:after="0"/>
            </w:pPr>
            <w:r>
              <w:rPr>
                <w:sz w:val="16"/>
              </w:rPr>
              <w:t>Read Scaling</w:t>
            </w:r>
          </w:p>
        </w:tc>
        <w:tc>
          <w:tcPr>
            <w:tcW w:type="dxa" w:w="3744"/>
            <w:tcMar>
              <w:top w:w="80" w:type="dxa"/>
              <w:start w:w="100" w:type="dxa"/>
              <w:bottom w:w="80" w:type="dxa"/>
              <w:end w:w="100" w:type="dxa"/>
            </w:tcMar>
            <w:vAlign w:val="top"/>
          </w:tcPr>
          <w:p>
            <w:pPr>
              <w:spacing w:after="0"/>
            </w:pPr>
            <w:r>
              <w:rPr>
                <w:sz w:val="16"/>
              </w:rPr>
              <w:t>Read replicas managed by the application</w:t>
            </w:r>
          </w:p>
        </w:tc>
        <w:tc>
          <w:tcPr>
            <w:tcW w:type="dxa" w:w="3744"/>
            <w:tcMar>
              <w:top w:w="80" w:type="dxa"/>
              <w:start w:w="100" w:type="dxa"/>
              <w:bottom w:w="80" w:type="dxa"/>
              <w:end w:w="100" w:type="dxa"/>
            </w:tcMar>
            <w:vAlign w:val="top"/>
          </w:tcPr>
          <w:p>
            <w:pPr>
              <w:spacing w:after="0"/>
            </w:pPr>
            <w:r>
              <w:rPr>
                <w:sz w:val="16"/>
              </w:rPr>
              <w:t>Read pool instances distribute read capacity</w:t>
            </w:r>
          </w:p>
        </w:tc>
      </w:tr>
      <w:tr>
        <w:trPr>
          <w:cantSplit/>
        </w:trPr>
        <w:tc>
          <w:tcPr>
            <w:tcW w:type="dxa" w:w="2160"/>
            <w:tcMar>
              <w:top w:w="80" w:type="dxa"/>
              <w:start w:w="100" w:type="dxa"/>
              <w:bottom w:w="80" w:type="dxa"/>
              <w:end w:w="100" w:type="dxa"/>
            </w:tcMar>
            <w:vAlign w:val="top"/>
          </w:tcPr>
          <w:p>
            <w:pPr>
              <w:spacing w:after="0"/>
            </w:pPr>
            <w:r>
              <w:rPr>
                <w:sz w:val="16"/>
              </w:rPr>
              <w:t>Migration Fit</w:t>
            </w:r>
          </w:p>
        </w:tc>
        <w:tc>
          <w:tcPr>
            <w:tcW w:type="dxa" w:w="3744"/>
            <w:tcMar>
              <w:top w:w="80" w:type="dxa"/>
              <w:start w:w="100" w:type="dxa"/>
              <w:bottom w:w="80" w:type="dxa"/>
              <w:end w:w="100" w:type="dxa"/>
            </w:tcMar>
            <w:vAlign w:val="top"/>
          </w:tcPr>
          <w:p>
            <w:pPr>
              <w:spacing w:after="0"/>
            </w:pPr>
            <w:r>
              <w:rPr>
                <w:sz w:val="16"/>
              </w:rPr>
              <w:t>Broad lift-and-shift target</w:t>
            </w:r>
          </w:p>
        </w:tc>
        <w:tc>
          <w:tcPr>
            <w:tcW w:type="dxa" w:w="3744"/>
            <w:tcMar>
              <w:top w:w="80" w:type="dxa"/>
              <w:start w:w="100" w:type="dxa"/>
              <w:bottom w:w="80" w:type="dxa"/>
              <w:end w:w="100" w:type="dxa"/>
            </w:tcMar>
            <w:vAlign w:val="top"/>
          </w:tcPr>
          <w:p>
            <w:pPr>
              <w:spacing w:after="0"/>
            </w:pPr>
            <w:r>
              <w:rPr>
                <w:sz w:val="16"/>
              </w:rPr>
              <w:t>Modernized PostgreSQL destination and analytical acceleration</w:t>
            </w:r>
          </w:p>
        </w:tc>
      </w:tr>
      <w:tr>
        <w:trPr>
          <w:cantSplit/>
        </w:trPr>
        <w:tc>
          <w:tcPr>
            <w:tcW w:type="dxa" w:w="2160"/>
            <w:tcMar>
              <w:top w:w="80" w:type="dxa"/>
              <w:start w:w="100" w:type="dxa"/>
              <w:bottom w:w="80" w:type="dxa"/>
              <w:end w:w="100" w:type="dxa"/>
            </w:tcMar>
            <w:vAlign w:val="top"/>
          </w:tcPr>
          <w:p>
            <w:pPr>
              <w:spacing w:after="0"/>
            </w:pPr>
            <w:r>
              <w:rPr>
                <w:sz w:val="16"/>
              </w:rPr>
              <w:t>Operations</w:t>
            </w:r>
          </w:p>
        </w:tc>
        <w:tc>
          <w:tcPr>
            <w:tcW w:type="dxa" w:w="3744"/>
            <w:tcMar>
              <w:top w:w="80" w:type="dxa"/>
              <w:start w:w="100" w:type="dxa"/>
              <w:bottom w:w="80" w:type="dxa"/>
              <w:end w:w="100" w:type="dxa"/>
            </w:tcMar>
            <w:vAlign w:val="top"/>
          </w:tcPr>
          <w:p>
            <w:pPr>
              <w:spacing w:after="0"/>
            </w:pPr>
            <w:r>
              <w:rPr>
                <w:sz w:val="16"/>
              </w:rPr>
              <w:t>Engine-specific flags, maintenance, backup, PITR</w:t>
            </w:r>
          </w:p>
        </w:tc>
        <w:tc>
          <w:tcPr>
            <w:tcW w:type="dxa" w:w="3744"/>
            <w:tcMar>
              <w:top w:w="80" w:type="dxa"/>
              <w:start w:w="100" w:type="dxa"/>
              <w:bottom w:w="80" w:type="dxa"/>
              <w:end w:w="100" w:type="dxa"/>
            </w:tcMar>
            <w:vAlign w:val="top"/>
          </w:tcPr>
          <w:p>
            <w:pPr>
              <w:spacing w:after="0"/>
            </w:pPr>
            <w:r>
              <w:rPr>
                <w:sz w:val="16"/>
              </w:rPr>
              <w:t>Cluster/instance model, managed pooling, performance tools</w:t>
            </w:r>
          </w:p>
        </w:tc>
      </w:tr>
    </w:tbl>
    <w:p>
      <w:pPr>
        <w:spacing w:after="20"/>
      </w:pPr>
    </w:p>
    <w:p>
      <w:pPr>
        <w:pStyle w:val="Heading2"/>
        <w:keepNext/>
      </w:pPr>
      <w:r>
        <w:t>21.2 Connectivity, Identity, and Connection Management</w:t>
      </w:r>
    </w:p>
    <w:p>
      <w:pPr>
        <w:spacing w:after="120"/>
      </w:pPr>
      <w:r>
        <w:rPr>
          <w:i w:val="0"/>
        </w:rPr>
        <w:t>Use private IP or Private Service Connect where supported and appropriate. Public IP requires deliberate authorized-network or connector controls and should not become the default. Database IAM authentication can reduce password dependence for supported engines, but database-native privileges still govern what a connected identity can do.</w:t>
      </w:r>
    </w:p>
    <w:p>
      <w:pPr>
        <w:pStyle w:val="ListBullet"/>
        <w:spacing w:after="60"/>
      </w:pPr>
      <w:r>
        <w:t>Use a dedicated runtime service account and the Cloud SQL Auth Proxy or language connector where it improves identity and certificate handling.</w:t>
      </w:r>
    </w:p>
    <w:p>
      <w:pPr>
        <w:pStyle w:val="ListBullet"/>
        <w:spacing w:after="60"/>
      </w:pPr>
      <w:r>
        <w:t>Keep secrets in Secret Manager when database-native passwords remain necessary.</w:t>
      </w:r>
    </w:p>
    <w:p>
      <w:pPr>
        <w:pStyle w:val="ListBullet"/>
        <w:spacing w:after="60"/>
      </w:pPr>
      <w:r>
        <w:t>Use connection pools with bounded concurrency; serverless scale-out can otherwise exhaust database connections.</w:t>
      </w:r>
    </w:p>
    <w:p>
      <w:pPr>
        <w:pStyle w:val="ListBullet"/>
        <w:spacing w:after="60"/>
      </w:pPr>
      <w:r>
        <w:t>Separate administrative, migration, application, read-only, and monitoring identities.</w:t>
      </w:r>
    </w:p>
    <w:p>
      <w:pPr>
        <w:pStyle w:val="Heading2"/>
        <w:keepNext/>
      </w:pPr>
      <w:r>
        <w:t>21.3 Availability, Replication, Backup, and DR</w:t>
      </w:r>
    </w:p>
    <w:p>
      <w:pPr>
        <w:spacing w:after="120"/>
      </w:pPr>
      <w:r>
        <w:rPr>
          <w:i w:val="0"/>
        </w:rPr>
        <w:t>Regional HA protects against selected instance or zonal failures. Read replicas offload reads but are not automatically equivalent to DR failover targets. Cross-region replicas or AlloyDB secondary clusters support regional recovery patterns, while backups and point-in-time recovery protect against deletion, corruption, and operator error. Recovery objectives determine which controls are required.</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448"/>
            <w:shd w:fill="1A73E8"/>
            <w:tcMar>
              <w:top w:w="80" w:type="dxa"/>
              <w:start w:w="100" w:type="dxa"/>
              <w:bottom w:w="80" w:type="dxa"/>
              <w:end w:w="100" w:type="dxa"/>
            </w:tcMar>
            <w:vAlign w:val="center"/>
          </w:tcPr>
          <w:p>
            <w:pPr>
              <w:jc w:val="center"/>
            </w:pPr>
            <w:r>
              <w:rPr>
                <w:b/>
                <w:color w:val="FFFFFF"/>
                <w:sz w:val="16"/>
              </w:rPr>
              <w:t>Control</w:t>
            </w:r>
          </w:p>
        </w:tc>
        <w:tc>
          <w:tcPr>
            <w:tcW w:type="dxa" w:w="3600"/>
            <w:shd w:fill="1A73E8"/>
            <w:tcMar>
              <w:top w:w="80" w:type="dxa"/>
              <w:start w:w="100" w:type="dxa"/>
              <w:bottom w:w="80" w:type="dxa"/>
              <w:end w:w="100" w:type="dxa"/>
            </w:tcMar>
            <w:vAlign w:val="center"/>
          </w:tcPr>
          <w:p>
            <w:pPr>
              <w:jc w:val="center"/>
            </w:pPr>
            <w:r>
              <w:rPr>
                <w:b/>
                <w:color w:val="FFFFFF"/>
                <w:sz w:val="16"/>
              </w:rPr>
              <w:t>Primary Purpose</w:t>
            </w:r>
          </w:p>
        </w:tc>
        <w:tc>
          <w:tcPr>
            <w:tcW w:type="dxa" w:w="3600"/>
            <w:shd w:fill="1A73E8"/>
            <w:tcMar>
              <w:top w:w="80" w:type="dxa"/>
              <w:start w:w="100" w:type="dxa"/>
              <w:bottom w:w="80" w:type="dxa"/>
              <w:end w:w="100" w:type="dxa"/>
            </w:tcMar>
            <w:vAlign w:val="center"/>
          </w:tcPr>
          <w:p>
            <w:pPr>
              <w:jc w:val="center"/>
            </w:pPr>
            <w:r>
              <w:rPr>
                <w:b/>
                <w:color w:val="FFFFFF"/>
                <w:sz w:val="16"/>
              </w:rPr>
              <w:t>Validation</w:t>
            </w:r>
          </w:p>
        </w:tc>
      </w:tr>
      <w:tr>
        <w:trPr>
          <w:cantSplit/>
        </w:trPr>
        <w:tc>
          <w:tcPr>
            <w:tcW w:type="dxa" w:w="2448"/>
            <w:tcMar>
              <w:top w:w="80" w:type="dxa"/>
              <w:start w:w="100" w:type="dxa"/>
              <w:bottom w:w="80" w:type="dxa"/>
              <w:end w:w="100" w:type="dxa"/>
            </w:tcMar>
            <w:vAlign w:val="top"/>
          </w:tcPr>
          <w:p>
            <w:pPr>
              <w:spacing w:after="0"/>
            </w:pPr>
            <w:r>
              <w:rPr>
                <w:sz w:val="16"/>
              </w:rPr>
              <w:t>Regional HA</w:t>
            </w:r>
          </w:p>
        </w:tc>
        <w:tc>
          <w:tcPr>
            <w:tcW w:type="dxa" w:w="3600"/>
            <w:tcMar>
              <w:top w:w="80" w:type="dxa"/>
              <w:start w:w="100" w:type="dxa"/>
              <w:bottom w:w="80" w:type="dxa"/>
              <w:end w:w="100" w:type="dxa"/>
            </w:tcMar>
            <w:vAlign w:val="top"/>
          </w:tcPr>
          <w:p>
            <w:pPr>
              <w:spacing w:after="0"/>
            </w:pPr>
            <w:r>
              <w:rPr>
                <w:sz w:val="16"/>
              </w:rPr>
              <w:t>Reduce interruption from zonal/instance failure</w:t>
            </w:r>
          </w:p>
        </w:tc>
        <w:tc>
          <w:tcPr>
            <w:tcW w:type="dxa" w:w="3600"/>
            <w:tcMar>
              <w:top w:w="80" w:type="dxa"/>
              <w:start w:w="100" w:type="dxa"/>
              <w:bottom w:w="80" w:type="dxa"/>
              <w:end w:w="100" w:type="dxa"/>
            </w:tcMar>
            <w:vAlign w:val="top"/>
          </w:tcPr>
          <w:p>
            <w:pPr>
              <w:spacing w:after="0"/>
            </w:pPr>
            <w:r>
              <w:rPr>
                <w:sz w:val="16"/>
              </w:rPr>
              <w:t>Run a controlled failover and measure reconnect time</w:t>
            </w:r>
          </w:p>
        </w:tc>
      </w:tr>
      <w:tr>
        <w:trPr>
          <w:cantSplit/>
        </w:trPr>
        <w:tc>
          <w:tcPr>
            <w:tcW w:type="dxa" w:w="2448"/>
            <w:tcMar>
              <w:top w:w="80" w:type="dxa"/>
              <w:start w:w="100" w:type="dxa"/>
              <w:bottom w:w="80" w:type="dxa"/>
              <w:end w:w="100" w:type="dxa"/>
            </w:tcMar>
            <w:vAlign w:val="top"/>
          </w:tcPr>
          <w:p>
            <w:pPr>
              <w:spacing w:after="0"/>
            </w:pPr>
            <w:r>
              <w:rPr>
                <w:sz w:val="16"/>
              </w:rPr>
              <w:t>Read replica/read pool</w:t>
            </w:r>
          </w:p>
        </w:tc>
        <w:tc>
          <w:tcPr>
            <w:tcW w:type="dxa" w:w="3600"/>
            <w:tcMar>
              <w:top w:w="80" w:type="dxa"/>
              <w:start w:w="100" w:type="dxa"/>
              <w:bottom w:w="80" w:type="dxa"/>
              <w:end w:w="100" w:type="dxa"/>
            </w:tcMar>
            <w:vAlign w:val="top"/>
          </w:tcPr>
          <w:p>
            <w:pPr>
              <w:spacing w:after="0"/>
            </w:pPr>
            <w:r>
              <w:rPr>
                <w:sz w:val="16"/>
              </w:rPr>
              <w:t>Read scale and workload isolation</w:t>
            </w:r>
          </w:p>
        </w:tc>
        <w:tc>
          <w:tcPr>
            <w:tcW w:type="dxa" w:w="3600"/>
            <w:tcMar>
              <w:top w:w="80" w:type="dxa"/>
              <w:start w:w="100" w:type="dxa"/>
              <w:bottom w:w="80" w:type="dxa"/>
              <w:end w:w="100" w:type="dxa"/>
            </w:tcMar>
            <w:vAlign w:val="top"/>
          </w:tcPr>
          <w:p>
            <w:pPr>
              <w:spacing w:after="0"/>
            </w:pPr>
            <w:r>
              <w:rPr>
                <w:sz w:val="16"/>
              </w:rPr>
              <w:t>Verify lag, routing, and consistency expectations</w:t>
            </w:r>
          </w:p>
        </w:tc>
      </w:tr>
      <w:tr>
        <w:trPr>
          <w:cantSplit/>
        </w:trPr>
        <w:tc>
          <w:tcPr>
            <w:tcW w:type="dxa" w:w="2448"/>
            <w:tcMar>
              <w:top w:w="80" w:type="dxa"/>
              <w:start w:w="100" w:type="dxa"/>
              <w:bottom w:w="80" w:type="dxa"/>
              <w:end w:w="100" w:type="dxa"/>
            </w:tcMar>
            <w:vAlign w:val="top"/>
          </w:tcPr>
          <w:p>
            <w:pPr>
              <w:spacing w:after="0"/>
            </w:pPr>
            <w:r>
              <w:rPr>
                <w:sz w:val="16"/>
              </w:rPr>
              <w:t>Automated backup/PITR</w:t>
            </w:r>
          </w:p>
        </w:tc>
        <w:tc>
          <w:tcPr>
            <w:tcW w:type="dxa" w:w="3600"/>
            <w:tcMar>
              <w:top w:w="80" w:type="dxa"/>
              <w:start w:w="100" w:type="dxa"/>
              <w:bottom w:w="80" w:type="dxa"/>
              <w:end w:w="100" w:type="dxa"/>
            </w:tcMar>
            <w:vAlign w:val="top"/>
          </w:tcPr>
          <w:p>
            <w:pPr>
              <w:spacing w:after="0"/>
            </w:pPr>
            <w:r>
              <w:rPr>
                <w:sz w:val="16"/>
              </w:rPr>
              <w:t>Recover from logical error</w:t>
            </w:r>
          </w:p>
        </w:tc>
        <w:tc>
          <w:tcPr>
            <w:tcW w:type="dxa" w:w="3600"/>
            <w:tcMar>
              <w:top w:w="80" w:type="dxa"/>
              <w:start w:w="100" w:type="dxa"/>
              <w:bottom w:w="80" w:type="dxa"/>
              <w:end w:w="100" w:type="dxa"/>
            </w:tcMar>
            <w:vAlign w:val="top"/>
          </w:tcPr>
          <w:p>
            <w:pPr>
              <w:spacing w:after="0"/>
            </w:pPr>
            <w:r>
              <w:rPr>
                <w:sz w:val="16"/>
              </w:rPr>
              <w:t>Restore into an isolated target and reconcile data</w:t>
            </w:r>
          </w:p>
        </w:tc>
      </w:tr>
      <w:tr>
        <w:trPr>
          <w:cantSplit/>
        </w:trPr>
        <w:tc>
          <w:tcPr>
            <w:tcW w:type="dxa" w:w="2448"/>
            <w:tcMar>
              <w:top w:w="80" w:type="dxa"/>
              <w:start w:w="100" w:type="dxa"/>
              <w:bottom w:w="80" w:type="dxa"/>
              <w:end w:w="100" w:type="dxa"/>
            </w:tcMar>
            <w:vAlign w:val="top"/>
          </w:tcPr>
          <w:p>
            <w:pPr>
              <w:spacing w:after="0"/>
            </w:pPr>
            <w:r>
              <w:rPr>
                <w:sz w:val="16"/>
              </w:rPr>
              <w:t>Cross-region replica/secondary</w:t>
            </w:r>
          </w:p>
        </w:tc>
        <w:tc>
          <w:tcPr>
            <w:tcW w:type="dxa" w:w="3600"/>
            <w:tcMar>
              <w:top w:w="80" w:type="dxa"/>
              <w:start w:w="100" w:type="dxa"/>
              <w:bottom w:w="80" w:type="dxa"/>
              <w:end w:w="100" w:type="dxa"/>
            </w:tcMar>
            <w:vAlign w:val="top"/>
          </w:tcPr>
          <w:p>
            <w:pPr>
              <w:spacing w:after="0"/>
            </w:pPr>
            <w:r>
              <w:rPr>
                <w:sz w:val="16"/>
              </w:rPr>
              <w:t>Regional disaster recovery</w:t>
            </w:r>
          </w:p>
        </w:tc>
        <w:tc>
          <w:tcPr>
            <w:tcW w:type="dxa" w:w="3600"/>
            <w:tcMar>
              <w:top w:w="80" w:type="dxa"/>
              <w:start w:w="100" w:type="dxa"/>
              <w:bottom w:w="80" w:type="dxa"/>
              <w:end w:w="100" w:type="dxa"/>
            </w:tcMar>
            <w:vAlign w:val="top"/>
          </w:tcPr>
          <w:p>
            <w:pPr>
              <w:spacing w:after="0"/>
            </w:pPr>
            <w:r>
              <w:rPr>
                <w:sz w:val="16"/>
              </w:rPr>
              <w:t>Practice promotion, DNS/config switch, and failback</w:t>
            </w:r>
          </w:p>
        </w:tc>
      </w:tr>
      <w:tr>
        <w:trPr>
          <w:cantSplit/>
        </w:trPr>
        <w:tc>
          <w:tcPr>
            <w:tcW w:type="dxa" w:w="2448"/>
            <w:tcMar>
              <w:top w:w="80" w:type="dxa"/>
              <w:start w:w="100" w:type="dxa"/>
              <w:bottom w:w="80" w:type="dxa"/>
              <w:end w:w="100" w:type="dxa"/>
            </w:tcMar>
            <w:vAlign w:val="top"/>
          </w:tcPr>
          <w:p>
            <w:pPr>
              <w:spacing w:after="0"/>
            </w:pPr>
            <w:r>
              <w:rPr>
                <w:sz w:val="16"/>
              </w:rPr>
              <w:t>Deletion protection</w:t>
            </w:r>
          </w:p>
        </w:tc>
        <w:tc>
          <w:tcPr>
            <w:tcW w:type="dxa" w:w="3600"/>
            <w:tcMar>
              <w:top w:w="80" w:type="dxa"/>
              <w:start w:w="100" w:type="dxa"/>
              <w:bottom w:w="80" w:type="dxa"/>
              <w:end w:w="100" w:type="dxa"/>
            </w:tcMar>
            <w:vAlign w:val="top"/>
          </w:tcPr>
          <w:p>
            <w:pPr>
              <w:spacing w:after="0"/>
            </w:pPr>
            <w:r>
              <w:rPr>
                <w:sz w:val="16"/>
              </w:rPr>
              <w:t>Prevent accidental removal</w:t>
            </w:r>
          </w:p>
        </w:tc>
        <w:tc>
          <w:tcPr>
            <w:tcW w:type="dxa" w:w="3600"/>
            <w:tcMar>
              <w:top w:w="80" w:type="dxa"/>
              <w:start w:w="100" w:type="dxa"/>
              <w:bottom w:w="80" w:type="dxa"/>
              <w:end w:w="100" w:type="dxa"/>
            </w:tcMar>
            <w:vAlign w:val="top"/>
          </w:tcPr>
          <w:p>
            <w:pPr>
              <w:spacing w:after="0"/>
            </w:pPr>
            <w:r>
              <w:rPr>
                <w:sz w:val="16"/>
              </w:rPr>
              <w:t>Test change permissions and break-glass workflow</w:t>
            </w:r>
          </w:p>
        </w:tc>
      </w:tr>
    </w:tbl>
    <w:p>
      <w:pPr>
        <w:spacing w:after="20"/>
      </w:pPr>
    </w:p>
    <w:p>
      <w:pPr>
        <w:pStyle w:val="Heading2"/>
        <w:keepNext/>
      </w:pPr>
      <w:r>
        <w:t>21.4 Performance and Change Operations</w:t>
      </w:r>
    </w:p>
    <w:p>
      <w:pPr>
        <w:spacing w:after="120"/>
      </w:pPr>
      <w:r>
        <w:rPr>
          <w:i w:val="0"/>
        </w:rPr>
        <w:t>Monitor CPU, memory pressure, storage, connections, replication delay, transaction latency, lock waits, and slow queries. Query tuning and schema design normally produce better outcomes than blind vertical scaling. Maintenance windows, flags, machine changes, and major upgrades require release plans and compatibility tests.</w:t>
      </w:r>
    </w:p>
    <w:p>
      <w:pPr>
        <w:pStyle w:val="CodeBlock"/>
        <w:keepLines/>
        <w:spacing w:after="120"/>
      </w:pPr>
      <w:r>
        <w:rPr>
          <w:rFonts w:ascii="Cascadia Mono" w:hAnsi="Cascadia Mono"/>
          <w:sz w:val="16"/>
        </w:rPr>
        <w:t>gcloud sql instances describe app-db --format='yaml(state,region,databaseVersion,settings.availabilityType,settings.backupConfiguration,settings.ipConfiguration)'</w:t>
        <w:br/>
        <w:br/>
        <w:t>gcloud sql operations list --instance=app-db --limit=10</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Connections spike and requests fail</w:t>
            </w:r>
          </w:p>
        </w:tc>
        <w:tc>
          <w:tcPr>
            <w:tcW w:type="dxa" w:w="2592"/>
            <w:tcMar>
              <w:top w:w="80" w:type="dxa"/>
              <w:start w:w="100" w:type="dxa"/>
              <w:bottom w:w="80" w:type="dxa"/>
              <w:end w:w="100" w:type="dxa"/>
            </w:tcMar>
            <w:vAlign w:val="top"/>
          </w:tcPr>
          <w:p>
            <w:pPr>
              <w:spacing w:after="0"/>
            </w:pPr>
            <w:r>
              <w:rPr>
                <w:sz w:val="16"/>
              </w:rPr>
              <w:t>Unbounded pools, serverless concurrency, or leaked connections</w:t>
            </w:r>
          </w:p>
        </w:tc>
        <w:tc>
          <w:tcPr>
            <w:tcW w:type="dxa" w:w="5328"/>
            <w:tcMar>
              <w:top w:w="80" w:type="dxa"/>
              <w:start w:w="100" w:type="dxa"/>
              <w:bottom w:w="80" w:type="dxa"/>
              <w:end w:w="100" w:type="dxa"/>
            </w:tcMar>
            <w:vAlign w:val="top"/>
          </w:tcPr>
          <w:p>
            <w:pPr>
              <w:spacing w:after="0"/>
            </w:pPr>
            <w:r>
              <w:rPr>
                <w:sz w:val="16"/>
              </w:rPr>
              <w:t>Inspect connection metrics and application pools; cap concurrency, reuse connectors, and add backpressure.</w:t>
            </w:r>
          </w:p>
        </w:tc>
      </w:tr>
      <w:tr>
        <w:trPr>
          <w:cantSplit/>
        </w:trPr>
        <w:tc>
          <w:tcPr>
            <w:tcW w:type="dxa" w:w="2160"/>
            <w:tcMar>
              <w:top w:w="80" w:type="dxa"/>
              <w:start w:w="100" w:type="dxa"/>
              <w:bottom w:w="80" w:type="dxa"/>
              <w:end w:w="100" w:type="dxa"/>
            </w:tcMar>
            <w:vAlign w:val="top"/>
          </w:tcPr>
          <w:p>
            <w:pPr>
              <w:spacing w:after="0"/>
            </w:pPr>
            <w:r>
              <w:rPr>
                <w:sz w:val="16"/>
              </w:rPr>
              <w:t>Replica lag grows</w:t>
            </w:r>
          </w:p>
        </w:tc>
        <w:tc>
          <w:tcPr>
            <w:tcW w:type="dxa" w:w="2592"/>
            <w:tcMar>
              <w:top w:w="80" w:type="dxa"/>
              <w:start w:w="100" w:type="dxa"/>
              <w:bottom w:w="80" w:type="dxa"/>
              <w:end w:w="100" w:type="dxa"/>
            </w:tcMar>
            <w:vAlign w:val="top"/>
          </w:tcPr>
          <w:p>
            <w:pPr>
              <w:spacing w:after="0"/>
            </w:pPr>
            <w:r>
              <w:rPr>
                <w:sz w:val="16"/>
              </w:rPr>
              <w:t>Write burst, long transaction, insufficient capacity, or network issue</w:t>
            </w:r>
          </w:p>
        </w:tc>
        <w:tc>
          <w:tcPr>
            <w:tcW w:type="dxa" w:w="5328"/>
            <w:tcMar>
              <w:top w:w="80" w:type="dxa"/>
              <w:start w:w="100" w:type="dxa"/>
              <w:bottom w:w="80" w:type="dxa"/>
              <w:end w:w="100" w:type="dxa"/>
            </w:tcMar>
            <w:vAlign w:val="top"/>
          </w:tcPr>
          <w:p>
            <w:pPr>
              <w:spacing w:after="0"/>
            </w:pPr>
            <w:r>
              <w:rPr>
                <w:sz w:val="16"/>
              </w:rPr>
              <w:t>Measure lag and workload; reduce long transactions, scale appropriately, and route latency-sensitive reads carefully.</w:t>
            </w:r>
          </w:p>
        </w:tc>
      </w:tr>
      <w:tr>
        <w:trPr>
          <w:cantSplit/>
        </w:trPr>
        <w:tc>
          <w:tcPr>
            <w:tcW w:type="dxa" w:w="2160"/>
            <w:tcMar>
              <w:top w:w="80" w:type="dxa"/>
              <w:start w:w="100" w:type="dxa"/>
              <w:bottom w:w="80" w:type="dxa"/>
              <w:end w:w="100" w:type="dxa"/>
            </w:tcMar>
            <w:vAlign w:val="top"/>
          </w:tcPr>
          <w:p>
            <w:pPr>
              <w:spacing w:after="0"/>
            </w:pPr>
            <w:r>
              <w:rPr>
                <w:sz w:val="16"/>
              </w:rPr>
              <w:t>Failover completes but application stays down</w:t>
            </w:r>
          </w:p>
        </w:tc>
        <w:tc>
          <w:tcPr>
            <w:tcW w:type="dxa" w:w="2592"/>
            <w:tcMar>
              <w:top w:w="80" w:type="dxa"/>
              <w:start w:w="100" w:type="dxa"/>
              <w:bottom w:w="80" w:type="dxa"/>
              <w:end w:w="100" w:type="dxa"/>
            </w:tcMar>
            <w:vAlign w:val="top"/>
          </w:tcPr>
          <w:p>
            <w:pPr>
              <w:spacing w:after="0"/>
            </w:pPr>
            <w:r>
              <w:rPr>
                <w:sz w:val="16"/>
              </w:rPr>
              <w:t>Stale connections, DNS/cache, driver retry, or session assumptions</w:t>
            </w:r>
          </w:p>
        </w:tc>
        <w:tc>
          <w:tcPr>
            <w:tcW w:type="dxa" w:w="5328"/>
            <w:tcMar>
              <w:top w:w="80" w:type="dxa"/>
              <w:start w:w="100" w:type="dxa"/>
              <w:bottom w:w="80" w:type="dxa"/>
              <w:end w:w="100" w:type="dxa"/>
            </w:tcMar>
            <w:vAlign w:val="top"/>
          </w:tcPr>
          <w:p>
            <w:pPr>
              <w:spacing w:after="0"/>
            </w:pPr>
            <w:r>
              <w:rPr>
                <w:sz w:val="16"/>
              </w:rPr>
              <w:t>Inspect client errors and pool behavior; implement bounded retry with jitter and recreate connections.</w:t>
            </w:r>
          </w:p>
        </w:tc>
      </w:tr>
      <w:tr>
        <w:trPr>
          <w:cantSplit/>
        </w:trPr>
        <w:tc>
          <w:tcPr>
            <w:tcW w:type="dxa" w:w="2160"/>
            <w:tcMar>
              <w:top w:w="80" w:type="dxa"/>
              <w:start w:w="100" w:type="dxa"/>
              <w:bottom w:w="80" w:type="dxa"/>
              <w:end w:w="100" w:type="dxa"/>
            </w:tcMar>
            <w:vAlign w:val="top"/>
          </w:tcPr>
          <w:p>
            <w:pPr>
              <w:spacing w:after="0"/>
            </w:pPr>
            <w:r>
              <w:rPr>
                <w:sz w:val="16"/>
              </w:rPr>
              <w:t>Restore is incomplete</w:t>
            </w:r>
          </w:p>
        </w:tc>
        <w:tc>
          <w:tcPr>
            <w:tcW w:type="dxa" w:w="2592"/>
            <w:tcMar>
              <w:top w:w="80" w:type="dxa"/>
              <w:start w:w="100" w:type="dxa"/>
              <w:bottom w:w="80" w:type="dxa"/>
              <w:end w:w="100" w:type="dxa"/>
            </w:tcMar>
            <w:vAlign w:val="top"/>
          </w:tcPr>
          <w:p>
            <w:pPr>
              <w:spacing w:after="0"/>
            </w:pPr>
            <w:r>
              <w:rPr>
                <w:sz w:val="16"/>
              </w:rPr>
              <w:t>Wrong backup/PITR timestamp, missing objects, or untested runbook</w:t>
            </w:r>
          </w:p>
        </w:tc>
        <w:tc>
          <w:tcPr>
            <w:tcW w:type="dxa" w:w="5328"/>
            <w:tcMar>
              <w:top w:w="80" w:type="dxa"/>
              <w:start w:w="100" w:type="dxa"/>
              <w:bottom w:w="80" w:type="dxa"/>
              <w:end w:w="100" w:type="dxa"/>
            </w:tcMar>
            <w:vAlign w:val="top"/>
          </w:tcPr>
          <w:p>
            <w:pPr>
              <w:spacing w:after="0"/>
            </w:pPr>
            <w:r>
              <w:rPr>
                <w:sz w:val="16"/>
              </w:rPr>
              <w:t>Restore separately, compare row counts/checksums and critical objects, then update the runbook.</w:t>
            </w:r>
          </w:p>
        </w:tc>
      </w:tr>
    </w:tbl>
    <w:p>
      <w:pPr>
        <w:spacing w:after="20"/>
      </w:pPr>
    </w:p>
    <w:p>
      <w:pPr>
        <w:pStyle w:val="Heading2"/>
        <w:keepNext/>
      </w:pPr>
      <w:r>
        <w:t>Hands-on Lab 21: Build and Validate a Private HA Relational Service</w:t>
      </w:r>
    </w:p>
    <w:p>
      <w:pPr>
        <w:pStyle w:val="Heading3"/>
        <w:keepNext/>
      </w:pPr>
      <w:r>
        <w:t>Prerequisites</w:t>
      </w:r>
    </w:p>
    <w:p>
      <w:pPr>
        <w:pStyle w:val="ListBullet"/>
        <w:spacing w:after="60"/>
      </w:pPr>
      <w:r>
        <w:t>A VPC with private connectivity, a synthetic dataset, gcloud, and permissions for database, network, IAM, and Secret Manager operations.</w:t>
      </w:r>
    </w:p>
    <w:p>
      <w:pPr>
        <w:pStyle w:val="Heading3"/>
        <w:keepNext/>
      </w:pPr>
      <w:r>
        <w:t>Implementation</w:t>
      </w:r>
    </w:p>
    <w:p>
      <w:pPr>
        <w:spacing w:after="60"/>
        <w:ind w:left="360" w:hanging="259"/>
      </w:pPr>
      <w:r>
        <w:rPr>
          <w:b/>
        </w:rPr>
        <w:t xml:space="preserve">1. </w:t>
      </w:r>
      <w:r>
        <w:t>Create a small HA Cloud SQL PostgreSQL instance or a suitable AlloyDB learning cluster with deletion protection and automated backup/PITR.</w:t>
      </w:r>
    </w:p>
    <w:p>
      <w:pPr>
        <w:spacing w:after="60"/>
        <w:ind w:left="360" w:hanging="259"/>
      </w:pPr>
      <w:r>
        <w:rPr>
          <w:b/>
        </w:rPr>
        <w:t xml:space="preserve">2. </w:t>
      </w:r>
      <w:r>
        <w:t>Configure private connectivity and a dedicated runtime service account; avoid embedding a database password in source code.</w:t>
      </w:r>
    </w:p>
    <w:p>
      <w:pPr>
        <w:spacing w:after="60"/>
        <w:ind w:left="360" w:hanging="259"/>
      </w:pPr>
      <w:r>
        <w:rPr>
          <w:b/>
        </w:rPr>
        <w:t xml:space="preserve">3. </w:t>
      </w:r>
      <w:r>
        <w:t>Create an application schema and load synthetic orders and customers.</w:t>
      </w:r>
    </w:p>
    <w:p>
      <w:pPr>
        <w:spacing w:after="60"/>
        <w:ind w:left="360" w:hanging="259"/>
      </w:pPr>
      <w:r>
        <w:rPr>
          <w:b/>
        </w:rPr>
        <w:t xml:space="preserve">4. </w:t>
      </w:r>
      <w:r>
        <w:t>Run representative reads/writes through a bounded connection pool and capture latency, connections, and query evidence.</w:t>
      </w:r>
    </w:p>
    <w:p>
      <w:pPr>
        <w:spacing w:after="60"/>
        <w:ind w:left="360" w:hanging="259"/>
      </w:pPr>
      <w:r>
        <w:rPr>
          <w:b/>
        </w:rPr>
        <w:t xml:space="preserve">5. </w:t>
      </w:r>
      <w:r>
        <w:t>Create read-scaling capacity where budget permits and validate routing and replication delay.</w:t>
      </w:r>
    </w:p>
    <w:p>
      <w:pPr>
        <w:spacing w:after="60"/>
        <w:ind w:left="360" w:hanging="259"/>
      </w:pPr>
      <w:r>
        <w:rPr>
          <w:b/>
        </w:rPr>
        <w:t xml:space="preserve">6. </w:t>
      </w:r>
      <w:r>
        <w:t>Trigger a supported controlled failover or maintenance simulation and record application recovery behavior.</w:t>
      </w:r>
    </w:p>
    <w:p>
      <w:pPr>
        <w:spacing w:after="60"/>
        <w:ind w:left="360" w:hanging="259"/>
      </w:pPr>
      <w:r>
        <w:rPr>
          <w:b/>
        </w:rPr>
        <w:t xml:space="preserve">7. </w:t>
      </w:r>
      <w:r>
        <w:t>Restore a backup or PITR copy into an isolated target and reconcile critical data.</w:t>
      </w:r>
    </w:p>
    <w:p>
      <w:pPr>
        <w:pStyle w:val="Heading3"/>
        <w:keepNext/>
      </w:pPr>
      <w:r>
        <w:t>Validation Evidence</w:t>
      </w:r>
    </w:p>
    <w:p>
      <w:pPr>
        <w:pStyle w:val="ListBullet"/>
        <w:spacing w:after="60"/>
      </w:pPr>
      <w:r>
        <w:t>No public exposure is required for the application path.</w:t>
      </w:r>
    </w:p>
    <w:p>
      <w:pPr>
        <w:pStyle w:val="ListBullet"/>
        <w:spacing w:after="60"/>
      </w:pPr>
      <w:r>
        <w:t>HA, backup, and deletion-protection settings are documented.</w:t>
      </w:r>
    </w:p>
    <w:p>
      <w:pPr>
        <w:pStyle w:val="ListBullet"/>
        <w:spacing w:after="60"/>
      </w:pPr>
      <w:r>
        <w:t>The application reconnects after failover within the measured objective.</w:t>
      </w:r>
    </w:p>
    <w:p>
      <w:pPr>
        <w:pStyle w:val="ListBullet"/>
        <w:spacing w:after="60"/>
      </w:pPr>
      <w:r>
        <w:t>The restored copy passes row-count and sample checksum validation.</w:t>
      </w:r>
    </w:p>
    <w:p>
      <w:pPr>
        <w:pStyle w:val="Heading3"/>
        <w:keepNext/>
      </w:pPr>
      <w:r>
        <w:t>Cleanup</w:t>
      </w:r>
    </w:p>
    <w:p>
      <w:pPr>
        <w:pStyle w:val="ListBullet"/>
        <w:spacing w:after="60"/>
      </w:pPr>
      <w:r>
        <w:t>Delete replicas, restored instances, databases, secrets, private connections, and temporary projects after evidence is saved.</w:t>
      </w:r>
    </w:p>
    <w:p>
      <w:pPr>
        <w:pStyle w:val="Heading2"/>
        <w:keepNext/>
      </w:pPr>
      <w:r>
        <w:t>Interview Questions and Model Answers</w:t>
      </w:r>
    </w:p>
    <w:p>
      <w:pPr>
        <w:spacing w:after="40"/>
      </w:pPr>
      <w:r>
        <w:rPr>
          <w:b/>
        </w:rPr>
        <w:t>1. When should you choose AlloyDB instead of Cloud SQL?</w:t>
      </w:r>
    </w:p>
    <w:p>
      <w:pPr>
        <w:spacing w:after="120"/>
        <w:ind w:left="216"/>
      </w:pPr>
      <w:r>
        <w:t>When PostgreSQL compatibility is acceptable and the workload needs AlloyDB-specific performance, read scaling, or architecture benefits that justify migration and cost.</w:t>
      </w:r>
    </w:p>
    <w:p>
      <w:pPr>
        <w:spacing w:after="40"/>
      </w:pPr>
      <w:r>
        <w:rPr>
          <w:b/>
        </w:rPr>
        <w:t>2. Is a read replica a backup?</w:t>
      </w:r>
    </w:p>
    <w:p>
      <w:pPr>
        <w:spacing w:after="120"/>
        <w:ind w:left="216"/>
      </w:pPr>
      <w:r>
        <w:t>No. Replication can copy logical errors; backups and PITR preserve recovery points for different failure modes.</w:t>
      </w:r>
    </w:p>
    <w:p>
      <w:pPr>
        <w:spacing w:after="40"/>
      </w:pPr>
      <w:r>
        <w:rPr>
          <w:b/>
        </w:rPr>
        <w:t>3. Why can serverless compute overload a database?</w:t>
      </w:r>
    </w:p>
    <w:p>
      <w:pPr>
        <w:spacing w:after="120"/>
        <w:ind w:left="216"/>
      </w:pPr>
      <w:r>
        <w:t>Compute may scale faster than database connection capacity, so pools, concurrency limits, and backpressure are essential.</w:t>
      </w:r>
    </w:p>
    <w:p>
      <w:pPr>
        <w:spacing w:after="40"/>
      </w:pPr>
      <w:r>
        <w:rPr>
          <w:b/>
        </w:rPr>
        <w:t>4. What proves database resilience?</w:t>
      </w:r>
    </w:p>
    <w:p>
      <w:pPr>
        <w:spacing w:after="120"/>
        <w:ind w:left="216"/>
      </w:pPr>
      <w:r>
        <w:t>Measured failover, reconnect, restore, reconciliation, and documented recovery evidence - not configuration alone.</w:t>
      </w:r>
    </w:p>
    <w:p>
      <w:pPr>
        <w:pStyle w:val="Heading2"/>
        <w:keepNext/>
      </w:pPr>
      <w:r>
        <w:t>Chapter Summary</w:t>
      </w:r>
    </w:p>
    <w:p>
      <w:pPr>
        <w:pStyle w:val="ListBullet"/>
        <w:spacing w:after="60"/>
      </w:pPr>
      <w:r>
        <w:t>Cloud SQL and AlloyDB serve different compatibility and performance profiles.</w:t>
      </w:r>
    </w:p>
    <w:p>
      <w:pPr>
        <w:pStyle w:val="ListBullet"/>
        <w:spacing w:after="60"/>
      </w:pPr>
      <w:r>
        <w:t>Private identity-based connectivity and bounded connection pools are production requirements.</w:t>
      </w:r>
    </w:p>
    <w:p>
      <w:pPr>
        <w:pStyle w:val="ListBullet"/>
        <w:spacing w:after="60"/>
      </w:pPr>
      <w:r>
        <w:t>HA, replication, backup, and DR address different failures.</w:t>
      </w:r>
    </w:p>
    <w:p>
      <w:pPr>
        <w:pStyle w:val="ListBullet"/>
        <w:spacing w:after="60"/>
      </w:pPr>
      <w:r>
        <w:t>Recovery must be exercised and reconciled.</w:t>
      </w:r>
    </w:p>
    <w:p>
      <w:pPr>
        <w:pStyle w:val="Heading1"/>
        <w:keepNext/>
        <w:pageBreakBefore/>
      </w:pPr>
      <w:r>
        <w:t>Chapter 22 - Spanner Global Relational Engineering</w:t>
      </w:r>
    </w:p>
    <w:p>
      <w:pPr>
        <w:spacing w:after="120"/>
      </w:pPr>
      <w:r>
        <w:rPr>
          <w:i/>
          <w:color w:val="505050"/>
        </w:rPr>
        <w:t>Designing transactional systems that scale across regions without abandoning relational integrity</w:t>
      </w:r>
    </w:p>
    <w:p>
      <w:pPr>
        <w:pStyle w:val="Heading2"/>
        <w:keepNext/>
      </w:pPr>
      <w:r>
        <w:t>Learning Objectives</w:t>
      </w:r>
    </w:p>
    <w:p>
      <w:pPr>
        <w:pStyle w:val="ListBullet"/>
        <w:spacing w:after="60"/>
      </w:pPr>
      <w:r>
        <w:t>Explain Spanner instances, configurations, processing units/nodes, databases, and SQL dialects.</w:t>
      </w:r>
    </w:p>
    <w:p>
      <w:pPr>
        <w:pStyle w:val="ListBullet"/>
        <w:spacing w:after="60"/>
      </w:pPr>
      <w:r>
        <w:t>Design keys and schemas that avoid hotspots and support locality.</w:t>
      </w:r>
    </w:p>
    <w:p>
      <w:pPr>
        <w:pStyle w:val="ListBullet"/>
        <w:spacing w:after="60"/>
      </w:pPr>
      <w:r>
        <w:t>Choose read, transaction, and multi-region patterns from consistency and latency requirements.</w:t>
      </w:r>
    </w:p>
    <w:p>
      <w:pPr>
        <w:pStyle w:val="ListBullet"/>
        <w:spacing w:after="60"/>
      </w:pPr>
      <w:r>
        <w:t>Operate capacity, backups, change streams, observability, and recovery.</w:t>
      </w:r>
    </w:p>
    <w:p>
      <w:pPr>
        <w:pStyle w:val="Heading2"/>
        <w:keepNext/>
      </w:pPr>
      <w:r>
        <w:t>22.1 Architecture and Configuration Choice</w:t>
      </w:r>
    </w:p>
    <w:p>
      <w:pPr>
        <w:spacing w:after="120"/>
      </w:pPr>
      <w:r>
        <w:rPr>
          <w:i w:val="0"/>
        </w:rPr>
        <w:t>Spanner is a fully managed relational database that combines transactional consistency with horizontal scale. Instance configuration determines regional, dual-region, or multi-region placement and therefore affects write latency, availability, data residency, and cost. The database supports GoogleSQL and PostgreSQL dialect choices, but dialect selection is a long-lived application decision.</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016"/>
            <w:shd w:fill="1A73E8"/>
            <w:tcMar>
              <w:top w:w="80" w:type="dxa"/>
              <w:start w:w="100" w:type="dxa"/>
              <w:bottom w:w="80" w:type="dxa"/>
              <w:end w:w="100" w:type="dxa"/>
            </w:tcMar>
            <w:vAlign w:val="center"/>
          </w:tcPr>
          <w:p>
            <w:pPr>
              <w:jc w:val="center"/>
            </w:pPr>
            <w:r>
              <w:rPr>
                <w:b/>
                <w:color w:val="FFFFFF"/>
                <w:sz w:val="16"/>
              </w:rPr>
              <w:t>Configuration</w:t>
            </w:r>
          </w:p>
        </w:tc>
        <w:tc>
          <w:tcPr>
            <w:tcW w:type="dxa" w:w="3888"/>
            <w:shd w:fill="1A73E8"/>
            <w:tcMar>
              <w:top w:w="80" w:type="dxa"/>
              <w:start w:w="100" w:type="dxa"/>
              <w:bottom w:w="80" w:type="dxa"/>
              <w:end w:w="100" w:type="dxa"/>
            </w:tcMar>
            <w:vAlign w:val="center"/>
          </w:tcPr>
          <w:p>
            <w:pPr>
              <w:jc w:val="center"/>
            </w:pPr>
            <w:r>
              <w:rPr>
                <w:b/>
                <w:color w:val="FFFFFF"/>
                <w:sz w:val="16"/>
              </w:rPr>
              <w:t>Strength</w:t>
            </w:r>
          </w:p>
        </w:tc>
        <w:tc>
          <w:tcPr>
            <w:tcW w:type="dxa" w:w="3888"/>
            <w:shd w:fill="1A73E8"/>
            <w:tcMar>
              <w:top w:w="80" w:type="dxa"/>
              <w:start w:w="100" w:type="dxa"/>
              <w:bottom w:w="80" w:type="dxa"/>
              <w:end w:w="100" w:type="dxa"/>
            </w:tcMar>
            <w:vAlign w:val="center"/>
          </w:tcPr>
          <w:p>
            <w:pPr>
              <w:jc w:val="center"/>
            </w:pPr>
            <w:r>
              <w:rPr>
                <w:b/>
                <w:color w:val="FFFFFF"/>
                <w:sz w:val="16"/>
              </w:rPr>
              <w:t>Trade-off</w:t>
            </w:r>
          </w:p>
        </w:tc>
      </w:tr>
      <w:tr>
        <w:trPr>
          <w:cantSplit/>
        </w:trPr>
        <w:tc>
          <w:tcPr>
            <w:tcW w:type="dxa" w:w="2016"/>
            <w:tcMar>
              <w:top w:w="80" w:type="dxa"/>
              <w:start w:w="100" w:type="dxa"/>
              <w:bottom w:w="80" w:type="dxa"/>
              <w:end w:w="100" w:type="dxa"/>
            </w:tcMar>
            <w:vAlign w:val="top"/>
          </w:tcPr>
          <w:p>
            <w:pPr>
              <w:spacing w:after="0"/>
            </w:pPr>
            <w:r>
              <w:rPr>
                <w:sz w:val="16"/>
              </w:rPr>
              <w:t>Regional</w:t>
            </w:r>
          </w:p>
        </w:tc>
        <w:tc>
          <w:tcPr>
            <w:tcW w:type="dxa" w:w="3888"/>
            <w:tcMar>
              <w:top w:w="80" w:type="dxa"/>
              <w:start w:w="100" w:type="dxa"/>
              <w:bottom w:w="80" w:type="dxa"/>
              <w:end w:w="100" w:type="dxa"/>
            </w:tcMar>
            <w:vAlign w:val="top"/>
          </w:tcPr>
          <w:p>
            <w:pPr>
              <w:spacing w:after="0"/>
            </w:pPr>
            <w:r>
              <w:rPr>
                <w:sz w:val="16"/>
              </w:rPr>
              <w:t>Lowest write latency near one region; zonal resilience</w:t>
            </w:r>
          </w:p>
        </w:tc>
        <w:tc>
          <w:tcPr>
            <w:tcW w:type="dxa" w:w="3888"/>
            <w:tcMar>
              <w:top w:w="80" w:type="dxa"/>
              <w:start w:w="100" w:type="dxa"/>
              <w:bottom w:w="80" w:type="dxa"/>
              <w:end w:w="100" w:type="dxa"/>
            </w:tcMar>
            <w:vAlign w:val="top"/>
          </w:tcPr>
          <w:p>
            <w:pPr>
              <w:spacing w:after="0"/>
            </w:pPr>
            <w:r>
              <w:rPr>
                <w:sz w:val="16"/>
              </w:rPr>
              <w:t>Regional outage requires separate DR strategy</w:t>
            </w:r>
          </w:p>
        </w:tc>
      </w:tr>
      <w:tr>
        <w:trPr>
          <w:cantSplit/>
        </w:trPr>
        <w:tc>
          <w:tcPr>
            <w:tcW w:type="dxa" w:w="2016"/>
            <w:tcMar>
              <w:top w:w="80" w:type="dxa"/>
              <w:start w:w="100" w:type="dxa"/>
              <w:bottom w:w="80" w:type="dxa"/>
              <w:end w:w="100" w:type="dxa"/>
            </w:tcMar>
            <w:vAlign w:val="top"/>
          </w:tcPr>
          <w:p>
            <w:pPr>
              <w:spacing w:after="0"/>
            </w:pPr>
            <w:r>
              <w:rPr>
                <w:sz w:val="16"/>
              </w:rPr>
              <w:t>Dual-region</w:t>
            </w:r>
          </w:p>
        </w:tc>
        <w:tc>
          <w:tcPr>
            <w:tcW w:type="dxa" w:w="3888"/>
            <w:tcMar>
              <w:top w:w="80" w:type="dxa"/>
              <w:start w:w="100" w:type="dxa"/>
              <w:bottom w:w="80" w:type="dxa"/>
              <w:end w:w="100" w:type="dxa"/>
            </w:tcMar>
            <w:vAlign w:val="top"/>
          </w:tcPr>
          <w:p>
            <w:pPr>
              <w:spacing w:after="0"/>
            </w:pPr>
            <w:r>
              <w:rPr>
                <w:sz w:val="16"/>
              </w:rPr>
              <w:t>Data placement across two regions with quorum design</w:t>
            </w:r>
          </w:p>
        </w:tc>
        <w:tc>
          <w:tcPr>
            <w:tcW w:type="dxa" w:w="3888"/>
            <w:tcMar>
              <w:top w:w="80" w:type="dxa"/>
              <w:start w:w="100" w:type="dxa"/>
              <w:bottom w:w="80" w:type="dxa"/>
              <w:end w:w="100" w:type="dxa"/>
            </w:tcMar>
            <w:vAlign w:val="top"/>
          </w:tcPr>
          <w:p>
            <w:pPr>
              <w:spacing w:after="0"/>
            </w:pPr>
            <w:r>
              <w:rPr>
                <w:sz w:val="16"/>
              </w:rPr>
              <w:t>Higher write latency and configuration constraints</w:t>
            </w:r>
          </w:p>
        </w:tc>
      </w:tr>
      <w:tr>
        <w:trPr>
          <w:cantSplit/>
        </w:trPr>
        <w:tc>
          <w:tcPr>
            <w:tcW w:type="dxa" w:w="2016"/>
            <w:tcMar>
              <w:top w:w="80" w:type="dxa"/>
              <w:start w:w="100" w:type="dxa"/>
              <w:bottom w:w="80" w:type="dxa"/>
              <w:end w:w="100" w:type="dxa"/>
            </w:tcMar>
            <w:vAlign w:val="top"/>
          </w:tcPr>
          <w:p>
            <w:pPr>
              <w:spacing w:after="0"/>
            </w:pPr>
            <w:r>
              <w:rPr>
                <w:sz w:val="16"/>
              </w:rPr>
              <w:t>Multi-region</w:t>
            </w:r>
          </w:p>
        </w:tc>
        <w:tc>
          <w:tcPr>
            <w:tcW w:type="dxa" w:w="3888"/>
            <w:tcMar>
              <w:top w:w="80" w:type="dxa"/>
              <w:start w:w="100" w:type="dxa"/>
              <w:bottom w:w="80" w:type="dxa"/>
              <w:end w:w="100" w:type="dxa"/>
            </w:tcMar>
            <w:vAlign w:val="top"/>
          </w:tcPr>
          <w:p>
            <w:pPr>
              <w:spacing w:after="0"/>
            </w:pPr>
            <w:r>
              <w:rPr>
                <w:sz w:val="16"/>
              </w:rPr>
              <w:t>Broad availability and geographically distributed reads</w:t>
            </w:r>
          </w:p>
        </w:tc>
        <w:tc>
          <w:tcPr>
            <w:tcW w:type="dxa" w:w="3888"/>
            <w:tcMar>
              <w:top w:w="80" w:type="dxa"/>
              <w:start w:w="100" w:type="dxa"/>
              <w:bottom w:w="80" w:type="dxa"/>
              <w:end w:w="100" w:type="dxa"/>
            </w:tcMar>
            <w:vAlign w:val="top"/>
          </w:tcPr>
          <w:p>
            <w:pPr>
              <w:spacing w:after="0"/>
            </w:pPr>
            <w:r>
              <w:rPr>
                <w:sz w:val="16"/>
              </w:rPr>
              <w:t>Highest complexity, latency, and cost</w:t>
            </w:r>
          </w:p>
        </w:tc>
      </w:tr>
      <w:tr>
        <w:trPr>
          <w:cantSplit/>
        </w:trPr>
        <w:tc>
          <w:tcPr>
            <w:tcW w:type="dxa" w:w="2016"/>
            <w:tcMar>
              <w:top w:w="80" w:type="dxa"/>
              <w:start w:w="100" w:type="dxa"/>
              <w:bottom w:w="80" w:type="dxa"/>
              <w:end w:w="100" w:type="dxa"/>
            </w:tcMar>
            <w:vAlign w:val="top"/>
          </w:tcPr>
          <w:p>
            <w:pPr>
              <w:spacing w:after="0"/>
            </w:pPr>
            <w:r>
              <w:rPr>
                <w:sz w:val="16"/>
              </w:rPr>
              <w:t>Geo-partitioning</w:t>
            </w:r>
          </w:p>
        </w:tc>
        <w:tc>
          <w:tcPr>
            <w:tcW w:type="dxa" w:w="3888"/>
            <w:tcMar>
              <w:top w:w="80" w:type="dxa"/>
              <w:start w:w="100" w:type="dxa"/>
              <w:bottom w:w="80" w:type="dxa"/>
              <w:end w:w="100" w:type="dxa"/>
            </w:tcMar>
            <w:vAlign w:val="top"/>
          </w:tcPr>
          <w:p>
            <w:pPr>
              <w:spacing w:after="0"/>
            </w:pPr>
            <w:r>
              <w:rPr>
                <w:sz w:val="16"/>
              </w:rPr>
              <w:t>Place selected data nearer jurisdictions/users</w:t>
            </w:r>
          </w:p>
        </w:tc>
        <w:tc>
          <w:tcPr>
            <w:tcW w:type="dxa" w:w="3888"/>
            <w:tcMar>
              <w:top w:w="80" w:type="dxa"/>
              <w:start w:w="100" w:type="dxa"/>
              <w:bottom w:w="80" w:type="dxa"/>
              <w:end w:w="100" w:type="dxa"/>
            </w:tcMar>
            <w:vAlign w:val="top"/>
          </w:tcPr>
          <w:p>
            <w:pPr>
              <w:spacing w:after="0"/>
            </w:pPr>
            <w:r>
              <w:rPr>
                <w:sz w:val="16"/>
              </w:rPr>
              <w:t>Requires placement schema and multi-region foundation</w:t>
            </w:r>
          </w:p>
        </w:tc>
      </w:tr>
    </w:tbl>
    <w:p>
      <w:pPr>
        <w:spacing w:after="20"/>
      </w:pPr>
    </w:p>
    <w:p>
      <w:pPr>
        <w:pStyle w:val="Heading2"/>
        <w:keepNext/>
      </w:pPr>
      <w:r>
        <w:t>22.2 Schema, Primary Keys, and Hotspot Prevention</w:t>
      </w:r>
    </w:p>
    <w:p>
      <w:pPr>
        <w:spacing w:after="120"/>
      </w:pPr>
      <w:r>
        <w:rPr>
          <w:i w:val="0"/>
        </w:rPr>
        <w:t>Spanner divides data by key ranges. A monotonically increasing leading key can funnel writes into a narrow range and create a hotspot. Use high-cardinality distributed keys, UUIDs with appropriate strategy, hash prefixes, or carefully designed composite keys. Interleaving/locality features can improve related-row access but should follow measured query patterns.</w:t>
      </w:r>
    </w:p>
    <w:p>
      <w:pPr>
        <w:pStyle w:val="ListBullet"/>
        <w:spacing w:after="60"/>
      </w:pPr>
      <w:r>
        <w:t>Make the primary key serve distribution and access-path goals, not only uniqueness.</w:t>
      </w:r>
    </w:p>
    <w:p>
      <w:pPr>
        <w:pStyle w:val="ListBullet"/>
        <w:spacing w:after="60"/>
      </w:pPr>
      <w:r>
        <w:t>Use secondary indexes deliberately; each index adds storage and write work.</w:t>
      </w:r>
    </w:p>
    <w:p>
      <w:pPr>
        <w:pStyle w:val="ListBullet"/>
        <w:spacing w:after="60"/>
      </w:pPr>
      <w:r>
        <w:t>Avoid unbounded transactions and large mutations.</w:t>
      </w:r>
    </w:p>
    <w:p>
      <w:pPr>
        <w:pStyle w:val="ListBullet"/>
        <w:spacing w:after="60"/>
      </w:pPr>
      <w:r>
        <w:t>Review query plans and Key Visualizer before scaling compute blindly.</w:t>
      </w:r>
    </w:p>
    <w:p>
      <w:pPr>
        <w:pStyle w:val="Heading2"/>
        <w:keepNext/>
      </w:pPr>
      <w:r>
        <w:t>22.3 Transactions, Reads, and Application Semantics</w:t>
      </w:r>
    </w:p>
    <w:p>
      <w:pPr>
        <w:spacing w:after="120"/>
      </w:pPr>
      <w:r>
        <w:rPr>
          <w:i w:val="0"/>
        </w:rPr>
        <w:t>Read-write transactions provide serializable behavior with external consistency. Read-only transactions and stale reads can reduce latency or improve throughput when exact freshness is not required. Applications should use official client libraries and session pools rather than creating sessions per request.</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448"/>
            <w:shd w:fill="1A73E8"/>
            <w:tcMar>
              <w:top w:w="80" w:type="dxa"/>
              <w:start w:w="100" w:type="dxa"/>
              <w:bottom w:w="80" w:type="dxa"/>
              <w:end w:w="100" w:type="dxa"/>
            </w:tcMar>
            <w:vAlign w:val="center"/>
          </w:tcPr>
          <w:p>
            <w:pPr>
              <w:jc w:val="center"/>
            </w:pPr>
            <w:r>
              <w:rPr>
                <w:b/>
                <w:color w:val="FFFFFF"/>
                <w:sz w:val="16"/>
              </w:rPr>
              <w:t>Operation</w:t>
            </w:r>
          </w:p>
        </w:tc>
        <w:tc>
          <w:tcPr>
            <w:tcW w:type="dxa" w:w="3312"/>
            <w:shd w:fill="1A73E8"/>
            <w:tcMar>
              <w:top w:w="80" w:type="dxa"/>
              <w:start w:w="100" w:type="dxa"/>
              <w:bottom w:w="80" w:type="dxa"/>
              <w:end w:w="100" w:type="dxa"/>
            </w:tcMar>
            <w:vAlign w:val="center"/>
          </w:tcPr>
          <w:p>
            <w:pPr>
              <w:jc w:val="center"/>
            </w:pPr>
            <w:r>
              <w:rPr>
                <w:b/>
                <w:color w:val="FFFFFF"/>
                <w:sz w:val="16"/>
              </w:rPr>
              <w:t>Use</w:t>
            </w:r>
          </w:p>
        </w:tc>
        <w:tc>
          <w:tcPr>
            <w:tcW w:type="dxa" w:w="3888"/>
            <w:shd w:fill="1A73E8"/>
            <w:tcMar>
              <w:top w:w="80" w:type="dxa"/>
              <w:start w:w="100" w:type="dxa"/>
              <w:bottom w:w="80" w:type="dxa"/>
              <w:end w:w="100" w:type="dxa"/>
            </w:tcMar>
            <w:vAlign w:val="center"/>
          </w:tcPr>
          <w:p>
            <w:pPr>
              <w:jc w:val="center"/>
            </w:pPr>
            <w:r>
              <w:rPr>
                <w:b/>
                <w:color w:val="FFFFFF"/>
                <w:sz w:val="16"/>
              </w:rPr>
              <w:t>Design Note</w:t>
            </w:r>
          </w:p>
        </w:tc>
      </w:tr>
      <w:tr>
        <w:trPr>
          <w:cantSplit/>
        </w:trPr>
        <w:tc>
          <w:tcPr>
            <w:tcW w:type="dxa" w:w="2448"/>
            <w:tcMar>
              <w:top w:w="80" w:type="dxa"/>
              <w:start w:w="100" w:type="dxa"/>
              <w:bottom w:w="80" w:type="dxa"/>
              <w:end w:w="100" w:type="dxa"/>
            </w:tcMar>
            <w:vAlign w:val="top"/>
          </w:tcPr>
          <w:p>
            <w:pPr>
              <w:spacing w:after="0"/>
            </w:pPr>
            <w:r>
              <w:rPr>
                <w:sz w:val="16"/>
              </w:rPr>
              <w:t>Read-write transaction</w:t>
            </w:r>
          </w:p>
        </w:tc>
        <w:tc>
          <w:tcPr>
            <w:tcW w:type="dxa" w:w="3312"/>
            <w:tcMar>
              <w:top w:w="80" w:type="dxa"/>
              <w:start w:w="100" w:type="dxa"/>
              <w:bottom w:w="80" w:type="dxa"/>
              <w:end w:w="100" w:type="dxa"/>
            </w:tcMar>
            <w:vAlign w:val="top"/>
          </w:tcPr>
          <w:p>
            <w:pPr>
              <w:spacing w:after="0"/>
            </w:pPr>
            <w:r>
              <w:rPr>
                <w:sz w:val="16"/>
              </w:rPr>
              <w:t>Atomic business changes</w:t>
            </w:r>
          </w:p>
        </w:tc>
        <w:tc>
          <w:tcPr>
            <w:tcW w:type="dxa" w:w="3888"/>
            <w:tcMar>
              <w:top w:w="80" w:type="dxa"/>
              <w:start w:w="100" w:type="dxa"/>
              <w:bottom w:w="80" w:type="dxa"/>
              <w:end w:w="100" w:type="dxa"/>
            </w:tcMar>
            <w:vAlign w:val="top"/>
          </w:tcPr>
          <w:p>
            <w:pPr>
              <w:spacing w:after="0"/>
            </w:pPr>
            <w:r>
              <w:rPr>
                <w:sz w:val="16"/>
              </w:rPr>
              <w:t>Keep short; retry aborts using client guidance</w:t>
            </w:r>
          </w:p>
        </w:tc>
      </w:tr>
      <w:tr>
        <w:trPr>
          <w:cantSplit/>
        </w:trPr>
        <w:tc>
          <w:tcPr>
            <w:tcW w:type="dxa" w:w="2448"/>
            <w:tcMar>
              <w:top w:w="80" w:type="dxa"/>
              <w:start w:w="100" w:type="dxa"/>
              <w:bottom w:w="80" w:type="dxa"/>
              <w:end w:w="100" w:type="dxa"/>
            </w:tcMar>
            <w:vAlign w:val="top"/>
          </w:tcPr>
          <w:p>
            <w:pPr>
              <w:spacing w:after="0"/>
            </w:pPr>
            <w:r>
              <w:rPr>
                <w:sz w:val="16"/>
              </w:rPr>
              <w:t>Strong read</w:t>
            </w:r>
          </w:p>
        </w:tc>
        <w:tc>
          <w:tcPr>
            <w:tcW w:type="dxa" w:w="3312"/>
            <w:tcMar>
              <w:top w:w="80" w:type="dxa"/>
              <w:start w:w="100" w:type="dxa"/>
              <w:bottom w:w="80" w:type="dxa"/>
              <w:end w:w="100" w:type="dxa"/>
            </w:tcMar>
            <w:vAlign w:val="top"/>
          </w:tcPr>
          <w:p>
            <w:pPr>
              <w:spacing w:after="0"/>
            </w:pPr>
            <w:r>
              <w:rPr>
                <w:sz w:val="16"/>
              </w:rPr>
              <w:t>Latest committed data</w:t>
            </w:r>
          </w:p>
        </w:tc>
        <w:tc>
          <w:tcPr>
            <w:tcW w:type="dxa" w:w="3888"/>
            <w:tcMar>
              <w:top w:w="80" w:type="dxa"/>
              <w:start w:w="100" w:type="dxa"/>
              <w:bottom w:w="80" w:type="dxa"/>
              <w:end w:w="100" w:type="dxa"/>
            </w:tcMar>
            <w:vAlign w:val="top"/>
          </w:tcPr>
          <w:p>
            <w:pPr>
              <w:spacing w:after="0"/>
            </w:pPr>
            <w:r>
              <w:rPr>
                <w:sz w:val="16"/>
              </w:rPr>
              <w:t>May cost more latency across distance</w:t>
            </w:r>
          </w:p>
        </w:tc>
      </w:tr>
      <w:tr>
        <w:trPr>
          <w:cantSplit/>
        </w:trPr>
        <w:tc>
          <w:tcPr>
            <w:tcW w:type="dxa" w:w="2448"/>
            <w:tcMar>
              <w:top w:w="80" w:type="dxa"/>
              <w:start w:w="100" w:type="dxa"/>
              <w:bottom w:w="80" w:type="dxa"/>
              <w:end w:w="100" w:type="dxa"/>
            </w:tcMar>
            <w:vAlign w:val="top"/>
          </w:tcPr>
          <w:p>
            <w:pPr>
              <w:spacing w:after="0"/>
            </w:pPr>
            <w:r>
              <w:rPr>
                <w:sz w:val="16"/>
              </w:rPr>
              <w:t>Bounded/exact stale read</w:t>
            </w:r>
          </w:p>
        </w:tc>
        <w:tc>
          <w:tcPr>
            <w:tcW w:type="dxa" w:w="3312"/>
            <w:tcMar>
              <w:top w:w="80" w:type="dxa"/>
              <w:start w:w="100" w:type="dxa"/>
              <w:bottom w:w="80" w:type="dxa"/>
              <w:end w:w="100" w:type="dxa"/>
            </w:tcMar>
            <w:vAlign w:val="top"/>
          </w:tcPr>
          <w:p>
            <w:pPr>
              <w:spacing w:after="0"/>
            </w:pPr>
            <w:r>
              <w:rPr>
                <w:sz w:val="16"/>
              </w:rPr>
              <w:t>Analytics, feeds, reference data</w:t>
            </w:r>
          </w:p>
        </w:tc>
        <w:tc>
          <w:tcPr>
            <w:tcW w:type="dxa" w:w="3888"/>
            <w:tcMar>
              <w:top w:w="80" w:type="dxa"/>
              <w:start w:w="100" w:type="dxa"/>
              <w:bottom w:w="80" w:type="dxa"/>
              <w:end w:w="100" w:type="dxa"/>
            </w:tcMar>
            <w:vAlign w:val="top"/>
          </w:tcPr>
          <w:p>
            <w:pPr>
              <w:spacing w:after="0"/>
            </w:pPr>
            <w:r>
              <w:rPr>
                <w:sz w:val="16"/>
              </w:rPr>
              <w:t>State acceptable staleness in the product contract</w:t>
            </w:r>
          </w:p>
        </w:tc>
      </w:tr>
      <w:tr>
        <w:trPr>
          <w:cantSplit/>
        </w:trPr>
        <w:tc>
          <w:tcPr>
            <w:tcW w:type="dxa" w:w="2448"/>
            <w:tcMar>
              <w:top w:w="80" w:type="dxa"/>
              <w:start w:w="100" w:type="dxa"/>
              <w:bottom w:w="80" w:type="dxa"/>
              <w:end w:w="100" w:type="dxa"/>
            </w:tcMar>
            <w:vAlign w:val="top"/>
          </w:tcPr>
          <w:p>
            <w:pPr>
              <w:spacing w:after="0"/>
            </w:pPr>
            <w:r>
              <w:rPr>
                <w:sz w:val="16"/>
              </w:rPr>
              <w:t>Partitioned DML</w:t>
            </w:r>
          </w:p>
        </w:tc>
        <w:tc>
          <w:tcPr>
            <w:tcW w:type="dxa" w:w="3312"/>
            <w:tcMar>
              <w:top w:w="80" w:type="dxa"/>
              <w:start w:w="100" w:type="dxa"/>
              <w:bottom w:w="80" w:type="dxa"/>
              <w:end w:w="100" w:type="dxa"/>
            </w:tcMar>
            <w:vAlign w:val="top"/>
          </w:tcPr>
          <w:p>
            <w:pPr>
              <w:spacing w:after="0"/>
            </w:pPr>
            <w:r>
              <w:rPr>
                <w:sz w:val="16"/>
              </w:rPr>
              <w:t>Large bulk update/delete</w:t>
            </w:r>
          </w:p>
        </w:tc>
        <w:tc>
          <w:tcPr>
            <w:tcW w:type="dxa" w:w="3888"/>
            <w:tcMar>
              <w:top w:w="80" w:type="dxa"/>
              <w:start w:w="100" w:type="dxa"/>
              <w:bottom w:w="80" w:type="dxa"/>
              <w:end w:w="100" w:type="dxa"/>
            </w:tcMar>
            <w:vAlign w:val="top"/>
          </w:tcPr>
          <w:p>
            <w:pPr>
              <w:spacing w:after="0"/>
            </w:pPr>
            <w:r>
              <w:rPr>
                <w:sz w:val="16"/>
              </w:rPr>
              <w:t>Different semantics; not a general transaction replacement</w:t>
            </w:r>
          </w:p>
        </w:tc>
      </w:tr>
      <w:tr>
        <w:trPr>
          <w:cantSplit/>
        </w:trPr>
        <w:tc>
          <w:tcPr>
            <w:tcW w:type="dxa" w:w="2448"/>
            <w:tcMar>
              <w:top w:w="80" w:type="dxa"/>
              <w:start w:w="100" w:type="dxa"/>
              <w:bottom w:w="80" w:type="dxa"/>
              <w:end w:w="100" w:type="dxa"/>
            </w:tcMar>
            <w:vAlign w:val="top"/>
          </w:tcPr>
          <w:p>
            <w:pPr>
              <w:spacing w:after="0"/>
            </w:pPr>
            <w:r>
              <w:rPr>
                <w:sz w:val="16"/>
              </w:rPr>
              <w:t>Change stream</w:t>
            </w:r>
          </w:p>
        </w:tc>
        <w:tc>
          <w:tcPr>
            <w:tcW w:type="dxa" w:w="3312"/>
            <w:tcMar>
              <w:top w:w="80" w:type="dxa"/>
              <w:start w:w="100" w:type="dxa"/>
              <w:bottom w:w="80" w:type="dxa"/>
              <w:end w:w="100" w:type="dxa"/>
            </w:tcMar>
            <w:vAlign w:val="top"/>
          </w:tcPr>
          <w:p>
            <w:pPr>
              <w:spacing w:after="0"/>
            </w:pPr>
            <w:r>
              <w:rPr>
                <w:sz w:val="16"/>
              </w:rPr>
              <w:t>Downstream CDC and integration</w:t>
            </w:r>
          </w:p>
        </w:tc>
        <w:tc>
          <w:tcPr>
            <w:tcW w:type="dxa" w:w="3888"/>
            <w:tcMar>
              <w:top w:w="80" w:type="dxa"/>
              <w:start w:w="100" w:type="dxa"/>
              <w:bottom w:w="80" w:type="dxa"/>
              <w:end w:w="100" w:type="dxa"/>
            </w:tcMar>
            <w:vAlign w:val="top"/>
          </w:tcPr>
          <w:p>
            <w:pPr>
              <w:spacing w:after="0"/>
            </w:pPr>
            <w:r>
              <w:rPr>
                <w:sz w:val="16"/>
              </w:rPr>
              <w:t>Design retention, consumers, and replay</w:t>
            </w:r>
          </w:p>
        </w:tc>
      </w:tr>
    </w:tbl>
    <w:p>
      <w:pPr>
        <w:spacing w:after="20"/>
      </w:pPr>
    </w:p>
    <w:p>
      <w:pPr>
        <w:pStyle w:val="Heading2"/>
        <w:keepNext/>
      </w:pPr>
      <w:r>
        <w:t>22.4 Capacity, Recovery, and Operations</w:t>
      </w:r>
    </w:p>
    <w:p>
      <w:pPr>
        <w:spacing w:after="120"/>
      </w:pPr>
      <w:r>
        <w:rPr>
          <w:i w:val="0"/>
        </w:rPr>
        <w:t>Size compute for normal demand and failure headroom. Autoscaling can adjust capacity, but schema hotspots, lock contention, inefficient queries, or regional latency cannot be repaired by capacity alone. Backups, point-in-time recovery where configured, exports, and regional architecture should be matched to recovery objectives.</w:t>
      </w:r>
    </w:p>
    <w:p>
      <w:pPr>
        <w:pStyle w:val="CodeBlock"/>
        <w:keepLines/>
        <w:spacing w:after="120"/>
      </w:pPr>
      <w:r>
        <w:rPr>
          <w:rFonts w:ascii="Cascadia Mono" w:hAnsi="Cascadia Mono"/>
          <w:sz w:val="16"/>
        </w:rPr>
        <w:t>gcloud spanner instances describe global-orders</w:t>
        <w:br/>
        <w:t>gcloud spanner databases ddl describe orders --instance=global-orders</w:t>
        <w:br/>
        <w:t>gcloud spanner backups list --instance=global-orders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High CPU on one split or node</w:t>
            </w:r>
          </w:p>
        </w:tc>
        <w:tc>
          <w:tcPr>
            <w:tcW w:type="dxa" w:w="2592"/>
            <w:tcMar>
              <w:top w:w="80" w:type="dxa"/>
              <w:start w:w="100" w:type="dxa"/>
              <w:bottom w:w="80" w:type="dxa"/>
              <w:end w:w="100" w:type="dxa"/>
            </w:tcMar>
            <w:vAlign w:val="top"/>
          </w:tcPr>
          <w:p>
            <w:pPr>
              <w:spacing w:after="0"/>
            </w:pPr>
            <w:r>
              <w:rPr>
                <w:sz w:val="16"/>
              </w:rPr>
              <w:t>Hot key range or skewed access</w:t>
            </w:r>
          </w:p>
        </w:tc>
        <w:tc>
          <w:tcPr>
            <w:tcW w:type="dxa" w:w="5328"/>
            <w:tcMar>
              <w:top w:w="80" w:type="dxa"/>
              <w:start w:w="100" w:type="dxa"/>
              <w:bottom w:w="80" w:type="dxa"/>
              <w:end w:w="100" w:type="dxa"/>
            </w:tcMar>
            <w:vAlign w:val="top"/>
          </w:tcPr>
          <w:p>
            <w:pPr>
              <w:spacing w:after="0"/>
            </w:pPr>
            <w:r>
              <w:rPr>
                <w:sz w:val="16"/>
              </w:rPr>
              <w:t>Use Key Visualizer, query statistics, and key distribution; redesign the leading key or traffic pattern.</w:t>
            </w:r>
          </w:p>
        </w:tc>
      </w:tr>
      <w:tr>
        <w:trPr>
          <w:cantSplit/>
        </w:trPr>
        <w:tc>
          <w:tcPr>
            <w:tcW w:type="dxa" w:w="2160"/>
            <w:tcMar>
              <w:top w:w="80" w:type="dxa"/>
              <w:start w:w="100" w:type="dxa"/>
              <w:bottom w:w="80" w:type="dxa"/>
              <w:end w:w="100" w:type="dxa"/>
            </w:tcMar>
            <w:vAlign w:val="top"/>
          </w:tcPr>
          <w:p>
            <w:pPr>
              <w:spacing w:after="0"/>
            </w:pPr>
            <w:r>
              <w:rPr>
                <w:sz w:val="16"/>
              </w:rPr>
              <w:t>Transaction abort rate rises</w:t>
            </w:r>
          </w:p>
        </w:tc>
        <w:tc>
          <w:tcPr>
            <w:tcW w:type="dxa" w:w="2592"/>
            <w:tcMar>
              <w:top w:w="80" w:type="dxa"/>
              <w:start w:w="100" w:type="dxa"/>
              <w:bottom w:w="80" w:type="dxa"/>
              <w:end w:w="100" w:type="dxa"/>
            </w:tcMar>
            <w:vAlign w:val="top"/>
          </w:tcPr>
          <w:p>
            <w:pPr>
              <w:spacing w:after="0"/>
            </w:pPr>
            <w:r>
              <w:rPr>
                <w:sz w:val="16"/>
              </w:rPr>
              <w:t>Contention or long read-write transactions</w:t>
            </w:r>
          </w:p>
        </w:tc>
        <w:tc>
          <w:tcPr>
            <w:tcW w:type="dxa" w:w="5328"/>
            <w:tcMar>
              <w:top w:w="80" w:type="dxa"/>
              <w:start w:w="100" w:type="dxa"/>
              <w:bottom w:w="80" w:type="dxa"/>
              <w:end w:w="100" w:type="dxa"/>
            </w:tcMar>
            <w:vAlign w:val="top"/>
          </w:tcPr>
          <w:p>
            <w:pPr>
              <w:spacing w:after="0"/>
            </w:pPr>
            <w:r>
              <w:rPr>
                <w:sz w:val="16"/>
              </w:rPr>
              <w:t>Inspect lock/transaction metrics; shorten transactions, reduce shared-row updates, and use client retries.</w:t>
            </w:r>
          </w:p>
        </w:tc>
      </w:tr>
      <w:tr>
        <w:trPr>
          <w:cantSplit/>
        </w:trPr>
        <w:tc>
          <w:tcPr>
            <w:tcW w:type="dxa" w:w="2160"/>
            <w:tcMar>
              <w:top w:w="80" w:type="dxa"/>
              <w:start w:w="100" w:type="dxa"/>
              <w:bottom w:w="80" w:type="dxa"/>
              <w:end w:w="100" w:type="dxa"/>
            </w:tcMar>
            <w:vAlign w:val="top"/>
          </w:tcPr>
          <w:p>
            <w:pPr>
              <w:spacing w:after="0"/>
            </w:pPr>
            <w:r>
              <w:rPr>
                <w:sz w:val="16"/>
              </w:rPr>
              <w:t>Multi-region writes are slower than expected</w:t>
            </w:r>
          </w:p>
        </w:tc>
        <w:tc>
          <w:tcPr>
            <w:tcW w:type="dxa" w:w="2592"/>
            <w:tcMar>
              <w:top w:w="80" w:type="dxa"/>
              <w:start w:w="100" w:type="dxa"/>
              <w:bottom w:w="80" w:type="dxa"/>
              <w:end w:w="100" w:type="dxa"/>
            </w:tcMar>
            <w:vAlign w:val="top"/>
          </w:tcPr>
          <w:p>
            <w:pPr>
              <w:spacing w:after="0"/>
            </w:pPr>
            <w:r>
              <w:rPr>
                <w:sz w:val="16"/>
              </w:rPr>
              <w:t>Leader distance and quorum latency</w:t>
            </w:r>
          </w:p>
        </w:tc>
        <w:tc>
          <w:tcPr>
            <w:tcW w:type="dxa" w:w="5328"/>
            <w:tcMar>
              <w:top w:w="80" w:type="dxa"/>
              <w:start w:w="100" w:type="dxa"/>
              <w:bottom w:w="80" w:type="dxa"/>
              <w:end w:w="100" w:type="dxa"/>
            </w:tcMar>
            <w:vAlign w:val="top"/>
          </w:tcPr>
          <w:p>
            <w:pPr>
              <w:spacing w:after="0"/>
            </w:pPr>
            <w:r>
              <w:rPr>
                <w:sz w:val="16"/>
              </w:rPr>
              <w:t>Measure from client regions; revisit configuration and leader-aware placement assumptions.</w:t>
            </w:r>
          </w:p>
        </w:tc>
      </w:tr>
      <w:tr>
        <w:trPr>
          <w:cantSplit/>
        </w:trPr>
        <w:tc>
          <w:tcPr>
            <w:tcW w:type="dxa" w:w="2160"/>
            <w:tcMar>
              <w:top w:w="80" w:type="dxa"/>
              <w:start w:w="100" w:type="dxa"/>
              <w:bottom w:w="80" w:type="dxa"/>
              <w:end w:w="100" w:type="dxa"/>
            </w:tcMar>
            <w:vAlign w:val="top"/>
          </w:tcPr>
          <w:p>
            <w:pPr>
              <w:spacing w:after="0"/>
            </w:pPr>
            <w:r>
              <w:rPr>
                <w:sz w:val="16"/>
              </w:rPr>
              <w:t>Queries consume excess capacity</w:t>
            </w:r>
          </w:p>
        </w:tc>
        <w:tc>
          <w:tcPr>
            <w:tcW w:type="dxa" w:w="2592"/>
            <w:tcMar>
              <w:top w:w="80" w:type="dxa"/>
              <w:start w:w="100" w:type="dxa"/>
              <w:bottom w:w="80" w:type="dxa"/>
              <w:end w:w="100" w:type="dxa"/>
            </w:tcMar>
            <w:vAlign w:val="top"/>
          </w:tcPr>
          <w:p>
            <w:pPr>
              <w:spacing w:after="0"/>
            </w:pPr>
            <w:r>
              <w:rPr>
                <w:sz w:val="16"/>
              </w:rPr>
              <w:t>Missing index, full scan, poor predicate, or stale statistics</w:t>
            </w:r>
          </w:p>
        </w:tc>
        <w:tc>
          <w:tcPr>
            <w:tcW w:type="dxa" w:w="5328"/>
            <w:tcMar>
              <w:top w:w="80" w:type="dxa"/>
              <w:start w:w="100" w:type="dxa"/>
              <w:bottom w:w="80" w:type="dxa"/>
              <w:end w:w="100" w:type="dxa"/>
            </w:tcMar>
            <w:vAlign w:val="top"/>
          </w:tcPr>
          <w:p>
            <w:pPr>
              <w:spacing w:after="0"/>
            </w:pPr>
            <w:r>
              <w:rPr>
                <w:sz w:val="16"/>
              </w:rPr>
              <w:t>Inspect query plan/statistics; add justified indexes and rewrite access paths.</w:t>
            </w:r>
          </w:p>
        </w:tc>
      </w:tr>
    </w:tbl>
    <w:p>
      <w:pPr>
        <w:spacing w:after="20"/>
      </w:pPr>
    </w:p>
    <w:p>
      <w:pPr>
        <w:pStyle w:val="Heading2"/>
        <w:keepNext/>
      </w:pPr>
      <w:r>
        <w:t>Hands-on Lab 22: Model and Load a Hotspot-Resistant Spanner Database</w:t>
      </w:r>
    </w:p>
    <w:p>
      <w:pPr>
        <w:pStyle w:val="Heading3"/>
        <w:keepNext/>
      </w:pPr>
      <w:r>
        <w:t>Prerequisites</w:t>
      </w:r>
    </w:p>
    <w:p>
      <w:pPr>
        <w:pStyle w:val="ListBullet"/>
        <w:spacing w:after="60"/>
      </w:pPr>
      <w:r>
        <w:t>A learning project, Spanner API, a small regional instance or emulator where appropriate, and synthetic order events.</w:t>
      </w:r>
    </w:p>
    <w:p>
      <w:pPr>
        <w:pStyle w:val="Heading3"/>
        <w:keepNext/>
      </w:pPr>
      <w:r>
        <w:t>Implementation</w:t>
      </w:r>
    </w:p>
    <w:p>
      <w:pPr>
        <w:spacing w:after="60"/>
        <w:ind w:left="360" w:hanging="259"/>
      </w:pPr>
      <w:r>
        <w:rPr>
          <w:b/>
        </w:rPr>
        <w:t xml:space="preserve">1. </w:t>
      </w:r>
      <w:r>
        <w:t>Create a Spanner instance and database using a selected SQL dialect.</w:t>
      </w:r>
    </w:p>
    <w:p>
      <w:pPr>
        <w:spacing w:after="60"/>
        <w:ind w:left="360" w:hanging="259"/>
      </w:pPr>
      <w:r>
        <w:rPr>
          <w:b/>
        </w:rPr>
        <w:t xml:space="preserve">2. </w:t>
      </w:r>
      <w:r>
        <w:t>Define customer, order, and order-item tables with a distributed primary-key strategy.</w:t>
      </w:r>
    </w:p>
    <w:p>
      <w:pPr>
        <w:spacing w:after="60"/>
        <w:ind w:left="360" w:hanging="259"/>
      </w:pPr>
      <w:r>
        <w:rPr>
          <w:b/>
        </w:rPr>
        <w:t xml:space="preserve">3. </w:t>
      </w:r>
      <w:r>
        <w:t>Load synthetic data with a deliberately bad sequential-key test and capture its distribution characteristics.</w:t>
      </w:r>
    </w:p>
    <w:p>
      <w:pPr>
        <w:spacing w:after="60"/>
        <w:ind w:left="360" w:hanging="259"/>
      </w:pPr>
      <w:r>
        <w:rPr>
          <w:b/>
        </w:rPr>
        <w:t xml:space="preserve">4. </w:t>
      </w:r>
      <w:r>
        <w:t>Load the redesigned schema and compare latency and distribution evidence.</w:t>
      </w:r>
    </w:p>
    <w:p>
      <w:pPr>
        <w:spacing w:after="60"/>
        <w:ind w:left="360" w:hanging="259"/>
      </w:pPr>
      <w:r>
        <w:rPr>
          <w:b/>
        </w:rPr>
        <w:t xml:space="preserve">5. </w:t>
      </w:r>
      <w:r>
        <w:t>Run a short read-write transaction, a strong read, and a stale analytical read.</w:t>
      </w:r>
    </w:p>
    <w:p>
      <w:pPr>
        <w:spacing w:after="60"/>
        <w:ind w:left="360" w:hanging="259"/>
      </w:pPr>
      <w:r>
        <w:rPr>
          <w:b/>
        </w:rPr>
        <w:t xml:space="preserve">6. </w:t>
      </w:r>
      <w:r>
        <w:t>Create a backup and document restore steps and recovery ownership.</w:t>
      </w:r>
    </w:p>
    <w:p>
      <w:pPr>
        <w:spacing w:after="60"/>
        <w:ind w:left="360" w:hanging="259"/>
      </w:pPr>
      <w:r>
        <w:rPr>
          <w:b/>
        </w:rPr>
        <w:t xml:space="preserve">7. </w:t>
      </w:r>
      <w:r>
        <w:t>Review query plans and produce a capacity and failure-headroom note.</w:t>
      </w:r>
    </w:p>
    <w:p>
      <w:pPr>
        <w:pStyle w:val="Heading3"/>
        <w:keepNext/>
      </w:pPr>
      <w:r>
        <w:t>Validation Evidence</w:t>
      </w:r>
    </w:p>
    <w:p>
      <w:pPr>
        <w:pStyle w:val="ListBullet"/>
        <w:spacing w:after="60"/>
      </w:pPr>
      <w:r>
        <w:t>The schema explanation connects keys to distribution and query patterns.</w:t>
      </w:r>
    </w:p>
    <w:p>
      <w:pPr>
        <w:pStyle w:val="ListBullet"/>
        <w:spacing w:after="60"/>
      </w:pPr>
      <w:r>
        <w:t>Transaction retries and idempotency are demonstrated.</w:t>
      </w:r>
    </w:p>
    <w:p>
      <w:pPr>
        <w:pStyle w:val="ListBullet"/>
        <w:spacing w:after="60"/>
      </w:pPr>
      <w:r>
        <w:t>A backup exists and restoration prerequisites are documented.</w:t>
      </w:r>
    </w:p>
    <w:p>
      <w:pPr>
        <w:pStyle w:val="ListBullet"/>
        <w:spacing w:after="60"/>
      </w:pPr>
      <w:r>
        <w:t>The final design avoids the observed sequential hotspot.</w:t>
      </w:r>
    </w:p>
    <w:p>
      <w:pPr>
        <w:pStyle w:val="Heading3"/>
        <w:keepNext/>
      </w:pPr>
      <w:r>
        <w:t>Cleanup</w:t>
      </w:r>
    </w:p>
    <w:p>
      <w:pPr>
        <w:pStyle w:val="ListBullet"/>
        <w:spacing w:after="60"/>
      </w:pPr>
      <w:r>
        <w:t>Delete the database, backup, and instance after exporting non-sensitive evidence.</w:t>
      </w:r>
    </w:p>
    <w:p>
      <w:pPr>
        <w:pStyle w:val="Heading2"/>
        <w:keepNext/>
      </w:pPr>
      <w:r>
        <w:t>Interview Questions and Model Answers</w:t>
      </w:r>
    </w:p>
    <w:p>
      <w:pPr>
        <w:spacing w:after="40"/>
      </w:pPr>
      <w:r>
        <w:rPr>
          <w:b/>
        </w:rPr>
        <w:t>1. Why are sequential primary keys risky in Spanner?</w:t>
      </w:r>
    </w:p>
    <w:p>
      <w:pPr>
        <w:spacing w:after="120"/>
        <w:ind w:left="216"/>
      </w:pPr>
      <w:r>
        <w:t>They can concentrate new writes in one key range, creating a hotspot despite overall horizontal capacity.</w:t>
      </w:r>
    </w:p>
    <w:p>
      <w:pPr>
        <w:spacing w:after="40"/>
      </w:pPr>
      <w:r>
        <w:rPr>
          <w:b/>
        </w:rPr>
        <w:t>2. What is external consistency?</w:t>
      </w:r>
    </w:p>
    <w:p>
      <w:pPr>
        <w:spacing w:after="120"/>
        <w:ind w:left="216"/>
      </w:pPr>
      <w:r>
        <w:t>Transactions appear ordered consistently with real time, enabling globally consistent transactional behavior.</w:t>
      </w:r>
    </w:p>
    <w:p>
      <w:pPr>
        <w:spacing w:after="40"/>
      </w:pPr>
      <w:r>
        <w:rPr>
          <w:b/>
        </w:rPr>
        <w:t>3. When are stale reads useful?</w:t>
      </w:r>
    </w:p>
    <w:p>
      <w:pPr>
        <w:spacing w:after="120"/>
        <w:ind w:left="216"/>
      </w:pPr>
      <w:r>
        <w:t>When the product accepts bounded freshness in exchange for lower latency, higher throughput, or locality.</w:t>
      </w:r>
    </w:p>
    <w:p>
      <w:pPr>
        <w:spacing w:after="40"/>
      </w:pPr>
      <w:r>
        <w:rPr>
          <w:b/>
        </w:rPr>
        <w:t>4. Why keep failure headroom?</w:t>
      </w:r>
    </w:p>
    <w:p>
      <w:pPr>
        <w:spacing w:after="120"/>
        <w:ind w:left="216"/>
      </w:pPr>
      <w:r>
        <w:t>A surviving configuration must absorb traffic when a zone or region is unavailable; normal-state utilization alone is insufficient.</w:t>
      </w:r>
    </w:p>
    <w:p>
      <w:pPr>
        <w:pStyle w:val="Heading2"/>
        <w:keepNext/>
      </w:pPr>
      <w:r>
        <w:t>Chapter Summary</w:t>
      </w:r>
    </w:p>
    <w:p>
      <w:pPr>
        <w:pStyle w:val="ListBullet"/>
        <w:spacing w:after="60"/>
      </w:pPr>
      <w:r>
        <w:t>Configuration determines locality, availability, latency, and cost.</w:t>
      </w:r>
    </w:p>
    <w:p>
      <w:pPr>
        <w:pStyle w:val="ListBullet"/>
        <w:spacing w:after="60"/>
      </w:pPr>
      <w:r>
        <w:t>Primary-key design is a scaling control.</w:t>
      </w:r>
    </w:p>
    <w:p>
      <w:pPr>
        <w:pStyle w:val="ListBullet"/>
        <w:spacing w:after="60"/>
      </w:pPr>
      <w:r>
        <w:t>Transactions must be short, retryable, and semantically idempotent.</w:t>
      </w:r>
    </w:p>
    <w:p>
      <w:pPr>
        <w:pStyle w:val="ListBullet"/>
        <w:spacing w:after="60"/>
      </w:pPr>
      <w:r>
        <w:t>Capacity, schema, and recovery evidence are operated together.</w:t>
      </w:r>
    </w:p>
    <w:p>
      <w:pPr>
        <w:pStyle w:val="Heading1"/>
        <w:keepNext/>
        <w:pageBreakBefore/>
      </w:pPr>
      <w:r>
        <w:t>Chapter 23 - Firestore Document Database Engineering</w:t>
      </w:r>
    </w:p>
    <w:p>
      <w:pPr>
        <w:spacing w:after="120"/>
      </w:pPr>
      <w:r>
        <w:rPr>
          <w:i/>
          <w:color w:val="505050"/>
        </w:rPr>
        <w:t>Building serverless application data models without losing query, consistency, or security discipline</w:t>
      </w:r>
    </w:p>
    <w:p>
      <w:pPr>
        <w:pStyle w:val="Heading2"/>
        <w:keepNext/>
      </w:pPr>
      <w:r>
        <w:t>Learning Objectives</w:t>
      </w:r>
    </w:p>
    <w:p>
      <w:pPr>
        <w:pStyle w:val="ListBullet"/>
        <w:spacing w:after="60"/>
      </w:pPr>
      <w:r>
        <w:t>Choose Firestore edition, mode, location, and data model from application requirements.</w:t>
      </w:r>
    </w:p>
    <w:p>
      <w:pPr>
        <w:pStyle w:val="ListBullet"/>
        <w:spacing w:after="60"/>
      </w:pPr>
      <w:r>
        <w:t>Design documents, collections, indexes, transactions, and security boundaries.</w:t>
      </w:r>
    </w:p>
    <w:p>
      <w:pPr>
        <w:pStyle w:val="ListBullet"/>
        <w:spacing w:after="60"/>
      </w:pPr>
      <w:r>
        <w:t>Prevent hotspots, uncontrolled fan-out, and expensive query patterns.</w:t>
      </w:r>
    </w:p>
    <w:p>
      <w:pPr>
        <w:pStyle w:val="ListBullet"/>
        <w:spacing w:after="60"/>
      </w:pPr>
      <w:r>
        <w:t>Operate backups, TTL, observability, and migration safely.</w:t>
      </w:r>
    </w:p>
    <w:p>
      <w:pPr>
        <w:pStyle w:val="Heading2"/>
        <w:keepNext/>
      </w:pPr>
      <w:r>
        <w:t>23.1 Editions, Modes, and Workload Fit</w:t>
      </w:r>
    </w:p>
    <w:p>
      <w:pPr>
        <w:spacing w:after="120"/>
      </w:pPr>
      <w:r>
        <w:rPr>
          <w:i w:val="0"/>
        </w:rPr>
        <w:t>Firestore is a serverless document database with strong consistency and transactions. Current offerings include Standard and Enterprise editions, with capabilities and query interfaces that differ. Select the edition and access mode only after validating client compatibility, indexing behavior, transaction requirements, and migration constraints.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600"/>
            <w:shd w:fill="1A73E8"/>
            <w:tcMar>
              <w:top w:w="80" w:type="dxa"/>
              <w:start w:w="100" w:type="dxa"/>
              <w:bottom w:w="80" w:type="dxa"/>
              <w:end w:w="100" w:type="dxa"/>
            </w:tcMar>
            <w:vAlign w:val="center"/>
          </w:tcPr>
          <w:p>
            <w:pPr>
              <w:jc w:val="center"/>
            </w:pPr>
            <w:r>
              <w:rPr>
                <w:b/>
                <w:color w:val="FFFFFF"/>
                <w:sz w:val="16"/>
              </w:rPr>
              <w:t>Good Fit</w:t>
            </w:r>
          </w:p>
        </w:tc>
        <w:tc>
          <w:tcPr>
            <w:tcW w:type="dxa" w:w="6192"/>
            <w:shd w:fill="1A73E8"/>
            <w:tcMar>
              <w:top w:w="80" w:type="dxa"/>
              <w:start w:w="100" w:type="dxa"/>
              <w:bottom w:w="80" w:type="dxa"/>
              <w:end w:w="100" w:type="dxa"/>
            </w:tcMar>
            <w:vAlign w:val="center"/>
          </w:tcPr>
          <w:p>
            <w:pPr>
              <w:jc w:val="center"/>
            </w:pPr>
            <w:r>
              <w:rPr>
                <w:b/>
                <w:color w:val="FFFFFF"/>
                <w:sz w:val="16"/>
              </w:rPr>
              <w:t>Question Before Choosing</w:t>
            </w:r>
          </w:p>
        </w:tc>
      </w:tr>
      <w:tr>
        <w:trPr>
          <w:cantSplit/>
        </w:trPr>
        <w:tc>
          <w:tcPr>
            <w:tcW w:type="dxa" w:w="3600"/>
            <w:tcMar>
              <w:top w:w="80" w:type="dxa"/>
              <w:start w:w="100" w:type="dxa"/>
              <w:bottom w:w="80" w:type="dxa"/>
              <w:end w:w="100" w:type="dxa"/>
            </w:tcMar>
            <w:vAlign w:val="top"/>
          </w:tcPr>
          <w:p>
            <w:pPr>
              <w:spacing w:after="0"/>
            </w:pPr>
            <w:r>
              <w:rPr>
                <w:sz w:val="16"/>
              </w:rPr>
              <w:t>Mobile/web application state</w:t>
            </w:r>
          </w:p>
        </w:tc>
        <w:tc>
          <w:tcPr>
            <w:tcW w:type="dxa" w:w="6192"/>
            <w:tcMar>
              <w:top w:w="80" w:type="dxa"/>
              <w:start w:w="100" w:type="dxa"/>
              <w:bottom w:w="80" w:type="dxa"/>
              <w:end w:w="100" w:type="dxa"/>
            </w:tcMar>
            <w:vAlign w:val="top"/>
          </w:tcPr>
          <w:p>
            <w:pPr>
              <w:spacing w:after="0"/>
            </w:pPr>
            <w:r>
              <w:rPr>
                <w:sz w:val="16"/>
              </w:rPr>
              <w:t>Can the access patterns be expressed as indexed document queries?</w:t>
            </w:r>
          </w:p>
        </w:tc>
      </w:tr>
      <w:tr>
        <w:trPr>
          <w:cantSplit/>
        </w:trPr>
        <w:tc>
          <w:tcPr>
            <w:tcW w:type="dxa" w:w="3600"/>
            <w:tcMar>
              <w:top w:w="80" w:type="dxa"/>
              <w:start w:w="100" w:type="dxa"/>
              <w:bottom w:w="80" w:type="dxa"/>
              <w:end w:w="100" w:type="dxa"/>
            </w:tcMar>
            <w:vAlign w:val="top"/>
          </w:tcPr>
          <w:p>
            <w:pPr>
              <w:spacing w:after="0"/>
            </w:pPr>
            <w:r>
              <w:rPr>
                <w:sz w:val="16"/>
              </w:rPr>
              <w:t>User profiles, catalogs, workflow documents</w:t>
            </w:r>
          </w:p>
        </w:tc>
        <w:tc>
          <w:tcPr>
            <w:tcW w:type="dxa" w:w="6192"/>
            <w:tcMar>
              <w:top w:w="80" w:type="dxa"/>
              <w:start w:w="100" w:type="dxa"/>
              <w:bottom w:w="80" w:type="dxa"/>
              <w:end w:w="100" w:type="dxa"/>
            </w:tcMar>
            <w:vAlign w:val="top"/>
          </w:tcPr>
          <w:p>
            <w:pPr>
              <w:spacing w:after="0"/>
            </w:pPr>
            <w:r>
              <w:rPr>
                <w:sz w:val="16"/>
              </w:rPr>
              <w:t>Are document size and update contention controlled?</w:t>
            </w:r>
          </w:p>
        </w:tc>
      </w:tr>
      <w:tr>
        <w:trPr>
          <w:cantSplit/>
        </w:trPr>
        <w:tc>
          <w:tcPr>
            <w:tcW w:type="dxa" w:w="3600"/>
            <w:tcMar>
              <w:top w:w="80" w:type="dxa"/>
              <w:start w:w="100" w:type="dxa"/>
              <w:bottom w:w="80" w:type="dxa"/>
              <w:end w:w="100" w:type="dxa"/>
            </w:tcMar>
            <w:vAlign w:val="top"/>
          </w:tcPr>
          <w:p>
            <w:pPr>
              <w:spacing w:after="0"/>
            </w:pPr>
            <w:r>
              <w:rPr>
                <w:sz w:val="16"/>
              </w:rPr>
              <w:t>Real-time listeners</w:t>
            </w:r>
          </w:p>
        </w:tc>
        <w:tc>
          <w:tcPr>
            <w:tcW w:type="dxa" w:w="6192"/>
            <w:tcMar>
              <w:top w:w="80" w:type="dxa"/>
              <w:start w:w="100" w:type="dxa"/>
              <w:bottom w:w="80" w:type="dxa"/>
              <w:end w:w="100" w:type="dxa"/>
            </w:tcMar>
            <w:vAlign w:val="top"/>
          </w:tcPr>
          <w:p>
            <w:pPr>
              <w:spacing w:after="0"/>
            </w:pPr>
            <w:r>
              <w:rPr>
                <w:sz w:val="16"/>
              </w:rPr>
              <w:t>Can clients tolerate reconnect, fan-out, and billing behavior?</w:t>
            </w:r>
          </w:p>
        </w:tc>
      </w:tr>
      <w:tr>
        <w:trPr>
          <w:cantSplit/>
        </w:trPr>
        <w:tc>
          <w:tcPr>
            <w:tcW w:type="dxa" w:w="3600"/>
            <w:tcMar>
              <w:top w:w="80" w:type="dxa"/>
              <w:start w:w="100" w:type="dxa"/>
              <w:bottom w:w="80" w:type="dxa"/>
              <w:end w:w="100" w:type="dxa"/>
            </w:tcMar>
            <w:vAlign w:val="top"/>
          </w:tcPr>
          <w:p>
            <w:pPr>
              <w:spacing w:after="0"/>
            </w:pPr>
            <w:r>
              <w:rPr>
                <w:sz w:val="16"/>
              </w:rPr>
              <w:t>Flexible JSON/BSON-style models</w:t>
            </w:r>
          </w:p>
        </w:tc>
        <w:tc>
          <w:tcPr>
            <w:tcW w:type="dxa" w:w="6192"/>
            <w:tcMar>
              <w:top w:w="80" w:type="dxa"/>
              <w:start w:w="100" w:type="dxa"/>
              <w:bottom w:w="80" w:type="dxa"/>
              <w:end w:w="100" w:type="dxa"/>
            </w:tcMar>
            <w:vAlign w:val="top"/>
          </w:tcPr>
          <w:p>
            <w:pPr>
              <w:spacing w:after="0"/>
            </w:pPr>
            <w:r>
              <w:rPr>
                <w:sz w:val="16"/>
              </w:rPr>
              <w:t>Is schema evolution governed instead of becoming accidental?</w:t>
            </w:r>
          </w:p>
        </w:tc>
      </w:tr>
    </w:tbl>
    <w:p>
      <w:pPr>
        <w:spacing w:after="20"/>
      </w:pPr>
    </w:p>
    <w:p>
      <w:pPr>
        <w:pStyle w:val="Heading2"/>
        <w:keepNext/>
      </w:pPr>
      <w:r>
        <w:t>23.2 Document Modeling and Index Engineering</w:t>
      </w:r>
    </w:p>
    <w:p>
      <w:pPr>
        <w:spacing w:after="120"/>
      </w:pPr>
      <w:r>
        <w:rPr>
          <w:i w:val="0"/>
        </w:rPr>
        <w:t>Model for the queries that the application must execute. Deep nesting, large arrays, ever-growing documents, and high-frequency updates to a single document can create operational or cost problems. Denormalization is normal, but duplication requires explicit update and reconciliation logic.</w:t>
      </w:r>
    </w:p>
    <w:p>
      <w:pPr>
        <w:pStyle w:val="ListBullet"/>
        <w:spacing w:after="60"/>
      </w:pPr>
      <w:r>
        <w:t>Use stable collection/document paths and avoid encoding mutable business meaning into IDs.</w:t>
      </w:r>
    </w:p>
    <w:p>
      <w:pPr>
        <w:pStyle w:val="ListBullet"/>
        <w:spacing w:after="60"/>
      </w:pPr>
      <w:r>
        <w:t>Exclude fields from indexing when they are never queried and create composite indexes only from real query evidence.</w:t>
      </w:r>
    </w:p>
    <w:p>
      <w:pPr>
        <w:pStyle w:val="ListBullet"/>
        <w:spacing w:after="60"/>
      </w:pPr>
      <w:r>
        <w:t>Use subcollections for unbounded child sets rather than growing one document forever.</w:t>
      </w:r>
    </w:p>
    <w:p>
      <w:pPr>
        <w:pStyle w:val="ListBullet"/>
        <w:spacing w:after="60"/>
      </w:pPr>
      <w:r>
        <w:t>Distribute high-rate writes; avoid sequential IDs and single-document counters without sharding.</w:t>
      </w:r>
    </w:p>
    <w:p>
      <w:pPr>
        <w:pStyle w:val="Heading2"/>
        <w:keepNext/>
      </w:pPr>
      <w:r>
        <w:t>23.3 Transactions, Concurrency, and Idempotency</w:t>
      </w:r>
    </w:p>
    <w:p>
      <w:pPr>
        <w:spacing w:after="120"/>
      </w:pPr>
      <w:r>
        <w:rPr>
          <w:i w:val="0"/>
        </w:rPr>
        <w:t>Transactions retry when concurrent changes invalidate their read set. Keep transactions small and ensure the application code can run more than once. Batched writes are useful when reads are not needed. Distributed counters, queues, and workflows require idempotency keys and reconciliation rather than assuming a client sends each request once.</w:t>
      </w:r>
    </w:p>
    <w:p>
      <w:pPr>
        <w:pStyle w:val="Heading2"/>
        <w:keepNext/>
      </w:pPr>
      <w:r>
        <w:t>23.4 Security Rules, IAM, Backup, and Operations</w:t>
      </w:r>
    </w:p>
    <w:p>
      <w:pPr>
        <w:spacing w:after="120"/>
      </w:pPr>
      <w:r>
        <w:rPr>
          <w:i w:val="0"/>
        </w:rPr>
        <w:t>IAM controls administrative and server-side access. Security Rules protect supported client access and must be tested as code. Rules are authorization logic, not data validation by themselves. Use App Check where relevant, audit administrative changes, configure TTL only for intended expiration, and restore backups into isolated environments before declaring recovery ready.</w:t>
      </w:r>
    </w:p>
    <w:p>
      <w:pPr>
        <w:pStyle w:val="CodeBlock"/>
        <w:keepLines/>
        <w:spacing w:after="120"/>
      </w:pPr>
      <w:r>
        <w:rPr>
          <w:rFonts w:ascii="Cascadia Mono" w:hAnsi="Cascadia Mono"/>
          <w:sz w:val="16"/>
        </w:rPr>
        <w:t>gcloud firestore databases list</w:t>
        <w:br/>
        <w:t>gcloud firestore indexes composite list --database='(default)'</w:t>
        <w:br/>
        <w:t>gcloud firestore backups list --location=LOCATION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Query requires an index</w:t>
            </w:r>
          </w:p>
        </w:tc>
        <w:tc>
          <w:tcPr>
            <w:tcW w:type="dxa" w:w="2592"/>
            <w:tcMar>
              <w:top w:w="80" w:type="dxa"/>
              <w:start w:w="100" w:type="dxa"/>
              <w:bottom w:w="80" w:type="dxa"/>
              <w:end w:w="100" w:type="dxa"/>
            </w:tcMar>
            <w:vAlign w:val="top"/>
          </w:tcPr>
          <w:p>
            <w:pPr>
              <w:spacing w:after="0"/>
            </w:pPr>
            <w:r>
              <w:rPr>
                <w:sz w:val="16"/>
              </w:rPr>
              <w:t>Composite index is missing or edition query rules differ</w:t>
            </w:r>
          </w:p>
        </w:tc>
        <w:tc>
          <w:tcPr>
            <w:tcW w:type="dxa" w:w="5328"/>
            <w:tcMar>
              <w:top w:w="80" w:type="dxa"/>
              <w:start w:w="100" w:type="dxa"/>
              <w:bottom w:w="80" w:type="dxa"/>
              <w:end w:w="100" w:type="dxa"/>
            </w:tcMar>
            <w:vAlign w:val="top"/>
          </w:tcPr>
          <w:p>
            <w:pPr>
              <w:spacing w:after="0"/>
            </w:pPr>
            <w:r>
              <w:rPr>
                <w:sz w:val="16"/>
              </w:rPr>
              <w:t>Review the query error/link, create only the required index, and validate build completion.</w:t>
            </w:r>
          </w:p>
        </w:tc>
      </w:tr>
      <w:tr>
        <w:trPr>
          <w:cantSplit/>
        </w:trPr>
        <w:tc>
          <w:tcPr>
            <w:tcW w:type="dxa" w:w="2160"/>
            <w:tcMar>
              <w:top w:w="80" w:type="dxa"/>
              <w:start w:w="100" w:type="dxa"/>
              <w:bottom w:w="80" w:type="dxa"/>
              <w:end w:w="100" w:type="dxa"/>
            </w:tcMar>
            <w:vAlign w:val="top"/>
          </w:tcPr>
          <w:p>
            <w:pPr>
              <w:spacing w:after="0"/>
            </w:pPr>
            <w:r>
              <w:rPr>
                <w:sz w:val="16"/>
              </w:rPr>
              <w:t>High latency or throttling on writes</w:t>
            </w:r>
          </w:p>
        </w:tc>
        <w:tc>
          <w:tcPr>
            <w:tcW w:type="dxa" w:w="2592"/>
            <w:tcMar>
              <w:top w:w="80" w:type="dxa"/>
              <w:start w:w="100" w:type="dxa"/>
              <w:bottom w:w="80" w:type="dxa"/>
              <w:end w:w="100" w:type="dxa"/>
            </w:tcMar>
            <w:vAlign w:val="top"/>
          </w:tcPr>
          <w:p>
            <w:pPr>
              <w:spacing w:after="0"/>
            </w:pPr>
            <w:r>
              <w:rPr>
                <w:sz w:val="16"/>
              </w:rPr>
              <w:t>Hot document, sequential key, or high index fan-out</w:t>
            </w:r>
          </w:p>
        </w:tc>
        <w:tc>
          <w:tcPr>
            <w:tcW w:type="dxa" w:w="5328"/>
            <w:tcMar>
              <w:top w:w="80" w:type="dxa"/>
              <w:start w:w="100" w:type="dxa"/>
              <w:bottom w:w="80" w:type="dxa"/>
              <w:end w:w="100" w:type="dxa"/>
            </w:tcMar>
            <w:vAlign w:val="top"/>
          </w:tcPr>
          <w:p>
            <w:pPr>
              <w:spacing w:after="0"/>
            </w:pPr>
            <w:r>
              <w:rPr>
                <w:sz w:val="16"/>
              </w:rPr>
              <w:t>Inspect document paths and index count; shard counters, distribute IDs, and reduce unused indexes.</w:t>
            </w:r>
          </w:p>
        </w:tc>
      </w:tr>
      <w:tr>
        <w:trPr>
          <w:cantSplit/>
        </w:trPr>
        <w:tc>
          <w:tcPr>
            <w:tcW w:type="dxa" w:w="2160"/>
            <w:tcMar>
              <w:top w:w="80" w:type="dxa"/>
              <w:start w:w="100" w:type="dxa"/>
              <w:bottom w:w="80" w:type="dxa"/>
              <w:end w:w="100" w:type="dxa"/>
            </w:tcMar>
            <w:vAlign w:val="top"/>
          </w:tcPr>
          <w:p>
            <w:pPr>
              <w:spacing w:after="0"/>
            </w:pPr>
            <w:r>
              <w:rPr>
                <w:sz w:val="16"/>
              </w:rPr>
              <w:t>Client receives permission denied</w:t>
            </w:r>
          </w:p>
        </w:tc>
        <w:tc>
          <w:tcPr>
            <w:tcW w:type="dxa" w:w="2592"/>
            <w:tcMar>
              <w:top w:w="80" w:type="dxa"/>
              <w:start w:w="100" w:type="dxa"/>
              <w:bottom w:w="80" w:type="dxa"/>
              <w:end w:w="100" w:type="dxa"/>
            </w:tcMar>
            <w:vAlign w:val="top"/>
          </w:tcPr>
          <w:p>
            <w:pPr>
              <w:spacing w:after="0"/>
            </w:pPr>
            <w:r>
              <w:rPr>
                <w:sz w:val="16"/>
              </w:rPr>
              <w:t>Security Rules, auth claims, App Check, or project mismatch</w:t>
            </w:r>
          </w:p>
        </w:tc>
        <w:tc>
          <w:tcPr>
            <w:tcW w:type="dxa" w:w="5328"/>
            <w:tcMar>
              <w:top w:w="80" w:type="dxa"/>
              <w:start w:w="100" w:type="dxa"/>
              <w:bottom w:w="80" w:type="dxa"/>
              <w:end w:w="100" w:type="dxa"/>
            </w:tcMar>
            <w:vAlign w:val="top"/>
          </w:tcPr>
          <w:p>
            <w:pPr>
              <w:spacing w:after="0"/>
            </w:pPr>
            <w:r>
              <w:rPr>
                <w:sz w:val="16"/>
              </w:rPr>
              <w:t>Use the rules emulator/test suite and inspect identity claims and database ID.</w:t>
            </w:r>
          </w:p>
        </w:tc>
      </w:tr>
      <w:tr>
        <w:trPr>
          <w:cantSplit/>
        </w:trPr>
        <w:tc>
          <w:tcPr>
            <w:tcW w:type="dxa" w:w="2160"/>
            <w:tcMar>
              <w:top w:w="80" w:type="dxa"/>
              <w:start w:w="100" w:type="dxa"/>
              <w:bottom w:w="80" w:type="dxa"/>
              <w:end w:w="100" w:type="dxa"/>
            </w:tcMar>
            <w:vAlign w:val="top"/>
          </w:tcPr>
          <w:p>
            <w:pPr>
              <w:spacing w:after="0"/>
            </w:pPr>
            <w:r>
              <w:rPr>
                <w:sz w:val="16"/>
              </w:rPr>
              <w:t>Unexpected cost increase</w:t>
            </w:r>
          </w:p>
        </w:tc>
        <w:tc>
          <w:tcPr>
            <w:tcW w:type="dxa" w:w="2592"/>
            <w:tcMar>
              <w:top w:w="80" w:type="dxa"/>
              <w:start w:w="100" w:type="dxa"/>
              <w:bottom w:w="80" w:type="dxa"/>
              <w:end w:w="100" w:type="dxa"/>
            </w:tcMar>
            <w:vAlign w:val="top"/>
          </w:tcPr>
          <w:p>
            <w:pPr>
              <w:spacing w:after="0"/>
            </w:pPr>
            <w:r>
              <w:rPr>
                <w:sz w:val="16"/>
              </w:rPr>
              <w:t>Listener fan-out, repeated reads, broad queries, or index growth</w:t>
            </w:r>
          </w:p>
        </w:tc>
        <w:tc>
          <w:tcPr>
            <w:tcW w:type="dxa" w:w="5328"/>
            <w:tcMar>
              <w:top w:w="80" w:type="dxa"/>
              <w:start w:w="100" w:type="dxa"/>
              <w:bottom w:w="80" w:type="dxa"/>
              <w:end w:w="100" w:type="dxa"/>
            </w:tcMar>
            <w:vAlign w:val="top"/>
          </w:tcPr>
          <w:p>
            <w:pPr>
              <w:spacing w:after="0"/>
            </w:pPr>
            <w:r>
              <w:rPr>
                <w:sz w:val="16"/>
              </w:rPr>
              <w:t>Use usage metrics and query tracing; narrow listeners, paginate, cache, and remove unused indexes.</w:t>
            </w:r>
          </w:p>
        </w:tc>
      </w:tr>
    </w:tbl>
    <w:p>
      <w:pPr>
        <w:spacing w:after="20"/>
      </w:pPr>
    </w:p>
    <w:p>
      <w:pPr>
        <w:pStyle w:val="Heading2"/>
        <w:keepNext/>
      </w:pPr>
      <w:r>
        <w:t>Hands-on Lab 23: Build a Secure Firestore Order Workflow</w:t>
      </w:r>
    </w:p>
    <w:p>
      <w:pPr>
        <w:pStyle w:val="Heading3"/>
        <w:keepNext/>
      </w:pPr>
      <w:r>
        <w:t>Prerequisites</w:t>
      </w:r>
    </w:p>
    <w:p>
      <w:pPr>
        <w:pStyle w:val="ListBullet"/>
        <w:spacing w:after="60"/>
      </w:pPr>
      <w:r>
        <w:t>A Firebase/Google Cloud test project, Firestore database, emulator tooling where possible, and synthetic users/orders.</w:t>
      </w:r>
    </w:p>
    <w:p>
      <w:pPr>
        <w:pStyle w:val="Heading3"/>
        <w:keepNext/>
      </w:pPr>
      <w:r>
        <w:t>Implementation</w:t>
      </w:r>
    </w:p>
    <w:p>
      <w:pPr>
        <w:spacing w:after="60"/>
        <w:ind w:left="360" w:hanging="259"/>
      </w:pPr>
      <w:r>
        <w:rPr>
          <w:b/>
        </w:rPr>
        <w:t xml:space="preserve">1. </w:t>
      </w:r>
      <w:r>
        <w:t>Create a database in a deliberate location and record edition/mode decisions.</w:t>
      </w:r>
    </w:p>
    <w:p>
      <w:pPr>
        <w:spacing w:after="60"/>
        <w:ind w:left="360" w:hanging="259"/>
      </w:pPr>
      <w:r>
        <w:rPr>
          <w:b/>
        </w:rPr>
        <w:t xml:space="preserve">2. </w:t>
      </w:r>
      <w:r>
        <w:t>Model users, orders, and order events with bounded documents and query-driven indexes.</w:t>
      </w:r>
    </w:p>
    <w:p>
      <w:pPr>
        <w:spacing w:after="60"/>
        <w:ind w:left="360" w:hanging="259"/>
      </w:pPr>
      <w:r>
        <w:rPr>
          <w:b/>
        </w:rPr>
        <w:t xml:space="preserve">3. </w:t>
      </w:r>
      <w:r>
        <w:t>Write Security Rules that allow a user to read only owned orders while a trusted backend service account performs fulfillment updates.</w:t>
      </w:r>
    </w:p>
    <w:p>
      <w:pPr>
        <w:spacing w:after="60"/>
        <w:ind w:left="360" w:hanging="259"/>
      </w:pPr>
      <w:r>
        <w:rPr>
          <w:b/>
        </w:rPr>
        <w:t xml:space="preserve">4. </w:t>
      </w:r>
      <w:r>
        <w:t>Create emulator tests for allowed and denied operations.</w:t>
      </w:r>
    </w:p>
    <w:p>
      <w:pPr>
        <w:spacing w:after="60"/>
        <w:ind w:left="360" w:hanging="259"/>
      </w:pPr>
      <w:r>
        <w:rPr>
          <w:b/>
        </w:rPr>
        <w:t xml:space="preserve">5. </w:t>
      </w:r>
      <w:r>
        <w:t>Implement an idempotent order submission with a transaction or batched write.</w:t>
      </w:r>
    </w:p>
    <w:p>
      <w:pPr>
        <w:spacing w:after="60"/>
        <w:ind w:left="360" w:hanging="259"/>
      </w:pPr>
      <w:r>
        <w:rPr>
          <w:b/>
        </w:rPr>
        <w:t xml:space="preserve">6. </w:t>
      </w:r>
      <w:r>
        <w:t>Generate concurrent updates to demonstrate retries or contention behavior.</w:t>
      </w:r>
    </w:p>
    <w:p>
      <w:pPr>
        <w:spacing w:after="60"/>
        <w:ind w:left="360" w:hanging="259"/>
      </w:pPr>
      <w:r>
        <w:rPr>
          <w:b/>
        </w:rPr>
        <w:t xml:space="preserve">7. </w:t>
      </w:r>
      <w:r>
        <w:t>Create a backup or export plan, TTL policy for temporary events, and a cost-risk note.</w:t>
      </w:r>
    </w:p>
    <w:p>
      <w:pPr>
        <w:pStyle w:val="Heading3"/>
        <w:keepNext/>
      </w:pPr>
      <w:r>
        <w:t>Validation Evidence</w:t>
      </w:r>
    </w:p>
    <w:p>
      <w:pPr>
        <w:pStyle w:val="ListBullet"/>
        <w:spacing w:after="60"/>
      </w:pPr>
      <w:r>
        <w:t>Rule tests include positive and negative cases.</w:t>
      </w:r>
    </w:p>
    <w:p>
      <w:pPr>
        <w:pStyle w:val="ListBullet"/>
        <w:spacing w:after="60"/>
      </w:pPr>
      <w:r>
        <w:t>The order operation remains correct when retried.</w:t>
      </w:r>
    </w:p>
    <w:p>
      <w:pPr>
        <w:pStyle w:val="ListBullet"/>
        <w:spacing w:after="60"/>
      </w:pPr>
      <w:r>
        <w:t>Queries use intentional indexes and pagination.</w:t>
      </w:r>
    </w:p>
    <w:p>
      <w:pPr>
        <w:pStyle w:val="ListBullet"/>
        <w:spacing w:after="60"/>
      </w:pPr>
      <w:r>
        <w:t>Backup/retention and deletion ownership are documented.</w:t>
      </w:r>
    </w:p>
    <w:p>
      <w:pPr>
        <w:pStyle w:val="Heading3"/>
        <w:keepNext/>
      </w:pPr>
      <w:r>
        <w:t>Cleanup</w:t>
      </w:r>
    </w:p>
    <w:p>
      <w:pPr>
        <w:pStyle w:val="ListBullet"/>
        <w:spacing w:after="60"/>
      </w:pPr>
      <w:r>
        <w:t>Delete test collections, indexes, backups/exports, and the project when no longer required.</w:t>
      </w:r>
    </w:p>
    <w:p>
      <w:pPr>
        <w:pStyle w:val="Heading2"/>
        <w:keepNext/>
      </w:pPr>
      <w:r>
        <w:t>Interview Questions and Model Answers</w:t>
      </w:r>
    </w:p>
    <w:p>
      <w:pPr>
        <w:spacing w:after="40"/>
      </w:pPr>
      <w:r>
        <w:rPr>
          <w:b/>
        </w:rPr>
        <w:t>1. How should Firestore schemas be designed?</w:t>
      </w:r>
    </w:p>
    <w:p>
      <w:pPr>
        <w:spacing w:after="120"/>
        <w:ind w:left="216"/>
      </w:pPr>
      <w:r>
        <w:t>From required queries and update patterns, with controlled denormalization and explicit reconciliation.</w:t>
      </w:r>
    </w:p>
    <w:p>
      <w:pPr>
        <w:spacing w:after="40"/>
      </w:pPr>
      <w:r>
        <w:rPr>
          <w:b/>
        </w:rPr>
        <w:t>2. What is the difference between IAM and Security Rules?</w:t>
      </w:r>
    </w:p>
    <w:p>
      <w:pPr>
        <w:spacing w:after="120"/>
        <w:ind w:left="216"/>
      </w:pPr>
      <w:r>
        <w:t>IAM governs administrative/server identities; Security Rules authorize supported client data access based on request and document context.</w:t>
      </w:r>
    </w:p>
    <w:p>
      <w:pPr>
        <w:spacing w:after="40"/>
      </w:pPr>
      <w:r>
        <w:rPr>
          <w:b/>
        </w:rPr>
        <w:t>3. Why must transaction functions be idempotent?</w:t>
      </w:r>
    </w:p>
    <w:p>
      <w:pPr>
        <w:spacing w:after="120"/>
        <w:ind w:left="216"/>
      </w:pPr>
      <w:r>
        <w:t>Firestore can retry them after contention, so side effects must not be duplicated.</w:t>
      </w:r>
    </w:p>
    <w:p>
      <w:pPr>
        <w:spacing w:after="40"/>
      </w:pPr>
      <w:r>
        <w:rPr>
          <w:b/>
        </w:rPr>
        <w:t>4. What commonly causes Firestore write hotspots?</w:t>
      </w:r>
    </w:p>
    <w:p>
      <w:pPr>
        <w:spacing w:after="120"/>
        <w:ind w:left="216"/>
      </w:pPr>
      <w:r>
        <w:t>Sequential identifiers, high-rate updates to one document, and excessive index fan-out.</w:t>
      </w:r>
    </w:p>
    <w:p>
      <w:pPr>
        <w:pStyle w:val="Heading2"/>
        <w:keepNext/>
      </w:pPr>
      <w:r>
        <w:t>Chapter Summary</w:t>
      </w:r>
    </w:p>
    <w:p>
      <w:pPr>
        <w:pStyle w:val="ListBullet"/>
        <w:spacing w:after="60"/>
      </w:pPr>
      <w:r>
        <w:t>Firestore is serverless, but data-model and cost decisions remain architectural.</w:t>
      </w:r>
    </w:p>
    <w:p>
      <w:pPr>
        <w:pStyle w:val="ListBullet"/>
        <w:spacing w:after="60"/>
      </w:pPr>
      <w:r>
        <w:t>Indexes are part of the write path and must be governed.</w:t>
      </w:r>
    </w:p>
    <w:p>
      <w:pPr>
        <w:pStyle w:val="ListBullet"/>
        <w:spacing w:after="60"/>
      </w:pPr>
      <w:r>
        <w:t>Security Rules require automated allow/deny tests.</w:t>
      </w:r>
    </w:p>
    <w:p>
      <w:pPr>
        <w:pStyle w:val="ListBullet"/>
        <w:spacing w:after="60"/>
      </w:pPr>
      <w:r>
        <w:t>Transactions, listeners, backup, and TTL need operational evidence.</w:t>
      </w:r>
    </w:p>
    <w:p>
      <w:pPr>
        <w:pStyle w:val="Heading1"/>
        <w:keepNext/>
        <w:pageBreakBefore/>
      </w:pPr>
      <w:r>
        <w:t>Chapter 24 - Bigtable and Memorystore for Low-Latency Systems</w:t>
      </w:r>
    </w:p>
    <w:p>
      <w:pPr>
        <w:spacing w:after="120"/>
      </w:pPr>
      <w:r>
        <w:rPr>
          <w:i/>
          <w:color w:val="505050"/>
        </w:rPr>
        <w:t>Engineering wide-column persistence and in-memory acceleration for predictable latency</w:t>
      </w:r>
    </w:p>
    <w:p>
      <w:pPr>
        <w:pStyle w:val="Heading2"/>
        <w:keepNext/>
      </w:pPr>
      <w:r>
        <w:t>Learning Objectives</w:t>
      </w:r>
    </w:p>
    <w:p>
      <w:pPr>
        <w:pStyle w:val="ListBullet"/>
        <w:spacing w:after="60"/>
      </w:pPr>
      <w:r>
        <w:t>Select Bigtable for high-throughput key-range workloads and Memorystore for cache/state acceleration.</w:t>
      </w:r>
    </w:p>
    <w:p>
      <w:pPr>
        <w:pStyle w:val="ListBullet"/>
        <w:spacing w:after="60"/>
      </w:pPr>
      <w:r>
        <w:t>Design Bigtable row keys, column families, replication, and application profiles.</w:t>
      </w:r>
    </w:p>
    <w:p>
      <w:pPr>
        <w:pStyle w:val="ListBullet"/>
        <w:spacing w:after="60"/>
      </w:pPr>
      <w:r>
        <w:t>Design cache-aside, TTL, eviction, persistence, and failure behavior.</w:t>
      </w:r>
    </w:p>
    <w:p>
      <w:pPr>
        <w:pStyle w:val="ListBullet"/>
        <w:spacing w:after="60"/>
      </w:pPr>
      <w:r>
        <w:t>Observe hotspots, cache effectiveness, capacity, and durability trade-offs.</w:t>
      </w:r>
    </w:p>
    <w:p>
      <w:pPr>
        <w:pStyle w:val="Heading2"/>
        <w:keepNext/>
      </w:pPr>
      <w:r>
        <w:t>24.1 Bigtable Workload and Schema Model</w:t>
      </w:r>
    </w:p>
    <w:p>
      <w:pPr>
        <w:spacing w:after="120"/>
      </w:pPr>
      <w:r>
        <w:rPr>
          <w:i w:val="0"/>
        </w:rPr>
        <w:t>Bigtable is a wide-column database designed for low-latency access at very large scale. It is not a relational database and does not provide joins or arbitrary secondary-index behavior. Rows are sorted lexicographically by row key, so the key must distribute traffic while preserving the scans the application needs.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Pattern</w:t>
            </w:r>
          </w:p>
        </w:tc>
        <w:tc>
          <w:tcPr>
            <w:tcW w:type="dxa" w:w="4176"/>
            <w:shd w:fill="1A73E8"/>
            <w:tcMar>
              <w:top w:w="80" w:type="dxa"/>
              <w:start w:w="100" w:type="dxa"/>
              <w:bottom w:w="80" w:type="dxa"/>
              <w:end w:w="100" w:type="dxa"/>
            </w:tcMar>
            <w:vAlign w:val="center"/>
          </w:tcPr>
          <w:p>
            <w:pPr>
              <w:jc w:val="center"/>
            </w:pPr>
            <w:r>
              <w:rPr>
                <w:b/>
                <w:color w:val="FFFFFF"/>
                <w:sz w:val="16"/>
              </w:rPr>
              <w:t>Row-Key Direction</w:t>
            </w:r>
          </w:p>
        </w:tc>
        <w:tc>
          <w:tcPr>
            <w:tcW w:type="dxa" w:w="3456"/>
            <w:shd w:fill="1A73E8"/>
            <w:tcMar>
              <w:top w:w="80" w:type="dxa"/>
              <w:start w:w="100" w:type="dxa"/>
              <w:bottom w:w="80" w:type="dxa"/>
              <w:end w:w="100" w:type="dxa"/>
            </w:tcMar>
            <w:vAlign w:val="center"/>
          </w:tcPr>
          <w:p>
            <w:pPr>
              <w:jc w:val="center"/>
            </w:pPr>
            <w:r>
              <w:rPr>
                <w:b/>
                <w:color w:val="FFFFFF"/>
                <w:sz w:val="16"/>
              </w:rPr>
              <w:t>Risk</w:t>
            </w:r>
          </w:p>
        </w:tc>
      </w:tr>
      <w:tr>
        <w:trPr>
          <w:cantSplit/>
        </w:trPr>
        <w:tc>
          <w:tcPr>
            <w:tcW w:type="dxa" w:w="2160"/>
            <w:tcMar>
              <w:top w:w="80" w:type="dxa"/>
              <w:start w:w="100" w:type="dxa"/>
              <w:bottom w:w="80" w:type="dxa"/>
              <w:end w:w="100" w:type="dxa"/>
            </w:tcMar>
            <w:vAlign w:val="top"/>
          </w:tcPr>
          <w:p>
            <w:pPr>
              <w:spacing w:after="0"/>
            </w:pPr>
            <w:r>
              <w:rPr>
                <w:sz w:val="16"/>
              </w:rPr>
              <w:t>Time series by device</w:t>
            </w:r>
          </w:p>
        </w:tc>
        <w:tc>
          <w:tcPr>
            <w:tcW w:type="dxa" w:w="4176"/>
            <w:tcMar>
              <w:top w:w="80" w:type="dxa"/>
              <w:start w:w="100" w:type="dxa"/>
              <w:bottom w:w="80" w:type="dxa"/>
              <w:end w:w="100" w:type="dxa"/>
            </w:tcMar>
            <w:vAlign w:val="top"/>
          </w:tcPr>
          <w:p>
            <w:pPr>
              <w:spacing w:after="0"/>
            </w:pPr>
            <w:r>
              <w:rPr>
                <w:sz w:val="16"/>
              </w:rPr>
              <w:t>hash/device + reversed or bucketed time</w:t>
            </w:r>
          </w:p>
        </w:tc>
        <w:tc>
          <w:tcPr>
            <w:tcW w:type="dxa" w:w="3456"/>
            <w:tcMar>
              <w:top w:w="80" w:type="dxa"/>
              <w:start w:w="100" w:type="dxa"/>
              <w:bottom w:w="80" w:type="dxa"/>
              <w:end w:w="100" w:type="dxa"/>
            </w:tcMar>
            <w:vAlign w:val="top"/>
          </w:tcPr>
          <w:p>
            <w:pPr>
              <w:spacing w:after="0"/>
            </w:pPr>
            <w:r>
              <w:rPr>
                <w:sz w:val="16"/>
              </w:rPr>
              <w:t>A single hot device or newest-time hotspot</w:t>
            </w:r>
          </w:p>
        </w:tc>
      </w:tr>
      <w:tr>
        <w:trPr>
          <w:cantSplit/>
        </w:trPr>
        <w:tc>
          <w:tcPr>
            <w:tcW w:type="dxa" w:w="2160"/>
            <w:tcMar>
              <w:top w:w="80" w:type="dxa"/>
              <w:start w:w="100" w:type="dxa"/>
              <w:bottom w:w="80" w:type="dxa"/>
              <w:end w:w="100" w:type="dxa"/>
            </w:tcMar>
            <w:vAlign w:val="top"/>
          </w:tcPr>
          <w:p>
            <w:pPr>
              <w:spacing w:after="0"/>
            </w:pPr>
            <w:r>
              <w:rPr>
                <w:sz w:val="16"/>
              </w:rPr>
              <w:t>User timeline</w:t>
            </w:r>
          </w:p>
        </w:tc>
        <w:tc>
          <w:tcPr>
            <w:tcW w:type="dxa" w:w="4176"/>
            <w:tcMar>
              <w:top w:w="80" w:type="dxa"/>
              <w:start w:w="100" w:type="dxa"/>
              <w:bottom w:w="80" w:type="dxa"/>
              <w:end w:w="100" w:type="dxa"/>
            </w:tcMar>
            <w:vAlign w:val="top"/>
          </w:tcPr>
          <w:p>
            <w:pPr>
              <w:spacing w:after="0"/>
            </w:pPr>
            <w:r>
              <w:rPr>
                <w:sz w:val="16"/>
              </w:rPr>
              <w:t>user ID + time bucket + event ID</w:t>
            </w:r>
          </w:p>
        </w:tc>
        <w:tc>
          <w:tcPr>
            <w:tcW w:type="dxa" w:w="3456"/>
            <w:tcMar>
              <w:top w:w="80" w:type="dxa"/>
              <w:start w:w="100" w:type="dxa"/>
              <w:bottom w:w="80" w:type="dxa"/>
              <w:end w:w="100" w:type="dxa"/>
            </w:tcMar>
            <w:vAlign w:val="top"/>
          </w:tcPr>
          <w:p>
            <w:pPr>
              <w:spacing w:after="0"/>
            </w:pPr>
            <w:r>
              <w:rPr>
                <w:sz w:val="16"/>
              </w:rPr>
              <w:t>Large user partitions and unbounded scans</w:t>
            </w:r>
          </w:p>
        </w:tc>
      </w:tr>
      <w:tr>
        <w:trPr>
          <w:cantSplit/>
        </w:trPr>
        <w:tc>
          <w:tcPr>
            <w:tcW w:type="dxa" w:w="2160"/>
            <w:tcMar>
              <w:top w:w="80" w:type="dxa"/>
              <w:start w:w="100" w:type="dxa"/>
              <w:bottom w:w="80" w:type="dxa"/>
              <w:end w:w="100" w:type="dxa"/>
            </w:tcMar>
            <w:vAlign w:val="top"/>
          </w:tcPr>
          <w:p>
            <w:pPr>
              <w:spacing w:after="0"/>
            </w:pPr>
            <w:r>
              <w:rPr>
                <w:sz w:val="16"/>
              </w:rPr>
              <w:t>IoT telemetry</w:t>
            </w:r>
          </w:p>
        </w:tc>
        <w:tc>
          <w:tcPr>
            <w:tcW w:type="dxa" w:w="4176"/>
            <w:tcMar>
              <w:top w:w="80" w:type="dxa"/>
              <w:start w:w="100" w:type="dxa"/>
              <w:bottom w:w="80" w:type="dxa"/>
              <w:end w:w="100" w:type="dxa"/>
            </w:tcMar>
            <w:vAlign w:val="top"/>
          </w:tcPr>
          <w:p>
            <w:pPr>
              <w:spacing w:after="0"/>
            </w:pPr>
            <w:r>
              <w:rPr>
                <w:sz w:val="16"/>
              </w:rPr>
              <w:t>region/hash + device + timestamp</w:t>
            </w:r>
          </w:p>
        </w:tc>
        <w:tc>
          <w:tcPr>
            <w:tcW w:type="dxa" w:w="3456"/>
            <w:tcMar>
              <w:top w:w="80" w:type="dxa"/>
              <w:start w:w="100" w:type="dxa"/>
              <w:bottom w:w="80" w:type="dxa"/>
              <w:end w:w="100" w:type="dxa"/>
            </w:tcMar>
            <w:vAlign w:val="top"/>
          </w:tcPr>
          <w:p>
            <w:pPr>
              <w:spacing w:after="0"/>
            </w:pPr>
            <w:r>
              <w:rPr>
                <w:sz w:val="16"/>
              </w:rPr>
              <w:t>Poor prefix choice prevents efficient scan</w:t>
            </w:r>
          </w:p>
        </w:tc>
      </w:tr>
      <w:tr>
        <w:trPr>
          <w:cantSplit/>
        </w:trPr>
        <w:tc>
          <w:tcPr>
            <w:tcW w:type="dxa" w:w="2160"/>
            <w:tcMar>
              <w:top w:w="80" w:type="dxa"/>
              <w:start w:w="100" w:type="dxa"/>
              <w:bottom w:w="80" w:type="dxa"/>
              <w:end w:w="100" w:type="dxa"/>
            </w:tcMar>
            <w:vAlign w:val="top"/>
          </w:tcPr>
          <w:p>
            <w:pPr>
              <w:spacing w:after="0"/>
            </w:pPr>
            <w:r>
              <w:rPr>
                <w:sz w:val="16"/>
              </w:rPr>
              <w:t>Lookup table</w:t>
            </w:r>
          </w:p>
        </w:tc>
        <w:tc>
          <w:tcPr>
            <w:tcW w:type="dxa" w:w="4176"/>
            <w:tcMar>
              <w:top w:w="80" w:type="dxa"/>
              <w:start w:w="100" w:type="dxa"/>
              <w:bottom w:w="80" w:type="dxa"/>
              <w:end w:w="100" w:type="dxa"/>
            </w:tcMar>
            <w:vAlign w:val="top"/>
          </w:tcPr>
          <w:p>
            <w:pPr>
              <w:spacing w:after="0"/>
            </w:pPr>
            <w:r>
              <w:rPr>
                <w:sz w:val="16"/>
              </w:rPr>
              <w:t>stable distributed business key</w:t>
            </w:r>
          </w:p>
        </w:tc>
        <w:tc>
          <w:tcPr>
            <w:tcW w:type="dxa" w:w="3456"/>
            <w:tcMar>
              <w:top w:w="80" w:type="dxa"/>
              <w:start w:w="100" w:type="dxa"/>
              <w:bottom w:w="80" w:type="dxa"/>
              <w:end w:w="100" w:type="dxa"/>
            </w:tcMar>
            <w:vAlign w:val="top"/>
          </w:tcPr>
          <w:p>
            <w:pPr>
              <w:spacing w:after="0"/>
            </w:pPr>
            <w:r>
              <w:rPr>
                <w:sz w:val="16"/>
              </w:rPr>
              <w:t>Over-modeling relational access</w:t>
            </w:r>
          </w:p>
        </w:tc>
      </w:tr>
    </w:tbl>
    <w:p>
      <w:pPr>
        <w:spacing w:after="20"/>
      </w:pPr>
    </w:p>
    <w:p>
      <w:pPr>
        <w:pStyle w:val="Heading2"/>
        <w:keepNext/>
      </w:pPr>
      <w:r>
        <w:t>24.2 Clusters, Replication, App Profiles, and Autoscaling</w:t>
      </w:r>
    </w:p>
    <w:p>
      <w:pPr>
        <w:spacing w:after="120"/>
      </w:pPr>
      <w:r>
        <w:rPr>
          <w:i w:val="0"/>
        </w:rPr>
        <w:t>A Bigtable instance contains clusters; replication copies data between clusters and can increase availability or isolate workloads. Application profiles control routing and consistency behavior. Each cluster needs enough capacity for application traffic plus replication work, including during failover. Autoscaling is usually preferred, but minimum and maximum nodes must reflect performance and recovery objectives.</w:t>
      </w:r>
    </w:p>
    <w:p>
      <w:pPr>
        <w:pStyle w:val="ListBullet"/>
        <w:spacing w:after="60"/>
      </w:pPr>
      <w:r>
        <w:t>Use multi-cluster routing only when its consistency behavior matches the workload.</w:t>
      </w:r>
    </w:p>
    <w:p>
      <w:pPr>
        <w:pStyle w:val="ListBullet"/>
        <w:spacing w:after="60"/>
      </w:pPr>
      <w:r>
        <w:t>Use single-cluster routing for strict locality or workload isolation where required.</w:t>
      </w:r>
    </w:p>
    <w:p>
      <w:pPr>
        <w:pStyle w:val="ListBullet"/>
        <w:spacing w:after="60"/>
      </w:pPr>
      <w:r>
        <w:t>Monitor hottest-node CPU, latency, storage utilization, replication latency, and failed request rates.</w:t>
      </w:r>
    </w:p>
    <w:p>
      <w:pPr>
        <w:pStyle w:val="ListBullet"/>
        <w:spacing w:after="60"/>
      </w:pPr>
      <w:r>
        <w:t>Backups protect recovery points; replication alone does not protect against logical deletion.</w:t>
      </w:r>
    </w:p>
    <w:p>
      <w:pPr>
        <w:pStyle w:val="Heading2"/>
        <w:keepNext/>
      </w:pPr>
      <w:r>
        <w:t>24.3 Memorystore Choices and Cache Architecture</w:t>
      </w:r>
    </w:p>
    <w:p>
      <w:pPr>
        <w:spacing w:after="120"/>
      </w:pPr>
      <w:r>
        <w:rPr>
          <w:i w:val="0"/>
        </w:rPr>
        <w:t>Memorystore provides managed Valkey, Redis Cluster, Redis, and a deprecated Memcached offering. New design should evaluate Valkey and Redis variants from client compatibility, sharding, persistence, high availability, cross-region needs, and product lifecycle. A cache must be treated as disposable unless persistence and recovery requirements explicitly say otherwise.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016"/>
            <w:shd w:fill="1A73E8"/>
            <w:tcMar>
              <w:top w:w="80" w:type="dxa"/>
              <w:start w:w="100" w:type="dxa"/>
              <w:bottom w:w="80" w:type="dxa"/>
              <w:end w:w="100" w:type="dxa"/>
            </w:tcMar>
            <w:vAlign w:val="center"/>
          </w:tcPr>
          <w:p>
            <w:pPr>
              <w:jc w:val="center"/>
            </w:pPr>
            <w:r>
              <w:rPr>
                <w:b/>
                <w:color w:val="FFFFFF"/>
                <w:sz w:val="16"/>
              </w:rPr>
              <w:t>Pattern</w:t>
            </w:r>
          </w:p>
        </w:tc>
        <w:tc>
          <w:tcPr>
            <w:tcW w:type="dxa" w:w="3168"/>
            <w:shd w:fill="1A73E8"/>
            <w:tcMar>
              <w:top w:w="80" w:type="dxa"/>
              <w:start w:w="100" w:type="dxa"/>
              <w:bottom w:w="80" w:type="dxa"/>
              <w:end w:w="100" w:type="dxa"/>
            </w:tcMar>
            <w:vAlign w:val="center"/>
          </w:tcPr>
          <w:p>
            <w:pPr>
              <w:jc w:val="center"/>
            </w:pPr>
            <w:r>
              <w:rPr>
                <w:b/>
                <w:color w:val="FFFFFF"/>
                <w:sz w:val="16"/>
              </w:rPr>
              <w:t>Benefit</w:t>
            </w:r>
          </w:p>
        </w:tc>
        <w:tc>
          <w:tcPr>
            <w:tcW w:type="dxa" w:w="4608"/>
            <w:shd w:fill="1A73E8"/>
            <w:tcMar>
              <w:top w:w="80" w:type="dxa"/>
              <w:start w:w="100" w:type="dxa"/>
              <w:bottom w:w="80" w:type="dxa"/>
              <w:end w:w="100" w:type="dxa"/>
            </w:tcMar>
            <w:vAlign w:val="center"/>
          </w:tcPr>
          <w:p>
            <w:pPr>
              <w:jc w:val="center"/>
            </w:pPr>
            <w:r>
              <w:rPr>
                <w:b/>
                <w:color w:val="FFFFFF"/>
                <w:sz w:val="16"/>
              </w:rPr>
              <w:t>Control</w:t>
            </w:r>
          </w:p>
        </w:tc>
      </w:tr>
      <w:tr>
        <w:trPr>
          <w:cantSplit/>
        </w:trPr>
        <w:tc>
          <w:tcPr>
            <w:tcW w:type="dxa" w:w="2016"/>
            <w:tcMar>
              <w:top w:w="80" w:type="dxa"/>
              <w:start w:w="100" w:type="dxa"/>
              <w:bottom w:w="80" w:type="dxa"/>
              <w:end w:w="100" w:type="dxa"/>
            </w:tcMar>
            <w:vAlign w:val="top"/>
          </w:tcPr>
          <w:p>
            <w:pPr>
              <w:spacing w:after="0"/>
            </w:pPr>
            <w:r>
              <w:rPr>
                <w:sz w:val="16"/>
              </w:rPr>
              <w:t>Cache-aside</w:t>
            </w:r>
          </w:p>
        </w:tc>
        <w:tc>
          <w:tcPr>
            <w:tcW w:type="dxa" w:w="3168"/>
            <w:tcMar>
              <w:top w:w="80" w:type="dxa"/>
              <w:start w:w="100" w:type="dxa"/>
              <w:bottom w:w="80" w:type="dxa"/>
              <w:end w:w="100" w:type="dxa"/>
            </w:tcMar>
            <w:vAlign w:val="top"/>
          </w:tcPr>
          <w:p>
            <w:pPr>
              <w:spacing w:after="0"/>
            </w:pPr>
            <w:r>
              <w:rPr>
                <w:sz w:val="16"/>
              </w:rPr>
              <w:t>Simple and resilient to cache loss</w:t>
            </w:r>
          </w:p>
        </w:tc>
        <w:tc>
          <w:tcPr>
            <w:tcW w:type="dxa" w:w="4608"/>
            <w:tcMar>
              <w:top w:w="80" w:type="dxa"/>
              <w:start w:w="100" w:type="dxa"/>
              <w:bottom w:w="80" w:type="dxa"/>
              <w:end w:w="100" w:type="dxa"/>
            </w:tcMar>
            <w:vAlign w:val="top"/>
          </w:tcPr>
          <w:p>
            <w:pPr>
              <w:spacing w:after="0"/>
            </w:pPr>
            <w:r>
              <w:rPr>
                <w:sz w:val="16"/>
              </w:rPr>
              <w:t>TTL, stampede protection, source-of-truth fallback</w:t>
            </w:r>
          </w:p>
        </w:tc>
      </w:tr>
      <w:tr>
        <w:trPr>
          <w:cantSplit/>
        </w:trPr>
        <w:tc>
          <w:tcPr>
            <w:tcW w:type="dxa" w:w="2016"/>
            <w:tcMar>
              <w:top w:w="80" w:type="dxa"/>
              <w:start w:w="100" w:type="dxa"/>
              <w:bottom w:w="80" w:type="dxa"/>
              <w:end w:w="100" w:type="dxa"/>
            </w:tcMar>
            <w:vAlign w:val="top"/>
          </w:tcPr>
          <w:p>
            <w:pPr>
              <w:spacing w:after="0"/>
            </w:pPr>
            <w:r>
              <w:rPr>
                <w:sz w:val="16"/>
              </w:rPr>
              <w:t>Write-through</w:t>
            </w:r>
          </w:p>
        </w:tc>
        <w:tc>
          <w:tcPr>
            <w:tcW w:type="dxa" w:w="3168"/>
            <w:tcMar>
              <w:top w:w="80" w:type="dxa"/>
              <w:start w:w="100" w:type="dxa"/>
              <w:bottom w:w="80" w:type="dxa"/>
              <w:end w:w="100" w:type="dxa"/>
            </w:tcMar>
            <w:vAlign w:val="top"/>
          </w:tcPr>
          <w:p>
            <w:pPr>
              <w:spacing w:after="0"/>
            </w:pPr>
            <w:r>
              <w:rPr>
                <w:sz w:val="16"/>
              </w:rPr>
              <w:t>Cache stays warm</w:t>
            </w:r>
          </w:p>
        </w:tc>
        <w:tc>
          <w:tcPr>
            <w:tcW w:type="dxa" w:w="4608"/>
            <w:tcMar>
              <w:top w:w="80" w:type="dxa"/>
              <w:start w:w="100" w:type="dxa"/>
              <w:bottom w:w="80" w:type="dxa"/>
              <w:end w:w="100" w:type="dxa"/>
            </w:tcMar>
            <w:vAlign w:val="top"/>
          </w:tcPr>
          <w:p>
            <w:pPr>
              <w:spacing w:after="0"/>
            </w:pPr>
            <w:r>
              <w:rPr>
                <w:sz w:val="16"/>
              </w:rPr>
              <w:t>Failure ordering and dual-write correctness</w:t>
            </w:r>
          </w:p>
        </w:tc>
      </w:tr>
      <w:tr>
        <w:trPr>
          <w:cantSplit/>
        </w:trPr>
        <w:tc>
          <w:tcPr>
            <w:tcW w:type="dxa" w:w="2016"/>
            <w:tcMar>
              <w:top w:w="80" w:type="dxa"/>
              <w:start w:w="100" w:type="dxa"/>
              <w:bottom w:w="80" w:type="dxa"/>
              <w:end w:w="100" w:type="dxa"/>
            </w:tcMar>
            <w:vAlign w:val="top"/>
          </w:tcPr>
          <w:p>
            <w:pPr>
              <w:spacing w:after="0"/>
            </w:pPr>
            <w:r>
              <w:rPr>
                <w:sz w:val="16"/>
              </w:rPr>
              <w:t>Session/state store</w:t>
            </w:r>
          </w:p>
        </w:tc>
        <w:tc>
          <w:tcPr>
            <w:tcW w:type="dxa" w:w="3168"/>
            <w:tcMar>
              <w:top w:w="80" w:type="dxa"/>
              <w:start w:w="100" w:type="dxa"/>
              <w:bottom w:w="80" w:type="dxa"/>
              <w:end w:w="100" w:type="dxa"/>
            </w:tcMar>
            <w:vAlign w:val="top"/>
          </w:tcPr>
          <w:p>
            <w:pPr>
              <w:spacing w:after="0"/>
            </w:pPr>
            <w:r>
              <w:rPr>
                <w:sz w:val="16"/>
              </w:rPr>
              <w:t>Low latency shared state</w:t>
            </w:r>
          </w:p>
        </w:tc>
        <w:tc>
          <w:tcPr>
            <w:tcW w:type="dxa" w:w="4608"/>
            <w:tcMar>
              <w:top w:w="80" w:type="dxa"/>
              <w:start w:w="100" w:type="dxa"/>
              <w:bottom w:w="80" w:type="dxa"/>
              <w:end w:w="100" w:type="dxa"/>
            </w:tcMar>
            <w:vAlign w:val="top"/>
          </w:tcPr>
          <w:p>
            <w:pPr>
              <w:spacing w:after="0"/>
            </w:pPr>
            <w:r>
              <w:rPr>
                <w:sz w:val="16"/>
              </w:rPr>
              <w:t>HA, persistence, token expiry, fail-closed behavior</w:t>
            </w:r>
          </w:p>
        </w:tc>
      </w:tr>
      <w:tr>
        <w:trPr>
          <w:cantSplit/>
        </w:trPr>
        <w:tc>
          <w:tcPr>
            <w:tcW w:type="dxa" w:w="2016"/>
            <w:tcMar>
              <w:top w:w="80" w:type="dxa"/>
              <w:start w:w="100" w:type="dxa"/>
              <w:bottom w:w="80" w:type="dxa"/>
              <w:end w:w="100" w:type="dxa"/>
            </w:tcMar>
            <w:vAlign w:val="top"/>
          </w:tcPr>
          <w:p>
            <w:pPr>
              <w:spacing w:after="0"/>
            </w:pPr>
            <w:r>
              <w:rPr>
                <w:sz w:val="16"/>
              </w:rPr>
              <w:t>Rate limit/counter</w:t>
            </w:r>
          </w:p>
        </w:tc>
        <w:tc>
          <w:tcPr>
            <w:tcW w:type="dxa" w:w="3168"/>
            <w:tcMar>
              <w:top w:w="80" w:type="dxa"/>
              <w:start w:w="100" w:type="dxa"/>
              <w:bottom w:w="80" w:type="dxa"/>
              <w:end w:w="100" w:type="dxa"/>
            </w:tcMar>
            <w:vAlign w:val="top"/>
          </w:tcPr>
          <w:p>
            <w:pPr>
              <w:spacing w:after="0"/>
            </w:pPr>
            <w:r>
              <w:rPr>
                <w:sz w:val="16"/>
              </w:rPr>
              <w:t>Atomic fast operations</w:t>
            </w:r>
          </w:p>
        </w:tc>
        <w:tc>
          <w:tcPr>
            <w:tcW w:type="dxa" w:w="4608"/>
            <w:tcMar>
              <w:top w:w="80" w:type="dxa"/>
              <w:start w:w="100" w:type="dxa"/>
              <w:bottom w:w="80" w:type="dxa"/>
              <w:end w:w="100" w:type="dxa"/>
            </w:tcMar>
            <w:vAlign w:val="top"/>
          </w:tcPr>
          <w:p>
            <w:pPr>
              <w:spacing w:after="0"/>
            </w:pPr>
            <w:r>
              <w:rPr>
                <w:sz w:val="16"/>
              </w:rPr>
              <w:t>Clock/window semantics and regional consistency</w:t>
            </w:r>
          </w:p>
        </w:tc>
      </w:tr>
      <w:tr>
        <w:trPr>
          <w:cantSplit/>
        </w:trPr>
        <w:tc>
          <w:tcPr>
            <w:tcW w:type="dxa" w:w="2016"/>
            <w:tcMar>
              <w:top w:w="80" w:type="dxa"/>
              <w:start w:w="100" w:type="dxa"/>
              <w:bottom w:w="80" w:type="dxa"/>
              <w:end w:w="100" w:type="dxa"/>
            </w:tcMar>
            <w:vAlign w:val="top"/>
          </w:tcPr>
          <w:p>
            <w:pPr>
              <w:spacing w:after="0"/>
            </w:pPr>
            <w:r>
              <w:rPr>
                <w:sz w:val="16"/>
              </w:rPr>
              <w:t>Vector/context cache</w:t>
            </w:r>
          </w:p>
        </w:tc>
        <w:tc>
          <w:tcPr>
            <w:tcW w:type="dxa" w:w="3168"/>
            <w:tcMar>
              <w:top w:w="80" w:type="dxa"/>
              <w:start w:w="100" w:type="dxa"/>
              <w:bottom w:w="80" w:type="dxa"/>
              <w:end w:w="100" w:type="dxa"/>
            </w:tcMar>
            <w:vAlign w:val="top"/>
          </w:tcPr>
          <w:p>
            <w:pPr>
              <w:spacing w:after="0"/>
            </w:pPr>
            <w:r>
              <w:rPr>
                <w:sz w:val="16"/>
              </w:rPr>
              <w:t>Fast retrieval for AI apps</w:t>
            </w:r>
          </w:p>
        </w:tc>
        <w:tc>
          <w:tcPr>
            <w:tcW w:type="dxa" w:w="4608"/>
            <w:tcMar>
              <w:top w:w="80" w:type="dxa"/>
              <w:start w:w="100" w:type="dxa"/>
              <w:bottom w:w="80" w:type="dxa"/>
              <w:end w:w="100" w:type="dxa"/>
            </w:tcMar>
            <w:vAlign w:val="top"/>
          </w:tcPr>
          <w:p>
            <w:pPr>
              <w:spacing w:after="0"/>
            </w:pPr>
            <w:r>
              <w:rPr>
                <w:sz w:val="16"/>
              </w:rPr>
              <w:t>Tenant isolation, TTL, sensitive-data policy</w:t>
            </w:r>
          </w:p>
        </w:tc>
      </w:tr>
    </w:tbl>
    <w:p>
      <w:pPr>
        <w:spacing w:after="20"/>
      </w:pPr>
    </w:p>
    <w:p>
      <w:pPr>
        <w:pStyle w:val="Heading2"/>
        <w:keepNext/>
      </w:pPr>
      <w:r>
        <w:t>24.4 Hotspot, Stampede, and Durability Operations</w:t>
      </w:r>
    </w:p>
    <w:p>
      <w:pPr>
        <w:spacing w:after="120"/>
      </w:pPr>
      <w:r>
        <w:rPr>
          <w:i w:val="0"/>
        </w:rPr>
        <w:t>Bigtable hotspots and cache stampedes are different manifestations of skew. Use key distribution, request coalescing, jittered TTLs, negative caching, bounded concurrency, and circuit breakers. Memorystore replicas and persistence complement each other: replicas address node/zonal failure; persistence addresses wider data-loss scenarios according to the selected product.</w:t>
      </w:r>
    </w:p>
    <w:p>
      <w:pPr>
        <w:pStyle w:val="CodeBlock"/>
        <w:keepLines/>
        <w:spacing w:after="120"/>
      </w:pPr>
      <w:r>
        <w:rPr>
          <w:rFonts w:ascii="Cascadia Mono" w:hAnsi="Cascadia Mono"/>
          <w:sz w:val="16"/>
        </w:rPr>
        <w:t>gcloud bigtable instances list</w:t>
        <w:br/>
        <w:t>gcloud bigtable clusters list --instances=telemetry</w:t>
        <w:br/>
        <w:t>gcloud redis clusters list --region=REGION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Bigtable latency rises on hottest node</w:t>
            </w:r>
          </w:p>
        </w:tc>
        <w:tc>
          <w:tcPr>
            <w:tcW w:type="dxa" w:w="2592"/>
            <w:tcMar>
              <w:top w:w="80" w:type="dxa"/>
              <w:start w:w="100" w:type="dxa"/>
              <w:bottom w:w="80" w:type="dxa"/>
              <w:end w:w="100" w:type="dxa"/>
            </w:tcMar>
            <w:vAlign w:val="top"/>
          </w:tcPr>
          <w:p>
            <w:pPr>
              <w:spacing w:after="0"/>
            </w:pPr>
            <w:r>
              <w:rPr>
                <w:sz w:val="16"/>
              </w:rPr>
              <w:t>Skewed row key or uneven workload</w:t>
            </w:r>
          </w:p>
        </w:tc>
        <w:tc>
          <w:tcPr>
            <w:tcW w:type="dxa" w:w="5328"/>
            <w:tcMar>
              <w:top w:w="80" w:type="dxa"/>
              <w:start w:w="100" w:type="dxa"/>
              <w:bottom w:w="80" w:type="dxa"/>
              <w:end w:w="100" w:type="dxa"/>
            </w:tcMar>
            <w:vAlign w:val="top"/>
          </w:tcPr>
          <w:p>
            <w:pPr>
              <w:spacing w:after="0"/>
            </w:pPr>
            <w:r>
              <w:rPr>
                <w:sz w:val="16"/>
              </w:rPr>
              <w:t>Inspect Key Visualizer/hottest-node metrics; redesign prefixes or split traffic.</w:t>
            </w:r>
          </w:p>
        </w:tc>
      </w:tr>
      <w:tr>
        <w:trPr>
          <w:cantSplit/>
        </w:trPr>
        <w:tc>
          <w:tcPr>
            <w:tcW w:type="dxa" w:w="2160"/>
            <w:tcMar>
              <w:top w:w="80" w:type="dxa"/>
              <w:start w:w="100" w:type="dxa"/>
              <w:bottom w:w="80" w:type="dxa"/>
              <w:end w:w="100" w:type="dxa"/>
            </w:tcMar>
            <w:vAlign w:val="top"/>
          </w:tcPr>
          <w:p>
            <w:pPr>
              <w:spacing w:after="0"/>
            </w:pPr>
            <w:r>
              <w:rPr>
                <w:sz w:val="16"/>
              </w:rPr>
              <w:t>Replication lag or failover overload</w:t>
            </w:r>
          </w:p>
        </w:tc>
        <w:tc>
          <w:tcPr>
            <w:tcW w:type="dxa" w:w="2592"/>
            <w:tcMar>
              <w:top w:w="80" w:type="dxa"/>
              <w:start w:w="100" w:type="dxa"/>
              <w:bottom w:w="80" w:type="dxa"/>
              <w:end w:w="100" w:type="dxa"/>
            </w:tcMar>
            <w:vAlign w:val="top"/>
          </w:tcPr>
          <w:p>
            <w:pPr>
              <w:spacing w:after="0"/>
            </w:pPr>
            <w:r>
              <w:rPr>
                <w:sz w:val="16"/>
              </w:rPr>
              <w:t>Clusters undersized for replication and surviving traffic</w:t>
            </w:r>
          </w:p>
        </w:tc>
        <w:tc>
          <w:tcPr>
            <w:tcW w:type="dxa" w:w="5328"/>
            <w:tcMar>
              <w:top w:w="80" w:type="dxa"/>
              <w:start w:w="100" w:type="dxa"/>
              <w:bottom w:w="80" w:type="dxa"/>
              <w:end w:w="100" w:type="dxa"/>
            </w:tcMar>
            <w:vAlign w:val="top"/>
          </w:tcPr>
          <w:p>
            <w:pPr>
              <w:spacing w:after="0"/>
            </w:pPr>
            <w:r>
              <w:rPr>
                <w:sz w:val="16"/>
              </w:rPr>
              <w:t>Scale each cluster for failure state and test app-profile routing.</w:t>
            </w:r>
          </w:p>
        </w:tc>
      </w:tr>
      <w:tr>
        <w:trPr>
          <w:cantSplit/>
        </w:trPr>
        <w:tc>
          <w:tcPr>
            <w:tcW w:type="dxa" w:w="2160"/>
            <w:tcMar>
              <w:top w:w="80" w:type="dxa"/>
              <w:start w:w="100" w:type="dxa"/>
              <w:bottom w:w="80" w:type="dxa"/>
              <w:end w:w="100" w:type="dxa"/>
            </w:tcMar>
            <w:vAlign w:val="top"/>
          </w:tcPr>
          <w:p>
            <w:pPr>
              <w:spacing w:after="0"/>
            </w:pPr>
            <w:r>
              <w:rPr>
                <w:sz w:val="16"/>
              </w:rPr>
              <w:t>Database load spikes when cache expires</w:t>
            </w:r>
          </w:p>
        </w:tc>
        <w:tc>
          <w:tcPr>
            <w:tcW w:type="dxa" w:w="2592"/>
            <w:tcMar>
              <w:top w:w="80" w:type="dxa"/>
              <w:start w:w="100" w:type="dxa"/>
              <w:bottom w:w="80" w:type="dxa"/>
              <w:end w:w="100" w:type="dxa"/>
            </w:tcMar>
            <w:vAlign w:val="top"/>
          </w:tcPr>
          <w:p>
            <w:pPr>
              <w:spacing w:after="0"/>
            </w:pPr>
            <w:r>
              <w:rPr>
                <w:sz w:val="16"/>
              </w:rPr>
              <w:t>Cache stampede or synchronized TTL</w:t>
            </w:r>
          </w:p>
        </w:tc>
        <w:tc>
          <w:tcPr>
            <w:tcW w:type="dxa" w:w="5328"/>
            <w:tcMar>
              <w:top w:w="80" w:type="dxa"/>
              <w:start w:w="100" w:type="dxa"/>
              <w:bottom w:w="80" w:type="dxa"/>
              <w:end w:w="100" w:type="dxa"/>
            </w:tcMar>
            <w:vAlign w:val="top"/>
          </w:tcPr>
          <w:p>
            <w:pPr>
              <w:spacing w:after="0"/>
            </w:pPr>
            <w:r>
              <w:rPr>
                <w:sz w:val="16"/>
              </w:rPr>
              <w:t>Add jitter, single-flight/request coalescing, stale-while-revalidate, and rate limits.</w:t>
            </w:r>
          </w:p>
        </w:tc>
      </w:tr>
      <w:tr>
        <w:trPr>
          <w:cantSplit/>
        </w:trPr>
        <w:tc>
          <w:tcPr>
            <w:tcW w:type="dxa" w:w="2160"/>
            <w:tcMar>
              <w:top w:w="80" w:type="dxa"/>
              <w:start w:w="100" w:type="dxa"/>
              <w:bottom w:w="80" w:type="dxa"/>
              <w:end w:w="100" w:type="dxa"/>
            </w:tcMar>
            <w:vAlign w:val="top"/>
          </w:tcPr>
          <w:p>
            <w:pPr>
              <w:spacing w:after="0"/>
            </w:pPr>
            <w:r>
              <w:rPr>
                <w:sz w:val="16"/>
              </w:rPr>
              <w:t>Cache memory remains high</w:t>
            </w:r>
          </w:p>
        </w:tc>
        <w:tc>
          <w:tcPr>
            <w:tcW w:type="dxa" w:w="2592"/>
            <w:tcMar>
              <w:top w:w="80" w:type="dxa"/>
              <w:start w:w="100" w:type="dxa"/>
              <w:bottom w:w="80" w:type="dxa"/>
              <w:end w:w="100" w:type="dxa"/>
            </w:tcMar>
            <w:vAlign w:val="top"/>
          </w:tcPr>
          <w:p>
            <w:pPr>
              <w:spacing w:after="0"/>
            </w:pPr>
            <w:r>
              <w:rPr>
                <w:sz w:val="16"/>
              </w:rPr>
              <w:t>Missing TTL, oversized values, fragmentation, or policy mismatch</w:t>
            </w:r>
          </w:p>
        </w:tc>
        <w:tc>
          <w:tcPr>
            <w:tcW w:type="dxa" w:w="5328"/>
            <w:tcMar>
              <w:top w:w="80" w:type="dxa"/>
              <w:start w:w="100" w:type="dxa"/>
              <w:bottom w:w="80" w:type="dxa"/>
              <w:end w:w="100" w:type="dxa"/>
            </w:tcMar>
            <w:vAlign w:val="top"/>
          </w:tcPr>
          <w:p>
            <w:pPr>
              <w:spacing w:after="0"/>
            </w:pPr>
            <w:r>
              <w:rPr>
                <w:sz w:val="16"/>
              </w:rPr>
              <w:t>Inspect memory/eviction metrics and key sampling; set TTLs, size limits, and correct eviction strategy.</w:t>
            </w:r>
          </w:p>
        </w:tc>
      </w:tr>
    </w:tbl>
    <w:p>
      <w:pPr>
        <w:spacing w:after="20"/>
      </w:pPr>
    </w:p>
    <w:p>
      <w:pPr>
        <w:pStyle w:val="Heading2"/>
        <w:keepNext/>
      </w:pPr>
      <w:r>
        <w:t>Hands-on Lab 24: Build a Time-Series Store with a Resilient Cache</w:t>
      </w:r>
    </w:p>
    <w:p>
      <w:pPr>
        <w:pStyle w:val="Heading3"/>
        <w:keepNext/>
      </w:pPr>
      <w:r>
        <w:t>Prerequisites</w:t>
      </w:r>
    </w:p>
    <w:p>
      <w:pPr>
        <w:pStyle w:val="ListBullet"/>
        <w:spacing w:after="60"/>
      </w:pPr>
      <w:r>
        <w:t>Bigtable and a small Memorystore learning instance where available, synthetic telemetry, and a private VPC.</w:t>
      </w:r>
    </w:p>
    <w:p>
      <w:pPr>
        <w:pStyle w:val="Heading3"/>
        <w:keepNext/>
      </w:pPr>
      <w:r>
        <w:t>Implementation</w:t>
      </w:r>
    </w:p>
    <w:p>
      <w:pPr>
        <w:spacing w:after="60"/>
        <w:ind w:left="360" w:hanging="259"/>
      </w:pPr>
      <w:r>
        <w:rPr>
          <w:b/>
        </w:rPr>
        <w:t xml:space="preserve">1. </w:t>
      </w:r>
      <w:r>
        <w:t>Design two candidate Bigtable row keys and explain scan and hotspot behavior.</w:t>
      </w:r>
    </w:p>
    <w:p>
      <w:pPr>
        <w:spacing w:after="60"/>
        <w:ind w:left="360" w:hanging="259"/>
      </w:pPr>
      <w:r>
        <w:rPr>
          <w:b/>
        </w:rPr>
        <w:t xml:space="preserve">2. </w:t>
      </w:r>
      <w:r>
        <w:t>Create a table with bounded column families and garbage-collection policies.</w:t>
      </w:r>
    </w:p>
    <w:p>
      <w:pPr>
        <w:spacing w:after="60"/>
        <w:ind w:left="360" w:hanging="259"/>
      </w:pPr>
      <w:r>
        <w:rPr>
          <w:b/>
        </w:rPr>
        <w:t xml:space="preserve">3. </w:t>
      </w:r>
      <w:r>
        <w:t>Load synthetic telemetry and run point and range reads through an application profile.</w:t>
      </w:r>
    </w:p>
    <w:p>
      <w:pPr>
        <w:spacing w:after="60"/>
        <w:ind w:left="360" w:hanging="259"/>
      </w:pPr>
      <w:r>
        <w:rPr>
          <w:b/>
        </w:rPr>
        <w:t xml:space="preserve">4. </w:t>
      </w:r>
      <w:r>
        <w:t>Enable autoscaling or document the capacity envelope; capture hottest-node and latency evidence.</w:t>
      </w:r>
    </w:p>
    <w:p>
      <w:pPr>
        <w:spacing w:after="60"/>
        <w:ind w:left="360" w:hanging="259"/>
      </w:pPr>
      <w:r>
        <w:rPr>
          <w:b/>
        </w:rPr>
        <w:t xml:space="preserve">5. </w:t>
      </w:r>
      <w:r>
        <w:t>Implement cache-aside reads in Memorystore with jittered TTL and negative caching.</w:t>
      </w:r>
    </w:p>
    <w:p>
      <w:pPr>
        <w:spacing w:after="60"/>
        <w:ind w:left="360" w:hanging="259"/>
      </w:pPr>
      <w:r>
        <w:rPr>
          <w:b/>
        </w:rPr>
        <w:t xml:space="preserve">6. </w:t>
      </w:r>
      <w:r>
        <w:t>Simulate cache loss and confirm the application falls back safely without overwhelming Bigtable.</w:t>
      </w:r>
    </w:p>
    <w:p>
      <w:pPr>
        <w:spacing w:after="60"/>
        <w:ind w:left="360" w:hanging="259"/>
      </w:pPr>
      <w:r>
        <w:rPr>
          <w:b/>
        </w:rPr>
        <w:t xml:space="preserve">7. </w:t>
      </w:r>
      <w:r>
        <w:t>Create a Bigtable backup and document cache persistence/HA decisions separately.</w:t>
      </w:r>
    </w:p>
    <w:p>
      <w:pPr>
        <w:pStyle w:val="Heading3"/>
        <w:keepNext/>
      </w:pPr>
      <w:r>
        <w:t>Validation Evidence</w:t>
      </w:r>
    </w:p>
    <w:p>
      <w:pPr>
        <w:pStyle w:val="ListBullet"/>
        <w:spacing w:after="60"/>
      </w:pPr>
      <w:r>
        <w:t>The selected row key supports the required scan and distributes load.</w:t>
      </w:r>
    </w:p>
    <w:p>
      <w:pPr>
        <w:pStyle w:val="ListBullet"/>
        <w:spacing w:after="60"/>
      </w:pPr>
      <w:r>
        <w:t>GC policies and backup protect retention/recovery objectives.</w:t>
      </w:r>
    </w:p>
    <w:p>
      <w:pPr>
        <w:pStyle w:val="ListBullet"/>
        <w:spacing w:after="60"/>
      </w:pPr>
      <w:r>
        <w:t>Cache hit ratio and fallback behavior are measured.</w:t>
      </w:r>
    </w:p>
    <w:p>
      <w:pPr>
        <w:pStyle w:val="ListBullet"/>
        <w:spacing w:after="60"/>
      </w:pPr>
      <w:r>
        <w:t>Cache failure does not corrupt authoritative data.</w:t>
      </w:r>
    </w:p>
    <w:p>
      <w:pPr>
        <w:pStyle w:val="Heading3"/>
        <w:keepNext/>
      </w:pPr>
      <w:r>
        <w:t>Cleanup</w:t>
      </w:r>
    </w:p>
    <w:p>
      <w:pPr>
        <w:pStyle w:val="ListBullet"/>
        <w:spacing w:after="60"/>
      </w:pPr>
      <w:r>
        <w:t>Delete Bigtable tables, backups, clusters/instances, Memorystore resources, and test networking.</w:t>
      </w:r>
    </w:p>
    <w:p>
      <w:pPr>
        <w:pStyle w:val="Heading2"/>
        <w:keepNext/>
      </w:pPr>
      <w:r>
        <w:t>Interview Questions and Model Answers</w:t>
      </w:r>
    </w:p>
    <w:p>
      <w:pPr>
        <w:spacing w:after="40"/>
      </w:pPr>
      <w:r>
        <w:rPr>
          <w:b/>
        </w:rPr>
        <w:t>1. Why is Bigtable row-key design critical?</w:t>
      </w:r>
    </w:p>
    <w:p>
      <w:pPr>
        <w:spacing w:after="120"/>
        <w:ind w:left="216"/>
      </w:pPr>
      <w:r>
        <w:t>Rows are ordered by key, so the key controls data locality, scan efficiency, and whether traffic hotspots.</w:t>
      </w:r>
    </w:p>
    <w:p>
      <w:pPr>
        <w:spacing w:after="40"/>
      </w:pPr>
      <w:r>
        <w:rPr>
          <w:b/>
        </w:rPr>
        <w:t>2. Does Bigtable replication replace backups?</w:t>
      </w:r>
    </w:p>
    <w:p>
      <w:pPr>
        <w:spacing w:after="120"/>
        <w:ind w:left="216"/>
      </w:pPr>
      <w:r>
        <w:t>No. Replication improves availability but can replicate logical mistakes; backups provide recovery points.</w:t>
      </w:r>
    </w:p>
    <w:p>
      <w:pPr>
        <w:spacing w:after="40"/>
      </w:pPr>
      <w:r>
        <w:rPr>
          <w:b/>
        </w:rPr>
        <w:t>3. What is a cache stampede?</w:t>
      </w:r>
    </w:p>
    <w:p>
      <w:pPr>
        <w:spacing w:after="120"/>
        <w:ind w:left="216"/>
      </w:pPr>
      <w:r>
        <w:t>Many clients simultaneously miss or expire the same key and overload the source of truth.</w:t>
      </w:r>
    </w:p>
    <w:p>
      <w:pPr>
        <w:spacing w:after="40"/>
      </w:pPr>
      <w:r>
        <w:rPr>
          <w:b/>
        </w:rPr>
        <w:t>4. Why evaluate Valkey for new Memorystore designs?</w:t>
      </w:r>
    </w:p>
    <w:p>
      <w:pPr>
        <w:spacing w:after="120"/>
        <w:ind w:left="216"/>
      </w:pPr>
      <w:r>
        <w:t>Google Cloud now offers a managed Valkey service, so lifecycle, compatibility, features, and operational requirements should be compared rather than assuming one cache product.</w:t>
      </w:r>
    </w:p>
    <w:p>
      <w:pPr>
        <w:pStyle w:val="Heading2"/>
        <w:keepNext/>
      </w:pPr>
      <w:r>
        <w:t>Chapter Summary</w:t>
      </w:r>
    </w:p>
    <w:p>
      <w:pPr>
        <w:pStyle w:val="ListBullet"/>
        <w:spacing w:after="60"/>
      </w:pPr>
      <w:r>
        <w:t>Bigtable scales key-range workloads when row keys distribute traffic.</w:t>
      </w:r>
    </w:p>
    <w:p>
      <w:pPr>
        <w:pStyle w:val="ListBullet"/>
        <w:spacing w:after="60"/>
      </w:pPr>
      <w:r>
        <w:t>Replication, app profiles, capacity, and backup are separate controls.</w:t>
      </w:r>
    </w:p>
    <w:p>
      <w:pPr>
        <w:pStyle w:val="ListBullet"/>
        <w:spacing w:after="60"/>
      </w:pPr>
      <w:r>
        <w:t>Caches require explicit miss, expiry, eviction, and failure behavior.</w:t>
      </w:r>
    </w:p>
    <w:p>
      <w:pPr>
        <w:pStyle w:val="ListBullet"/>
        <w:spacing w:after="60"/>
      </w:pPr>
      <w:r>
        <w:t>Measure hotspots and hit ratio before adding capacity.</w:t>
      </w:r>
    </w:p>
    <w:p>
      <w:pPr>
        <w:pStyle w:val="Heading1"/>
        <w:keepNext/>
        <w:pageBreakBefore/>
      </w:pPr>
      <w:r>
        <w:t>Chapter 25 - BigQuery Analytics and Workload Engineering</w:t>
      </w:r>
    </w:p>
    <w:p>
      <w:pPr>
        <w:spacing w:after="120"/>
      </w:pPr>
      <w:r>
        <w:rPr>
          <w:i/>
          <w:color w:val="505050"/>
        </w:rPr>
        <w:t>Building governed analytical systems with predictable performance and cost</w:t>
      </w:r>
    </w:p>
    <w:p>
      <w:pPr>
        <w:pStyle w:val="Heading2"/>
        <w:keepNext/>
      </w:pPr>
      <w:r>
        <w:t>Learning Objectives</w:t>
      </w:r>
    </w:p>
    <w:p>
      <w:pPr>
        <w:pStyle w:val="ListBullet"/>
        <w:spacing w:after="60"/>
      </w:pPr>
      <w:r>
        <w:t>Explain BigQuery storage, jobs, locations, slots, reservations, editions, and on-demand pricing.</w:t>
      </w:r>
    </w:p>
    <w:p>
      <w:pPr>
        <w:pStyle w:val="ListBullet"/>
        <w:spacing w:after="60"/>
      </w:pPr>
      <w:r>
        <w:t>Design tables with partitioning, clustering, and lifecycle controls.</w:t>
      </w:r>
    </w:p>
    <w:p>
      <w:pPr>
        <w:pStyle w:val="ListBullet"/>
        <w:spacing w:after="60"/>
      </w:pPr>
      <w:r>
        <w:t>Engineer query performance, workload isolation, governance, and reliability.</w:t>
      </w:r>
    </w:p>
    <w:p>
      <w:pPr>
        <w:pStyle w:val="ListBullet"/>
        <w:spacing w:after="60"/>
      </w:pPr>
      <w:r>
        <w:t>Use BigQuery as an AI-ready analytical foundation without exposing uncontrolled data.</w:t>
      </w:r>
    </w:p>
    <w:p>
      <w:pPr>
        <w:pStyle w:val="Heading2"/>
        <w:keepNext/>
      </w:pPr>
      <w:r>
        <w:t>25.1 Serverless Analytics Architecture</w:t>
      </w:r>
    </w:p>
    <w:p>
      <w:pPr>
        <w:spacing w:after="120"/>
      </w:pPr>
      <w:r>
        <w:rPr>
          <w:i w:val="0"/>
        </w:rPr>
        <w:t>BigQuery separates durable analytical storage from distributed query compute. Users submit jobs to load, export, query, copy, transform, or manage data. Dataset location is an architectural boundary because jobs and connected services must respect location compatibility. Cost can be based on bytes processed or capacity reservations, depending on the operating model.</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592"/>
            <w:shd w:fill="1A73E8"/>
            <w:tcMar>
              <w:top w:w="80" w:type="dxa"/>
              <w:start w:w="100" w:type="dxa"/>
              <w:bottom w:w="80" w:type="dxa"/>
              <w:end w:w="100" w:type="dxa"/>
            </w:tcMar>
            <w:vAlign w:val="center"/>
          </w:tcPr>
          <w:p>
            <w:pPr>
              <w:jc w:val="center"/>
            </w:pPr>
            <w:r>
              <w:rPr>
                <w:b/>
                <w:color w:val="FFFFFF"/>
                <w:sz w:val="16"/>
              </w:rPr>
              <w:t>Pricing/Capacity Model</w:t>
            </w:r>
          </w:p>
        </w:tc>
        <w:tc>
          <w:tcPr>
            <w:tcW w:type="dxa" w:w="3600"/>
            <w:shd w:fill="1A73E8"/>
            <w:tcMar>
              <w:top w:w="80" w:type="dxa"/>
              <w:start w:w="100" w:type="dxa"/>
              <w:bottom w:w="80" w:type="dxa"/>
              <w:end w:w="100" w:type="dxa"/>
            </w:tcMar>
            <w:vAlign w:val="center"/>
          </w:tcPr>
          <w:p>
            <w:pPr>
              <w:jc w:val="center"/>
            </w:pPr>
            <w:r>
              <w:rPr>
                <w:b/>
                <w:color w:val="FFFFFF"/>
                <w:sz w:val="16"/>
              </w:rPr>
              <w:t>Best Fit</w:t>
            </w:r>
          </w:p>
        </w:tc>
        <w:tc>
          <w:tcPr>
            <w:tcW w:type="dxa" w:w="3456"/>
            <w:shd w:fill="1A73E8"/>
            <w:tcMar>
              <w:top w:w="80" w:type="dxa"/>
              <w:start w:w="100" w:type="dxa"/>
              <w:bottom w:w="80" w:type="dxa"/>
              <w:end w:w="100" w:type="dxa"/>
            </w:tcMar>
            <w:vAlign w:val="center"/>
          </w:tcPr>
          <w:p>
            <w:pPr>
              <w:jc w:val="center"/>
            </w:pPr>
            <w:r>
              <w:rPr>
                <w:b/>
                <w:color w:val="FFFFFF"/>
                <w:sz w:val="16"/>
              </w:rPr>
              <w:t>Control</w:t>
            </w:r>
          </w:p>
        </w:tc>
      </w:tr>
      <w:tr>
        <w:trPr>
          <w:cantSplit/>
        </w:trPr>
        <w:tc>
          <w:tcPr>
            <w:tcW w:type="dxa" w:w="2592"/>
            <w:tcMar>
              <w:top w:w="80" w:type="dxa"/>
              <w:start w:w="100" w:type="dxa"/>
              <w:bottom w:w="80" w:type="dxa"/>
              <w:end w:w="100" w:type="dxa"/>
            </w:tcMar>
            <w:vAlign w:val="top"/>
          </w:tcPr>
          <w:p>
            <w:pPr>
              <w:spacing w:after="0"/>
            </w:pPr>
            <w:r>
              <w:rPr>
                <w:sz w:val="16"/>
              </w:rPr>
              <w:t>On-demand analysis</w:t>
            </w:r>
          </w:p>
        </w:tc>
        <w:tc>
          <w:tcPr>
            <w:tcW w:type="dxa" w:w="3600"/>
            <w:tcMar>
              <w:top w:w="80" w:type="dxa"/>
              <w:start w:w="100" w:type="dxa"/>
              <w:bottom w:w="80" w:type="dxa"/>
              <w:end w:w="100" w:type="dxa"/>
            </w:tcMar>
            <w:vAlign w:val="top"/>
          </w:tcPr>
          <w:p>
            <w:pPr>
              <w:spacing w:after="0"/>
            </w:pPr>
            <w:r>
              <w:rPr>
                <w:sz w:val="16"/>
              </w:rPr>
              <w:t>Variable or exploratory workloads</w:t>
            </w:r>
          </w:p>
        </w:tc>
        <w:tc>
          <w:tcPr>
            <w:tcW w:type="dxa" w:w="3456"/>
            <w:tcMar>
              <w:top w:w="80" w:type="dxa"/>
              <w:start w:w="100" w:type="dxa"/>
              <w:bottom w:w="80" w:type="dxa"/>
              <w:end w:w="100" w:type="dxa"/>
            </w:tcMar>
            <w:vAlign w:val="top"/>
          </w:tcPr>
          <w:p>
            <w:pPr>
              <w:spacing w:after="0"/>
            </w:pPr>
            <w:r>
              <w:rPr>
                <w:sz w:val="16"/>
              </w:rPr>
              <w:t>Maximum bytes billed, partition filters, dry runs, budgets</w:t>
            </w:r>
          </w:p>
        </w:tc>
      </w:tr>
      <w:tr>
        <w:trPr>
          <w:cantSplit/>
        </w:trPr>
        <w:tc>
          <w:tcPr>
            <w:tcW w:type="dxa" w:w="2592"/>
            <w:tcMar>
              <w:top w:w="80" w:type="dxa"/>
              <w:start w:w="100" w:type="dxa"/>
              <w:bottom w:w="80" w:type="dxa"/>
              <w:end w:w="100" w:type="dxa"/>
            </w:tcMar>
            <w:vAlign w:val="top"/>
          </w:tcPr>
          <w:p>
            <w:pPr>
              <w:spacing w:after="0"/>
            </w:pPr>
            <w:r>
              <w:rPr>
                <w:sz w:val="16"/>
              </w:rPr>
              <w:t>Reservations and editions</w:t>
            </w:r>
          </w:p>
        </w:tc>
        <w:tc>
          <w:tcPr>
            <w:tcW w:type="dxa" w:w="3600"/>
            <w:tcMar>
              <w:top w:w="80" w:type="dxa"/>
              <w:start w:w="100" w:type="dxa"/>
              <w:bottom w:w="80" w:type="dxa"/>
              <w:end w:w="100" w:type="dxa"/>
            </w:tcMar>
            <w:vAlign w:val="top"/>
          </w:tcPr>
          <w:p>
            <w:pPr>
              <w:spacing w:after="0"/>
            </w:pPr>
            <w:r>
              <w:rPr>
                <w:sz w:val="16"/>
              </w:rPr>
              <w:t>Steady or isolated enterprise workloads</w:t>
            </w:r>
          </w:p>
        </w:tc>
        <w:tc>
          <w:tcPr>
            <w:tcW w:type="dxa" w:w="3456"/>
            <w:tcMar>
              <w:top w:w="80" w:type="dxa"/>
              <w:start w:w="100" w:type="dxa"/>
              <w:bottom w:w="80" w:type="dxa"/>
              <w:end w:w="100" w:type="dxa"/>
            </w:tcMar>
            <w:vAlign w:val="top"/>
          </w:tcPr>
          <w:p>
            <w:pPr>
              <w:spacing w:after="0"/>
            </w:pPr>
            <w:r>
              <w:rPr>
                <w:sz w:val="16"/>
              </w:rPr>
              <w:t>Assignments, baseline/autoscale slots, commitments</w:t>
            </w:r>
          </w:p>
        </w:tc>
      </w:tr>
      <w:tr>
        <w:trPr>
          <w:cantSplit/>
        </w:trPr>
        <w:tc>
          <w:tcPr>
            <w:tcW w:type="dxa" w:w="2592"/>
            <w:tcMar>
              <w:top w:w="80" w:type="dxa"/>
              <w:start w:w="100" w:type="dxa"/>
              <w:bottom w:w="80" w:type="dxa"/>
              <w:end w:w="100" w:type="dxa"/>
            </w:tcMar>
            <w:vAlign w:val="top"/>
          </w:tcPr>
          <w:p>
            <w:pPr>
              <w:spacing w:after="0"/>
            </w:pPr>
            <w:r>
              <w:rPr>
                <w:sz w:val="16"/>
              </w:rPr>
              <w:t>BI Engine/accelerators</w:t>
            </w:r>
          </w:p>
        </w:tc>
        <w:tc>
          <w:tcPr>
            <w:tcW w:type="dxa" w:w="3600"/>
            <w:tcMar>
              <w:top w:w="80" w:type="dxa"/>
              <w:start w:w="100" w:type="dxa"/>
              <w:bottom w:w="80" w:type="dxa"/>
              <w:end w:w="100" w:type="dxa"/>
            </w:tcMar>
            <w:vAlign w:val="top"/>
          </w:tcPr>
          <w:p>
            <w:pPr>
              <w:spacing w:after="0"/>
            </w:pPr>
            <w:r>
              <w:rPr>
                <w:sz w:val="16"/>
              </w:rPr>
              <w:t>Interactive dashboards</w:t>
            </w:r>
          </w:p>
        </w:tc>
        <w:tc>
          <w:tcPr>
            <w:tcW w:type="dxa" w:w="3456"/>
            <w:tcMar>
              <w:top w:w="80" w:type="dxa"/>
              <w:start w:w="100" w:type="dxa"/>
              <w:bottom w:w="80" w:type="dxa"/>
              <w:end w:w="100" w:type="dxa"/>
            </w:tcMar>
            <w:vAlign w:val="top"/>
          </w:tcPr>
          <w:p>
            <w:pPr>
              <w:spacing w:after="0"/>
            </w:pPr>
            <w:r>
              <w:rPr>
                <w:sz w:val="16"/>
              </w:rPr>
              <w:t>Capacity sizing and cache effectiveness</w:t>
            </w:r>
          </w:p>
        </w:tc>
      </w:tr>
      <w:tr>
        <w:trPr>
          <w:cantSplit/>
        </w:trPr>
        <w:tc>
          <w:tcPr>
            <w:tcW w:type="dxa" w:w="2592"/>
            <w:tcMar>
              <w:top w:w="80" w:type="dxa"/>
              <w:start w:w="100" w:type="dxa"/>
              <w:bottom w:w="80" w:type="dxa"/>
              <w:end w:w="100" w:type="dxa"/>
            </w:tcMar>
            <w:vAlign w:val="top"/>
          </w:tcPr>
          <w:p>
            <w:pPr>
              <w:spacing w:after="0"/>
            </w:pPr>
            <w:r>
              <w:rPr>
                <w:sz w:val="16"/>
              </w:rPr>
              <w:t>External/BigLake tables</w:t>
            </w:r>
          </w:p>
        </w:tc>
        <w:tc>
          <w:tcPr>
            <w:tcW w:type="dxa" w:w="3600"/>
            <w:tcMar>
              <w:top w:w="80" w:type="dxa"/>
              <w:start w:w="100" w:type="dxa"/>
              <w:bottom w:w="80" w:type="dxa"/>
              <w:end w:w="100" w:type="dxa"/>
            </w:tcMar>
            <w:vAlign w:val="top"/>
          </w:tcPr>
          <w:p>
            <w:pPr>
              <w:spacing w:after="0"/>
            </w:pPr>
            <w:r>
              <w:rPr>
                <w:sz w:val="16"/>
              </w:rPr>
              <w:t>Open data in object storage</w:t>
            </w:r>
          </w:p>
        </w:tc>
        <w:tc>
          <w:tcPr>
            <w:tcW w:type="dxa" w:w="3456"/>
            <w:tcMar>
              <w:top w:w="80" w:type="dxa"/>
              <w:start w:w="100" w:type="dxa"/>
              <w:bottom w:w="80" w:type="dxa"/>
              <w:end w:w="100" w:type="dxa"/>
            </w:tcMar>
            <w:vAlign w:val="top"/>
          </w:tcPr>
          <w:p>
            <w:pPr>
              <w:spacing w:after="0"/>
            </w:pPr>
            <w:r>
              <w:rPr>
                <w:sz w:val="16"/>
              </w:rPr>
              <w:t>Metadata, file layout, governance, and scan cost</w:t>
            </w:r>
          </w:p>
        </w:tc>
      </w:tr>
    </w:tbl>
    <w:p>
      <w:pPr>
        <w:spacing w:after="20"/>
      </w:pPr>
    </w:p>
    <w:p>
      <w:pPr>
        <w:pStyle w:val="Heading2"/>
        <w:keepNext/>
      </w:pPr>
      <w:r>
        <w:t>25.2 Table Design and Data Lifecycle</w:t>
      </w:r>
    </w:p>
    <w:p>
      <w:pPr>
        <w:spacing w:after="120"/>
      </w:pPr>
      <w:r>
        <w:rPr>
          <w:i w:val="0"/>
        </w:rPr>
        <w:t>Partition by a column that appears in real filters, usually event or ingestion time. Cluster on columns that improve block pruning for repeated predicates. Avoid creating thousands of tiny tables as a substitute for partitioning. Define expiration, retention, and legal-hold behavior at dataset and table levels.</w:t>
      </w:r>
    </w:p>
    <w:p>
      <w:pPr>
        <w:pStyle w:val="ListBullet"/>
        <w:spacing w:after="60"/>
      </w:pPr>
      <w:r>
        <w:t>Require partition filters for large fact tables where practical.</w:t>
      </w:r>
    </w:p>
    <w:p>
      <w:pPr>
        <w:pStyle w:val="ListBullet"/>
        <w:spacing w:after="60"/>
      </w:pPr>
      <w:r>
        <w:t>Use appropriate data types and nested/repeated fields rather than serializing everything as strings.</w:t>
      </w:r>
    </w:p>
    <w:p>
      <w:pPr>
        <w:pStyle w:val="ListBullet"/>
        <w:spacing w:after="60"/>
      </w:pPr>
      <w:r>
        <w:t>Keep raw, curated, and serving layers with explicit ownership and contracts.</w:t>
      </w:r>
    </w:p>
    <w:p>
      <w:pPr>
        <w:pStyle w:val="ListBullet"/>
        <w:spacing w:after="60"/>
      </w:pPr>
      <w:r>
        <w:t>Use snapshots/clones/copies deliberately for testing and recovery, not as unmanaged duplication.</w:t>
      </w:r>
    </w:p>
    <w:p>
      <w:pPr>
        <w:pStyle w:val="Heading2"/>
        <w:keepNext/>
      </w:pPr>
      <w:r>
        <w:t>25.3 Query Performance and Workload Isolation</w:t>
      </w:r>
    </w:p>
    <w:p>
      <w:pPr>
        <w:spacing w:after="120"/>
      </w:pPr>
      <w:r>
        <w:rPr>
          <w:i w:val="0"/>
        </w:rPr>
        <w:t>Query plans reveal stages, shuffle, skew, and slot consumption. Reduce scanned data, filter early, aggregate before large joins, avoid repeated transformations, and materialize stable intermediate results when justified. Reservations can isolate production, development, ETL, and data-science workloads while allowing controlled idle-slot sharing.</w:t>
      </w:r>
    </w:p>
    <w:p>
      <w:pPr>
        <w:pStyle w:val="CodeBlock"/>
        <w:keepLines/>
        <w:spacing w:after="120"/>
      </w:pPr>
      <w:r>
        <w:rPr>
          <w:rFonts w:ascii="Cascadia Mono" w:hAnsi="Cascadia Mono"/>
          <w:sz w:val="16"/>
        </w:rPr>
        <w:t>bq query --use_legacy_sql=false --dry_run \</w:t>
        <w:br/>
        <w:t xml:space="preserve">  'SELECT customer_id, SUM(amount) FROM `PROJECT.sales.orders` WHERE order_date &gt;= DATE_SUB(CURRENT_DATE(), INTERVAL 30 DAY) GROUP BY customer_id'</w:t>
        <w:br/>
        <w:br/>
        <w:t>bq show --format=prettyjson PROJECT:sales.orders</w:t>
      </w:r>
    </w:p>
    <w:p>
      <w:pPr>
        <w:pStyle w:val="Heading2"/>
        <w:keepNext/>
      </w:pPr>
      <w:r>
        <w:t>25.4 Governance, Sharing, ML, and AI Readiness</w:t>
      </w:r>
    </w:p>
    <w:p>
      <w:pPr>
        <w:spacing w:after="120"/>
      </w:pPr>
      <w:r>
        <w:rPr>
          <w:i w:val="0"/>
        </w:rPr>
        <w:t>Use dataset/table IAM, authorized views and routines, row-level security, column-level policy tags, data masking, audit logs, and service perimeters according to classification. BigQuery ML and vector/search capabilities can bring model work near governed data, but training and retrieval datasets still require consent, quality, lineage, evaluation, and leakage controls.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168"/>
            <w:shd w:fill="1A73E8"/>
            <w:tcMar>
              <w:top w:w="80" w:type="dxa"/>
              <w:start w:w="100" w:type="dxa"/>
              <w:bottom w:w="80" w:type="dxa"/>
              <w:end w:w="100" w:type="dxa"/>
            </w:tcMar>
            <w:vAlign w:val="center"/>
          </w:tcPr>
          <w:p>
            <w:pPr>
              <w:jc w:val="center"/>
            </w:pPr>
            <w:r>
              <w:rPr>
                <w:b/>
                <w:color w:val="FFFFFF"/>
                <w:sz w:val="16"/>
              </w:rPr>
              <w:t>AI-Ready Control</w:t>
            </w:r>
          </w:p>
        </w:tc>
        <w:tc>
          <w:tcPr>
            <w:tcW w:type="dxa" w:w="6624"/>
            <w:shd w:fill="1A73E8"/>
            <w:tcMar>
              <w:top w:w="80" w:type="dxa"/>
              <w:start w:w="100" w:type="dxa"/>
              <w:bottom w:w="80" w:type="dxa"/>
              <w:end w:w="100" w:type="dxa"/>
            </w:tcMar>
            <w:vAlign w:val="center"/>
          </w:tcPr>
          <w:p>
            <w:pPr>
              <w:jc w:val="center"/>
            </w:pPr>
            <w:r>
              <w:rPr>
                <w:b/>
                <w:color w:val="FFFFFF"/>
                <w:sz w:val="16"/>
              </w:rPr>
              <w:t>Evidence</w:t>
            </w:r>
          </w:p>
        </w:tc>
      </w:tr>
      <w:tr>
        <w:trPr>
          <w:cantSplit/>
        </w:trPr>
        <w:tc>
          <w:tcPr>
            <w:tcW w:type="dxa" w:w="3168"/>
            <w:tcMar>
              <w:top w:w="80" w:type="dxa"/>
              <w:start w:w="100" w:type="dxa"/>
              <w:bottom w:w="80" w:type="dxa"/>
              <w:end w:w="100" w:type="dxa"/>
            </w:tcMar>
            <w:vAlign w:val="top"/>
          </w:tcPr>
          <w:p>
            <w:pPr>
              <w:spacing w:after="0"/>
            </w:pPr>
            <w:r>
              <w:rPr>
                <w:sz w:val="16"/>
              </w:rPr>
              <w:t>Data contract and quality</w:t>
            </w:r>
          </w:p>
        </w:tc>
        <w:tc>
          <w:tcPr>
            <w:tcW w:type="dxa" w:w="6624"/>
            <w:tcMar>
              <w:top w:w="80" w:type="dxa"/>
              <w:start w:w="100" w:type="dxa"/>
              <w:bottom w:w="80" w:type="dxa"/>
              <w:end w:w="100" w:type="dxa"/>
            </w:tcMar>
            <w:vAlign w:val="top"/>
          </w:tcPr>
          <w:p>
            <w:pPr>
              <w:spacing w:after="0"/>
            </w:pPr>
            <w:r>
              <w:rPr>
                <w:sz w:val="16"/>
              </w:rPr>
              <w:t>Freshness, completeness, uniqueness, validity, drift metrics</w:t>
            </w:r>
          </w:p>
        </w:tc>
      </w:tr>
      <w:tr>
        <w:trPr>
          <w:cantSplit/>
        </w:trPr>
        <w:tc>
          <w:tcPr>
            <w:tcW w:type="dxa" w:w="3168"/>
            <w:tcMar>
              <w:top w:w="80" w:type="dxa"/>
              <w:start w:w="100" w:type="dxa"/>
              <w:bottom w:w="80" w:type="dxa"/>
              <w:end w:w="100" w:type="dxa"/>
            </w:tcMar>
            <w:vAlign w:val="top"/>
          </w:tcPr>
          <w:p>
            <w:pPr>
              <w:spacing w:after="0"/>
            </w:pPr>
            <w:r>
              <w:rPr>
                <w:sz w:val="16"/>
              </w:rPr>
              <w:t>Lineage and provenance</w:t>
            </w:r>
          </w:p>
        </w:tc>
        <w:tc>
          <w:tcPr>
            <w:tcW w:type="dxa" w:w="6624"/>
            <w:tcMar>
              <w:top w:w="80" w:type="dxa"/>
              <w:start w:w="100" w:type="dxa"/>
              <w:bottom w:w="80" w:type="dxa"/>
              <w:end w:w="100" w:type="dxa"/>
            </w:tcMar>
            <w:vAlign w:val="top"/>
          </w:tcPr>
          <w:p>
            <w:pPr>
              <w:spacing w:after="0"/>
            </w:pPr>
            <w:r>
              <w:rPr>
                <w:sz w:val="16"/>
              </w:rPr>
              <w:t>Source, transformations, model/retrieval usage, owner</w:t>
            </w:r>
          </w:p>
        </w:tc>
      </w:tr>
      <w:tr>
        <w:trPr>
          <w:cantSplit/>
        </w:trPr>
        <w:tc>
          <w:tcPr>
            <w:tcW w:type="dxa" w:w="3168"/>
            <w:tcMar>
              <w:top w:w="80" w:type="dxa"/>
              <w:start w:w="100" w:type="dxa"/>
              <w:bottom w:w="80" w:type="dxa"/>
              <w:end w:w="100" w:type="dxa"/>
            </w:tcMar>
            <w:vAlign w:val="top"/>
          </w:tcPr>
          <w:p>
            <w:pPr>
              <w:spacing w:after="0"/>
            </w:pPr>
            <w:r>
              <w:rPr>
                <w:sz w:val="16"/>
              </w:rPr>
              <w:t>Sensitive-data protection</w:t>
            </w:r>
          </w:p>
        </w:tc>
        <w:tc>
          <w:tcPr>
            <w:tcW w:type="dxa" w:w="6624"/>
            <w:tcMar>
              <w:top w:w="80" w:type="dxa"/>
              <w:start w:w="100" w:type="dxa"/>
              <w:bottom w:w="80" w:type="dxa"/>
              <w:end w:w="100" w:type="dxa"/>
            </w:tcMar>
            <w:vAlign w:val="top"/>
          </w:tcPr>
          <w:p>
            <w:pPr>
              <w:spacing w:after="0"/>
            </w:pPr>
            <w:r>
              <w:rPr>
                <w:sz w:val="16"/>
              </w:rPr>
              <w:t>Policy tags, masking, row restrictions, approved service perimeter</w:t>
            </w:r>
          </w:p>
        </w:tc>
      </w:tr>
      <w:tr>
        <w:trPr>
          <w:cantSplit/>
        </w:trPr>
        <w:tc>
          <w:tcPr>
            <w:tcW w:type="dxa" w:w="3168"/>
            <w:tcMar>
              <w:top w:w="80" w:type="dxa"/>
              <w:start w:w="100" w:type="dxa"/>
              <w:bottom w:w="80" w:type="dxa"/>
              <w:end w:w="100" w:type="dxa"/>
            </w:tcMar>
            <w:vAlign w:val="top"/>
          </w:tcPr>
          <w:p>
            <w:pPr>
              <w:spacing w:after="0"/>
            </w:pPr>
            <w:r>
              <w:rPr>
                <w:sz w:val="16"/>
              </w:rPr>
              <w:t>Cost isolation</w:t>
            </w:r>
          </w:p>
        </w:tc>
        <w:tc>
          <w:tcPr>
            <w:tcW w:type="dxa" w:w="6624"/>
            <w:tcMar>
              <w:top w:w="80" w:type="dxa"/>
              <w:start w:w="100" w:type="dxa"/>
              <w:bottom w:w="80" w:type="dxa"/>
              <w:end w:w="100" w:type="dxa"/>
            </w:tcMar>
            <w:vAlign w:val="top"/>
          </w:tcPr>
          <w:p>
            <w:pPr>
              <w:spacing w:after="0"/>
            </w:pPr>
            <w:r>
              <w:rPr>
                <w:sz w:val="16"/>
              </w:rPr>
              <w:t>Reservation/assignment, labels, quotas, bytes limits</w:t>
            </w:r>
          </w:p>
        </w:tc>
      </w:tr>
      <w:tr>
        <w:trPr>
          <w:cantSplit/>
        </w:trPr>
        <w:tc>
          <w:tcPr>
            <w:tcW w:type="dxa" w:w="3168"/>
            <w:tcMar>
              <w:top w:w="80" w:type="dxa"/>
              <w:start w:w="100" w:type="dxa"/>
              <w:bottom w:w="80" w:type="dxa"/>
              <w:end w:w="100" w:type="dxa"/>
            </w:tcMar>
            <w:vAlign w:val="top"/>
          </w:tcPr>
          <w:p>
            <w:pPr>
              <w:spacing w:after="0"/>
            </w:pPr>
            <w:r>
              <w:rPr>
                <w:sz w:val="16"/>
              </w:rPr>
              <w:t>Reproducibility</w:t>
            </w:r>
          </w:p>
        </w:tc>
        <w:tc>
          <w:tcPr>
            <w:tcW w:type="dxa" w:w="6624"/>
            <w:tcMar>
              <w:top w:w="80" w:type="dxa"/>
              <w:start w:w="100" w:type="dxa"/>
              <w:bottom w:w="80" w:type="dxa"/>
              <w:end w:w="100" w:type="dxa"/>
            </w:tcMar>
            <w:vAlign w:val="top"/>
          </w:tcPr>
          <w:p>
            <w:pPr>
              <w:spacing w:after="0"/>
            </w:pPr>
            <w:r>
              <w:rPr>
                <w:sz w:val="16"/>
              </w:rPr>
              <w:t>Versioned SQL, snapshots, model parameters, evaluation set</w:t>
            </w:r>
          </w:p>
        </w:tc>
      </w:tr>
    </w:tbl>
    <w:p>
      <w:pPr>
        <w:spacing w:after="20"/>
      </w:pP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Query scans too much data</w:t>
            </w:r>
          </w:p>
        </w:tc>
        <w:tc>
          <w:tcPr>
            <w:tcW w:type="dxa" w:w="2592"/>
            <w:tcMar>
              <w:top w:w="80" w:type="dxa"/>
              <w:start w:w="100" w:type="dxa"/>
              <w:bottom w:w="80" w:type="dxa"/>
              <w:end w:w="100" w:type="dxa"/>
            </w:tcMar>
            <w:vAlign w:val="top"/>
          </w:tcPr>
          <w:p>
            <w:pPr>
              <w:spacing w:after="0"/>
            </w:pPr>
            <w:r>
              <w:rPr>
                <w:sz w:val="16"/>
              </w:rPr>
              <w:t>Missing partition filter, broad SELECT, or external-file layout</w:t>
            </w:r>
          </w:p>
        </w:tc>
        <w:tc>
          <w:tcPr>
            <w:tcW w:type="dxa" w:w="5328"/>
            <w:tcMar>
              <w:top w:w="80" w:type="dxa"/>
              <w:start w:w="100" w:type="dxa"/>
              <w:bottom w:w="80" w:type="dxa"/>
              <w:end w:w="100" w:type="dxa"/>
            </w:tcMar>
            <w:vAlign w:val="top"/>
          </w:tcPr>
          <w:p>
            <w:pPr>
              <w:spacing w:after="0"/>
            </w:pPr>
            <w:r>
              <w:rPr>
                <w:sz w:val="16"/>
              </w:rPr>
              <w:t>Use dry run and query plan; add filters, select columns, partition/cluster, compact files.</w:t>
            </w:r>
          </w:p>
        </w:tc>
      </w:tr>
      <w:tr>
        <w:trPr>
          <w:cantSplit/>
        </w:trPr>
        <w:tc>
          <w:tcPr>
            <w:tcW w:type="dxa" w:w="2160"/>
            <w:tcMar>
              <w:top w:w="80" w:type="dxa"/>
              <w:start w:w="100" w:type="dxa"/>
              <w:bottom w:w="80" w:type="dxa"/>
              <w:end w:w="100" w:type="dxa"/>
            </w:tcMar>
            <w:vAlign w:val="top"/>
          </w:tcPr>
          <w:p>
            <w:pPr>
              <w:spacing w:after="0"/>
            </w:pPr>
            <w:r>
              <w:rPr>
                <w:sz w:val="16"/>
              </w:rPr>
              <w:t>Dashboard latency is unstable</w:t>
            </w:r>
          </w:p>
        </w:tc>
        <w:tc>
          <w:tcPr>
            <w:tcW w:type="dxa" w:w="2592"/>
            <w:tcMar>
              <w:top w:w="80" w:type="dxa"/>
              <w:start w:w="100" w:type="dxa"/>
              <w:bottom w:w="80" w:type="dxa"/>
              <w:end w:w="100" w:type="dxa"/>
            </w:tcMar>
            <w:vAlign w:val="top"/>
          </w:tcPr>
          <w:p>
            <w:pPr>
              <w:spacing w:after="0"/>
            </w:pPr>
            <w:r>
              <w:rPr>
                <w:sz w:val="16"/>
              </w:rPr>
              <w:t>Competing workloads, repeated heavy query, or poor model</w:t>
            </w:r>
          </w:p>
        </w:tc>
        <w:tc>
          <w:tcPr>
            <w:tcW w:type="dxa" w:w="5328"/>
            <w:tcMar>
              <w:top w:w="80" w:type="dxa"/>
              <w:start w:w="100" w:type="dxa"/>
              <w:bottom w:w="80" w:type="dxa"/>
              <w:end w:w="100" w:type="dxa"/>
            </w:tcMar>
            <w:vAlign w:val="top"/>
          </w:tcPr>
          <w:p>
            <w:pPr>
              <w:spacing w:after="0"/>
            </w:pPr>
            <w:r>
              <w:rPr>
                <w:sz w:val="16"/>
              </w:rPr>
              <w:t>Inspect slot and job timelines; isolate reservations, aggregate, cache, or materialize.</w:t>
            </w:r>
          </w:p>
        </w:tc>
      </w:tr>
      <w:tr>
        <w:trPr>
          <w:cantSplit/>
        </w:trPr>
        <w:tc>
          <w:tcPr>
            <w:tcW w:type="dxa" w:w="2160"/>
            <w:tcMar>
              <w:top w:w="80" w:type="dxa"/>
              <w:start w:w="100" w:type="dxa"/>
              <w:bottom w:w="80" w:type="dxa"/>
              <w:end w:w="100" w:type="dxa"/>
            </w:tcMar>
            <w:vAlign w:val="top"/>
          </w:tcPr>
          <w:p>
            <w:pPr>
              <w:spacing w:after="0"/>
            </w:pPr>
            <w:r>
              <w:rPr>
                <w:sz w:val="16"/>
              </w:rPr>
              <w:t>Access denied to table/column</w:t>
            </w:r>
          </w:p>
        </w:tc>
        <w:tc>
          <w:tcPr>
            <w:tcW w:type="dxa" w:w="2592"/>
            <w:tcMar>
              <w:top w:w="80" w:type="dxa"/>
              <w:start w:w="100" w:type="dxa"/>
              <w:bottom w:w="80" w:type="dxa"/>
              <w:end w:w="100" w:type="dxa"/>
            </w:tcMar>
            <w:vAlign w:val="top"/>
          </w:tcPr>
          <w:p>
            <w:pPr>
              <w:spacing w:after="0"/>
            </w:pPr>
            <w:r>
              <w:rPr>
                <w:sz w:val="16"/>
              </w:rPr>
              <w:t>Dataset IAM, policy tag, row policy, or perimeter restriction</w:t>
            </w:r>
          </w:p>
        </w:tc>
        <w:tc>
          <w:tcPr>
            <w:tcW w:type="dxa" w:w="5328"/>
            <w:tcMar>
              <w:top w:w="80" w:type="dxa"/>
              <w:start w:w="100" w:type="dxa"/>
              <w:bottom w:w="80" w:type="dxa"/>
              <w:end w:w="100" w:type="dxa"/>
            </w:tcMar>
            <w:vAlign w:val="top"/>
          </w:tcPr>
          <w:p>
            <w:pPr>
              <w:spacing w:after="0"/>
            </w:pPr>
            <w:r>
              <w:rPr>
                <w:sz w:val="16"/>
              </w:rPr>
              <w:t>Inspect effective IAM, Data Catalog/Universal Catalog policy tags, row policies, and VPC SC logs.</w:t>
            </w:r>
          </w:p>
        </w:tc>
      </w:tr>
      <w:tr>
        <w:trPr>
          <w:cantSplit/>
        </w:trPr>
        <w:tc>
          <w:tcPr>
            <w:tcW w:type="dxa" w:w="2160"/>
            <w:tcMar>
              <w:top w:w="80" w:type="dxa"/>
              <w:start w:w="100" w:type="dxa"/>
              <w:bottom w:w="80" w:type="dxa"/>
              <w:end w:w="100" w:type="dxa"/>
            </w:tcMar>
            <w:vAlign w:val="top"/>
          </w:tcPr>
          <w:p>
            <w:pPr>
              <w:spacing w:after="0"/>
            </w:pPr>
            <w:r>
              <w:rPr>
                <w:sz w:val="16"/>
              </w:rPr>
              <w:t>Costs rise unexpectedly</w:t>
            </w:r>
          </w:p>
        </w:tc>
        <w:tc>
          <w:tcPr>
            <w:tcW w:type="dxa" w:w="2592"/>
            <w:tcMar>
              <w:top w:w="80" w:type="dxa"/>
              <w:start w:w="100" w:type="dxa"/>
              <w:bottom w:w="80" w:type="dxa"/>
              <w:end w:w="100" w:type="dxa"/>
            </w:tcMar>
            <w:vAlign w:val="top"/>
          </w:tcPr>
          <w:p>
            <w:pPr>
              <w:spacing w:after="0"/>
            </w:pPr>
            <w:r>
              <w:rPr>
                <w:sz w:val="16"/>
              </w:rPr>
              <w:t>Exploratory scans, unbounded scheduled queries, streaming, or idle capacity</w:t>
            </w:r>
          </w:p>
        </w:tc>
        <w:tc>
          <w:tcPr>
            <w:tcW w:type="dxa" w:w="5328"/>
            <w:tcMar>
              <w:top w:w="80" w:type="dxa"/>
              <w:start w:w="100" w:type="dxa"/>
              <w:bottom w:w="80" w:type="dxa"/>
              <w:end w:w="100" w:type="dxa"/>
            </w:tcMar>
            <w:vAlign w:val="top"/>
          </w:tcPr>
          <w:p>
            <w:pPr>
              <w:spacing w:after="0"/>
            </w:pPr>
            <w:r>
              <w:rPr>
                <w:sz w:val="16"/>
              </w:rPr>
              <w:t>Use billing export, INFORMATION_SCHEMA, labels, reservations, query quotas, and ownership.</w:t>
            </w:r>
          </w:p>
        </w:tc>
      </w:tr>
    </w:tbl>
    <w:p>
      <w:pPr>
        <w:spacing w:after="20"/>
      </w:pPr>
    </w:p>
    <w:p>
      <w:pPr>
        <w:pStyle w:val="Heading2"/>
        <w:keepNext/>
      </w:pPr>
      <w:r>
        <w:t>Hands-on Lab 25: Build a Governed BigQuery Analytics Mart</w:t>
      </w:r>
    </w:p>
    <w:p>
      <w:pPr>
        <w:pStyle w:val="Heading3"/>
        <w:keepNext/>
      </w:pPr>
      <w:r>
        <w:t>Prerequisites</w:t>
      </w:r>
    </w:p>
    <w:p>
      <w:pPr>
        <w:pStyle w:val="ListBullet"/>
        <w:spacing w:after="60"/>
      </w:pPr>
      <w:r>
        <w:t>A BigQuery project, synthetic sales files, and permissions for datasets, jobs, IAM, and policy tags where available.</w:t>
      </w:r>
    </w:p>
    <w:p>
      <w:pPr>
        <w:pStyle w:val="Heading3"/>
        <w:keepNext/>
      </w:pPr>
      <w:r>
        <w:t>Implementation</w:t>
      </w:r>
    </w:p>
    <w:p>
      <w:pPr>
        <w:spacing w:after="60"/>
        <w:ind w:left="360" w:hanging="259"/>
      </w:pPr>
      <w:r>
        <w:rPr>
          <w:b/>
        </w:rPr>
        <w:t xml:space="preserve">1. </w:t>
      </w:r>
      <w:r>
        <w:t>Create raw and curated datasets in a deliberate location with default expiration and labels.</w:t>
      </w:r>
    </w:p>
    <w:p>
      <w:pPr>
        <w:spacing w:after="60"/>
        <w:ind w:left="360" w:hanging="259"/>
      </w:pPr>
      <w:r>
        <w:rPr>
          <w:b/>
        </w:rPr>
        <w:t xml:space="preserve">2. </w:t>
      </w:r>
      <w:r>
        <w:t>Load synthetic orders into a partitioned and clustered table.</w:t>
      </w:r>
    </w:p>
    <w:p>
      <w:pPr>
        <w:spacing w:after="60"/>
        <w:ind w:left="360" w:hanging="259"/>
      </w:pPr>
      <w:r>
        <w:rPr>
          <w:b/>
        </w:rPr>
        <w:t xml:space="preserve">3. </w:t>
      </w:r>
      <w:r>
        <w:t>Run an unoptimized query and capture bytes, plan stages, and runtime; then optimize it.</w:t>
      </w:r>
    </w:p>
    <w:p>
      <w:pPr>
        <w:spacing w:after="60"/>
        <w:ind w:left="360" w:hanging="259"/>
      </w:pPr>
      <w:r>
        <w:rPr>
          <w:b/>
        </w:rPr>
        <w:t xml:space="preserve">4. </w:t>
      </w:r>
      <w:r>
        <w:t>Create a scheduled or scripted transformation that is idempotent and partition-aware.</w:t>
      </w:r>
    </w:p>
    <w:p>
      <w:pPr>
        <w:spacing w:after="60"/>
        <w:ind w:left="360" w:hanging="259"/>
      </w:pPr>
      <w:r>
        <w:rPr>
          <w:b/>
        </w:rPr>
        <w:t xml:space="preserve">5. </w:t>
      </w:r>
      <w:r>
        <w:t>Create a restricted analyst view and apply row/column controls to a sensitive field.</w:t>
      </w:r>
    </w:p>
    <w:p>
      <w:pPr>
        <w:spacing w:after="60"/>
        <w:ind w:left="360" w:hanging="259"/>
      </w:pPr>
      <w:r>
        <w:rPr>
          <w:b/>
        </w:rPr>
        <w:t xml:space="preserve">6. </w:t>
      </w:r>
      <w:r>
        <w:t>Use a dry run and maximum-bytes guardrail; document on-demand versus reservation choice.</w:t>
      </w:r>
    </w:p>
    <w:p>
      <w:pPr>
        <w:spacing w:after="60"/>
        <w:ind w:left="360" w:hanging="259"/>
      </w:pPr>
      <w:r>
        <w:rPr>
          <w:b/>
        </w:rPr>
        <w:t xml:space="preserve">7. </w:t>
      </w:r>
      <w:r>
        <w:t>Produce a small BigQuery ML or vector-ready feature table with quality checks and lineage notes.</w:t>
      </w:r>
    </w:p>
    <w:p>
      <w:pPr>
        <w:pStyle w:val="Heading3"/>
        <w:keepNext/>
      </w:pPr>
      <w:r>
        <w:t>Validation Evidence</w:t>
      </w:r>
    </w:p>
    <w:p>
      <w:pPr>
        <w:pStyle w:val="ListBullet"/>
        <w:spacing w:after="60"/>
      </w:pPr>
      <w:r>
        <w:t>Partition pruning and reduced bytes are visible.</w:t>
      </w:r>
    </w:p>
    <w:p>
      <w:pPr>
        <w:pStyle w:val="ListBullet"/>
        <w:spacing w:after="60"/>
      </w:pPr>
      <w:r>
        <w:t>The analyst cannot access protected raw/sensitive data.</w:t>
      </w:r>
    </w:p>
    <w:p>
      <w:pPr>
        <w:pStyle w:val="ListBullet"/>
        <w:spacing w:after="60"/>
      </w:pPr>
      <w:r>
        <w:t>Transformation reruns do not duplicate data.</w:t>
      </w:r>
    </w:p>
    <w:p>
      <w:pPr>
        <w:pStyle w:val="ListBullet"/>
        <w:spacing w:after="60"/>
      </w:pPr>
      <w:r>
        <w:t>The AI-ready dataset has an owner, quality evidence, and approved fields.</w:t>
      </w:r>
    </w:p>
    <w:p>
      <w:pPr>
        <w:pStyle w:val="Heading3"/>
        <w:keepNext/>
      </w:pPr>
      <w:r>
        <w:t>Cleanup</w:t>
      </w:r>
    </w:p>
    <w:p>
      <w:pPr>
        <w:pStyle w:val="ListBullet"/>
        <w:spacing w:after="60"/>
      </w:pPr>
      <w:r>
        <w:t>Delete datasets, reservations/assignments, scheduled queries, policy tags, and temporary files after evidence is exported.</w:t>
      </w:r>
    </w:p>
    <w:p>
      <w:pPr>
        <w:pStyle w:val="Heading2"/>
        <w:keepNext/>
      </w:pPr>
      <w:r>
        <w:t>Interview Questions and Model Answers</w:t>
      </w:r>
    </w:p>
    <w:p>
      <w:pPr>
        <w:spacing w:after="40"/>
      </w:pPr>
      <w:r>
        <w:rPr>
          <w:b/>
        </w:rPr>
        <w:t>1. What is a BigQuery slot?</w:t>
      </w:r>
    </w:p>
    <w:p>
      <w:pPr>
        <w:spacing w:after="120"/>
        <w:ind w:left="216"/>
      </w:pPr>
      <w:r>
        <w:t>A unit of compute capacity used by query execution; reservations pool and allocate slots to workloads.</w:t>
      </w:r>
    </w:p>
    <w:p>
      <w:pPr>
        <w:spacing w:after="40"/>
      </w:pPr>
      <w:r>
        <w:rPr>
          <w:b/>
        </w:rPr>
        <w:t>2. When should a table be partitioned?</w:t>
      </w:r>
    </w:p>
    <w:p>
      <w:pPr>
        <w:spacing w:after="120"/>
        <w:ind w:left="216"/>
      </w:pPr>
      <w:r>
        <w:t>When a common selective filter can divide data into manageable partitions and improve lifecycle and scan control.</w:t>
      </w:r>
    </w:p>
    <w:p>
      <w:pPr>
        <w:spacing w:after="40"/>
      </w:pPr>
      <w:r>
        <w:rPr>
          <w:b/>
        </w:rPr>
        <w:t>3. Why can clustering help?</w:t>
      </w:r>
    </w:p>
    <w:p>
      <w:pPr>
        <w:spacing w:after="120"/>
        <w:ind w:left="216"/>
      </w:pPr>
      <w:r>
        <w:t>It organizes storage blocks by selected columns, enabling pruning for repeated predicates within partitions or tables.</w:t>
      </w:r>
    </w:p>
    <w:p>
      <w:pPr>
        <w:spacing w:after="40"/>
      </w:pPr>
      <w:r>
        <w:rPr>
          <w:b/>
        </w:rPr>
        <w:t>4. What makes analytics data AI-ready?</w:t>
      </w:r>
    </w:p>
    <w:p>
      <w:pPr>
        <w:spacing w:after="120"/>
        <w:ind w:left="216"/>
      </w:pPr>
      <w:r>
        <w:t>Governed provenance, quality, classification, reproducibility, approved usage, and cost/security controls - not merely availability.</w:t>
      </w:r>
    </w:p>
    <w:p>
      <w:pPr>
        <w:pStyle w:val="Heading2"/>
        <w:keepNext/>
      </w:pPr>
      <w:r>
        <w:t>Chapter Summary</w:t>
      </w:r>
    </w:p>
    <w:p>
      <w:pPr>
        <w:pStyle w:val="ListBullet"/>
        <w:spacing w:after="60"/>
      </w:pPr>
      <w:r>
        <w:t>BigQuery architecture separates storage and analytical compute.</w:t>
      </w:r>
    </w:p>
    <w:p>
      <w:pPr>
        <w:pStyle w:val="ListBullet"/>
        <w:spacing w:after="60"/>
      </w:pPr>
      <w:r>
        <w:t>Partitioning, clustering, and query design control both performance and cost.</w:t>
      </w:r>
    </w:p>
    <w:p>
      <w:pPr>
        <w:pStyle w:val="ListBullet"/>
        <w:spacing w:after="60"/>
      </w:pPr>
      <w:r>
        <w:t>Reservations isolate workloads and allocate capacity.</w:t>
      </w:r>
    </w:p>
    <w:p>
      <w:pPr>
        <w:pStyle w:val="ListBullet"/>
        <w:spacing w:after="60"/>
      </w:pPr>
      <w:r>
        <w:t>AI and ML features must remain inside data-governance boundaries.</w:t>
      </w:r>
    </w:p>
    <w:p>
      <w:pPr>
        <w:pStyle w:val="Heading1"/>
        <w:keepNext/>
        <w:pageBreakBefore/>
      </w:pPr>
      <w:r>
        <w:t>Chapter 26 - BigLake, Cloud Storage Lakehouse, and Dataplex Governance</w:t>
      </w:r>
    </w:p>
    <w:p>
      <w:pPr>
        <w:spacing w:after="120"/>
      </w:pPr>
      <w:r>
        <w:rPr>
          <w:i/>
          <w:color w:val="505050"/>
        </w:rPr>
        <w:t>Operating open data across object storage and analytics engines with unified governance</w:t>
      </w:r>
    </w:p>
    <w:p>
      <w:pPr>
        <w:pStyle w:val="Heading2"/>
        <w:keepNext/>
      </w:pPr>
      <w:r>
        <w:t>Learning Objectives</w:t>
      </w:r>
    </w:p>
    <w:p>
      <w:pPr>
        <w:pStyle w:val="ListBullet"/>
        <w:spacing w:after="60"/>
      </w:pPr>
      <w:r>
        <w:t>Design raw, curated, and serving zones in Cloud Storage.</w:t>
      </w:r>
    </w:p>
    <w:p>
      <w:pPr>
        <w:pStyle w:val="ListBullet"/>
        <w:spacing w:after="60"/>
      </w:pPr>
      <w:r>
        <w:t>Use BigLake and open table formats without losing access control or metadata discipline.</w:t>
      </w:r>
    </w:p>
    <w:p>
      <w:pPr>
        <w:pStyle w:val="ListBullet"/>
        <w:spacing w:after="60"/>
      </w:pPr>
      <w:r>
        <w:t>Apply Dataplex Universal Catalog, lineage, quality, and discovery capabilities.</w:t>
      </w:r>
    </w:p>
    <w:p>
      <w:pPr>
        <w:pStyle w:val="ListBullet"/>
        <w:spacing w:after="60"/>
      </w:pPr>
      <w:r>
        <w:t>Create an AI-ready lakehouse with lifecycle, small-file, and governance controls.</w:t>
      </w:r>
    </w:p>
    <w:p>
      <w:pPr>
        <w:pStyle w:val="Heading2"/>
        <w:keepNext/>
      </w:pPr>
      <w:r>
        <w:t>26.1 Lakehouse Architecture and Object Layout</w:t>
      </w:r>
    </w:p>
    <w:p>
      <w:pPr>
        <w:spacing w:after="120"/>
      </w:pPr>
      <w:r>
        <w:rPr>
          <w:i w:val="0"/>
        </w:rPr>
        <w:t>A lakehouse stores open or semi-open analytical data in object storage while exposing governed tables to query and processing engines. Cloud Storage bucket location, object naming, file format, compression, partition layout, retention, and lifecycle policies are foundational choices. Too many tiny files increase metadata and processing overhead; very large files reduce parallelism and recovery flexibility.</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Layer</w:t>
            </w:r>
          </w:p>
        </w:tc>
        <w:tc>
          <w:tcPr>
            <w:tcW w:type="dxa" w:w="3312"/>
            <w:shd w:fill="1A73E8"/>
            <w:tcMar>
              <w:top w:w="80" w:type="dxa"/>
              <w:start w:w="100" w:type="dxa"/>
              <w:bottom w:w="80" w:type="dxa"/>
              <w:end w:w="100" w:type="dxa"/>
            </w:tcMar>
            <w:vAlign w:val="center"/>
          </w:tcPr>
          <w:p>
            <w:pPr>
              <w:jc w:val="center"/>
            </w:pPr>
            <w:r>
              <w:rPr>
                <w:b/>
                <w:color w:val="FFFFFF"/>
                <w:sz w:val="16"/>
              </w:rPr>
              <w:t>Purpose</w:t>
            </w:r>
          </w:p>
        </w:tc>
        <w:tc>
          <w:tcPr>
            <w:tcW w:type="dxa" w:w="4320"/>
            <w:shd w:fill="1A73E8"/>
            <w:tcMar>
              <w:top w:w="80" w:type="dxa"/>
              <w:start w:w="100" w:type="dxa"/>
              <w:bottom w:w="80" w:type="dxa"/>
              <w:end w:w="100" w:type="dxa"/>
            </w:tcMar>
            <w:vAlign w:val="center"/>
          </w:tcPr>
          <w:p>
            <w:pPr>
              <w:jc w:val="center"/>
            </w:pPr>
            <w:r>
              <w:rPr>
                <w:b/>
                <w:color w:val="FFFFFF"/>
                <w:sz w:val="16"/>
              </w:rPr>
              <w:t>Controls</w:t>
            </w:r>
          </w:p>
        </w:tc>
      </w:tr>
      <w:tr>
        <w:trPr>
          <w:cantSplit/>
        </w:trPr>
        <w:tc>
          <w:tcPr>
            <w:tcW w:type="dxa" w:w="2160"/>
            <w:tcMar>
              <w:top w:w="80" w:type="dxa"/>
              <w:start w:w="100" w:type="dxa"/>
              <w:bottom w:w="80" w:type="dxa"/>
              <w:end w:w="100" w:type="dxa"/>
            </w:tcMar>
            <w:vAlign w:val="top"/>
          </w:tcPr>
          <w:p>
            <w:pPr>
              <w:spacing w:after="0"/>
            </w:pPr>
            <w:r>
              <w:rPr>
                <w:sz w:val="16"/>
              </w:rPr>
              <w:t>Landing/raw</w:t>
            </w:r>
          </w:p>
        </w:tc>
        <w:tc>
          <w:tcPr>
            <w:tcW w:type="dxa" w:w="3312"/>
            <w:tcMar>
              <w:top w:w="80" w:type="dxa"/>
              <w:start w:w="100" w:type="dxa"/>
              <w:bottom w:w="80" w:type="dxa"/>
              <w:end w:w="100" w:type="dxa"/>
            </w:tcMar>
            <w:vAlign w:val="top"/>
          </w:tcPr>
          <w:p>
            <w:pPr>
              <w:spacing w:after="0"/>
            </w:pPr>
            <w:r>
              <w:rPr>
                <w:sz w:val="16"/>
              </w:rPr>
              <w:t>Immutable source capture</w:t>
            </w:r>
          </w:p>
        </w:tc>
        <w:tc>
          <w:tcPr>
            <w:tcW w:type="dxa" w:w="4320"/>
            <w:tcMar>
              <w:top w:w="80" w:type="dxa"/>
              <w:start w:w="100" w:type="dxa"/>
              <w:bottom w:w="80" w:type="dxa"/>
              <w:end w:w="100" w:type="dxa"/>
            </w:tcMar>
            <w:vAlign w:val="top"/>
          </w:tcPr>
          <w:p>
            <w:pPr>
              <w:spacing w:after="0"/>
            </w:pPr>
            <w:r>
              <w:rPr>
                <w:sz w:val="16"/>
              </w:rPr>
              <w:t>Write-once convention, checksum, source metadata, retention</w:t>
            </w:r>
          </w:p>
        </w:tc>
      </w:tr>
      <w:tr>
        <w:trPr>
          <w:cantSplit/>
        </w:trPr>
        <w:tc>
          <w:tcPr>
            <w:tcW w:type="dxa" w:w="2160"/>
            <w:tcMar>
              <w:top w:w="80" w:type="dxa"/>
              <w:start w:w="100" w:type="dxa"/>
              <w:bottom w:w="80" w:type="dxa"/>
              <w:end w:w="100" w:type="dxa"/>
            </w:tcMar>
            <w:vAlign w:val="top"/>
          </w:tcPr>
          <w:p>
            <w:pPr>
              <w:spacing w:after="0"/>
            </w:pPr>
            <w:r>
              <w:rPr>
                <w:sz w:val="16"/>
              </w:rPr>
              <w:t>Standardized</w:t>
            </w:r>
          </w:p>
        </w:tc>
        <w:tc>
          <w:tcPr>
            <w:tcW w:type="dxa" w:w="3312"/>
            <w:tcMar>
              <w:top w:w="80" w:type="dxa"/>
              <w:start w:w="100" w:type="dxa"/>
              <w:bottom w:w="80" w:type="dxa"/>
              <w:end w:w="100" w:type="dxa"/>
            </w:tcMar>
            <w:vAlign w:val="top"/>
          </w:tcPr>
          <w:p>
            <w:pPr>
              <w:spacing w:after="0"/>
            </w:pPr>
            <w:r>
              <w:rPr>
                <w:sz w:val="16"/>
              </w:rPr>
              <w:t>Validated schema and formats</w:t>
            </w:r>
          </w:p>
        </w:tc>
        <w:tc>
          <w:tcPr>
            <w:tcW w:type="dxa" w:w="4320"/>
            <w:tcMar>
              <w:top w:w="80" w:type="dxa"/>
              <w:start w:w="100" w:type="dxa"/>
              <w:bottom w:w="80" w:type="dxa"/>
              <w:end w:w="100" w:type="dxa"/>
            </w:tcMar>
            <w:vAlign w:val="top"/>
          </w:tcPr>
          <w:p>
            <w:pPr>
              <w:spacing w:after="0"/>
            </w:pPr>
            <w:r>
              <w:rPr>
                <w:sz w:val="16"/>
              </w:rPr>
              <w:t>Quarantine, deduplication, partitioning, quality results</w:t>
            </w:r>
          </w:p>
        </w:tc>
      </w:tr>
      <w:tr>
        <w:trPr>
          <w:cantSplit/>
        </w:trPr>
        <w:tc>
          <w:tcPr>
            <w:tcW w:type="dxa" w:w="2160"/>
            <w:tcMar>
              <w:top w:w="80" w:type="dxa"/>
              <w:start w:w="100" w:type="dxa"/>
              <w:bottom w:w="80" w:type="dxa"/>
              <w:end w:w="100" w:type="dxa"/>
            </w:tcMar>
            <w:vAlign w:val="top"/>
          </w:tcPr>
          <w:p>
            <w:pPr>
              <w:spacing w:after="0"/>
            </w:pPr>
            <w:r>
              <w:rPr>
                <w:sz w:val="16"/>
              </w:rPr>
              <w:t>Curated</w:t>
            </w:r>
          </w:p>
        </w:tc>
        <w:tc>
          <w:tcPr>
            <w:tcW w:type="dxa" w:w="3312"/>
            <w:tcMar>
              <w:top w:w="80" w:type="dxa"/>
              <w:start w:w="100" w:type="dxa"/>
              <w:bottom w:w="80" w:type="dxa"/>
              <w:end w:w="100" w:type="dxa"/>
            </w:tcMar>
            <w:vAlign w:val="top"/>
          </w:tcPr>
          <w:p>
            <w:pPr>
              <w:spacing w:after="0"/>
            </w:pPr>
            <w:r>
              <w:rPr>
                <w:sz w:val="16"/>
              </w:rPr>
              <w:t>Business entities and metrics</w:t>
            </w:r>
          </w:p>
        </w:tc>
        <w:tc>
          <w:tcPr>
            <w:tcW w:type="dxa" w:w="4320"/>
            <w:tcMar>
              <w:top w:w="80" w:type="dxa"/>
              <w:start w:w="100" w:type="dxa"/>
              <w:bottom w:w="80" w:type="dxa"/>
              <w:end w:w="100" w:type="dxa"/>
            </w:tcMar>
            <w:vAlign w:val="top"/>
          </w:tcPr>
          <w:p>
            <w:pPr>
              <w:spacing w:after="0"/>
            </w:pPr>
            <w:r>
              <w:rPr>
                <w:sz w:val="16"/>
              </w:rPr>
              <w:t>Data contracts, ownership, SCD/reconciliation</w:t>
            </w:r>
          </w:p>
        </w:tc>
      </w:tr>
      <w:tr>
        <w:trPr>
          <w:cantSplit/>
        </w:trPr>
        <w:tc>
          <w:tcPr>
            <w:tcW w:type="dxa" w:w="2160"/>
            <w:tcMar>
              <w:top w:w="80" w:type="dxa"/>
              <w:start w:w="100" w:type="dxa"/>
              <w:bottom w:w="80" w:type="dxa"/>
              <w:end w:w="100" w:type="dxa"/>
            </w:tcMar>
            <w:vAlign w:val="top"/>
          </w:tcPr>
          <w:p>
            <w:pPr>
              <w:spacing w:after="0"/>
            </w:pPr>
            <w:r>
              <w:rPr>
                <w:sz w:val="16"/>
              </w:rPr>
              <w:t>Serving/feature</w:t>
            </w:r>
          </w:p>
        </w:tc>
        <w:tc>
          <w:tcPr>
            <w:tcW w:type="dxa" w:w="3312"/>
            <w:tcMar>
              <w:top w:w="80" w:type="dxa"/>
              <w:start w:w="100" w:type="dxa"/>
              <w:bottom w:w="80" w:type="dxa"/>
              <w:end w:w="100" w:type="dxa"/>
            </w:tcMar>
            <w:vAlign w:val="top"/>
          </w:tcPr>
          <w:p>
            <w:pPr>
              <w:spacing w:after="0"/>
            </w:pPr>
            <w:r>
              <w:rPr>
                <w:sz w:val="16"/>
              </w:rPr>
              <w:t>BI, APIs, ML/RAG inputs</w:t>
            </w:r>
          </w:p>
        </w:tc>
        <w:tc>
          <w:tcPr>
            <w:tcW w:type="dxa" w:w="4320"/>
            <w:tcMar>
              <w:top w:w="80" w:type="dxa"/>
              <w:start w:w="100" w:type="dxa"/>
              <w:bottom w:w="80" w:type="dxa"/>
              <w:end w:w="100" w:type="dxa"/>
            </w:tcMar>
            <w:vAlign w:val="top"/>
          </w:tcPr>
          <w:p>
            <w:pPr>
              <w:spacing w:after="0"/>
            </w:pPr>
            <w:r>
              <w:rPr>
                <w:sz w:val="16"/>
              </w:rPr>
              <w:t>Access policy, freshness SLO, evaluation and rollback</w:t>
            </w:r>
          </w:p>
        </w:tc>
      </w:tr>
    </w:tbl>
    <w:p>
      <w:pPr>
        <w:spacing w:after="20"/>
      </w:pPr>
    </w:p>
    <w:p>
      <w:pPr>
        <w:pStyle w:val="Heading2"/>
        <w:keepNext/>
      </w:pPr>
      <w:r>
        <w:t>26.2 BigLake and Open Table Formats</w:t>
      </w:r>
    </w:p>
    <w:p>
      <w:pPr>
        <w:spacing w:after="120"/>
      </w:pPr>
      <w:r>
        <w:rPr>
          <w:i w:val="0"/>
        </w:rPr>
        <w:t>BigLake extends governed analytics over data in object storage and supports lakehouse patterns, including Apache Iceberg-oriented workflows. Separate the physical data from the catalog and policy layer. Writers must coordinate schema and partition evolution, snapshot retention, compaction, and concurrent updates.</w:t>
      </w:r>
    </w:p>
    <w:p>
      <w:pPr>
        <w:pStyle w:val="ListBullet"/>
        <w:spacing w:after="60"/>
      </w:pPr>
      <w:r>
        <w:t>Use columnar formats such as Parquet for analytical scans when appropriate.</w:t>
      </w:r>
    </w:p>
    <w:p>
      <w:pPr>
        <w:pStyle w:val="ListBullet"/>
        <w:spacing w:after="60"/>
      </w:pPr>
      <w:r>
        <w:t>Keep catalog ownership and table mutation rights narrow.</w:t>
      </w:r>
    </w:p>
    <w:p>
      <w:pPr>
        <w:pStyle w:val="ListBullet"/>
        <w:spacing w:after="60"/>
      </w:pPr>
      <w:r>
        <w:t>Schedule compaction and expiration of obsolete snapshots/files according to recovery requirements.</w:t>
      </w:r>
    </w:p>
    <w:p>
      <w:pPr>
        <w:pStyle w:val="ListBullet"/>
        <w:spacing w:after="60"/>
      </w:pPr>
      <w:r>
        <w:t>Test interoperability with every engine that will read or write the table.</w:t>
      </w:r>
    </w:p>
    <w:p>
      <w:pPr>
        <w:pStyle w:val="Heading2"/>
        <w:keepNext/>
      </w:pPr>
      <w:r>
        <w:t>26.3 Dataplex Universal Catalog, Lineage, and Quality</w:t>
      </w:r>
    </w:p>
    <w:p>
      <w:pPr>
        <w:spacing w:after="120"/>
      </w:pPr>
      <w:r>
        <w:rPr>
          <w:i w:val="0"/>
        </w:rPr>
        <w:t>Dataplex Universal Catalog provides discovery and governance capabilities across data assets. Catalog entries, aspects/metadata, policy tags, lineage, profiling, and data-quality results turn storage into an operated platform. Metadata must be part of the deployment pipeline rather than an optional documentation exercise.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168"/>
            <w:shd w:fill="1A73E8"/>
            <w:tcMar>
              <w:top w:w="80" w:type="dxa"/>
              <w:start w:w="100" w:type="dxa"/>
              <w:bottom w:w="80" w:type="dxa"/>
              <w:end w:w="100" w:type="dxa"/>
            </w:tcMar>
            <w:vAlign w:val="center"/>
          </w:tcPr>
          <w:p>
            <w:pPr>
              <w:jc w:val="center"/>
            </w:pPr>
            <w:r>
              <w:rPr>
                <w:b/>
                <w:color w:val="FFFFFF"/>
                <w:sz w:val="16"/>
              </w:rPr>
              <w:t>Governance Object</w:t>
            </w:r>
          </w:p>
        </w:tc>
        <w:tc>
          <w:tcPr>
            <w:tcW w:type="dxa" w:w="6624"/>
            <w:shd w:fill="1A73E8"/>
            <w:tcMar>
              <w:top w:w="80" w:type="dxa"/>
              <w:start w:w="100" w:type="dxa"/>
              <w:bottom w:w="80" w:type="dxa"/>
              <w:end w:w="100" w:type="dxa"/>
            </w:tcMar>
            <w:vAlign w:val="center"/>
          </w:tcPr>
          <w:p>
            <w:pPr>
              <w:jc w:val="center"/>
            </w:pPr>
            <w:r>
              <w:rPr>
                <w:b/>
                <w:color w:val="FFFFFF"/>
                <w:sz w:val="16"/>
              </w:rPr>
              <w:t>Operational Question</w:t>
            </w:r>
          </w:p>
        </w:tc>
      </w:tr>
      <w:tr>
        <w:trPr>
          <w:cantSplit/>
        </w:trPr>
        <w:tc>
          <w:tcPr>
            <w:tcW w:type="dxa" w:w="3168"/>
            <w:tcMar>
              <w:top w:w="80" w:type="dxa"/>
              <w:start w:w="100" w:type="dxa"/>
              <w:bottom w:w="80" w:type="dxa"/>
              <w:end w:w="100" w:type="dxa"/>
            </w:tcMar>
            <w:vAlign w:val="top"/>
          </w:tcPr>
          <w:p>
            <w:pPr>
              <w:spacing w:after="0"/>
            </w:pPr>
            <w:r>
              <w:rPr>
                <w:sz w:val="16"/>
              </w:rPr>
              <w:t>Owner/steward</w:t>
            </w:r>
          </w:p>
        </w:tc>
        <w:tc>
          <w:tcPr>
            <w:tcW w:type="dxa" w:w="6624"/>
            <w:tcMar>
              <w:top w:w="80" w:type="dxa"/>
              <w:start w:w="100" w:type="dxa"/>
              <w:bottom w:w="80" w:type="dxa"/>
              <w:end w:w="100" w:type="dxa"/>
            </w:tcMar>
            <w:vAlign w:val="top"/>
          </w:tcPr>
          <w:p>
            <w:pPr>
              <w:spacing w:after="0"/>
            </w:pPr>
            <w:r>
              <w:rPr>
                <w:sz w:val="16"/>
              </w:rPr>
              <w:t>Who approves access and fixes quality?</w:t>
            </w:r>
          </w:p>
        </w:tc>
      </w:tr>
      <w:tr>
        <w:trPr>
          <w:cantSplit/>
        </w:trPr>
        <w:tc>
          <w:tcPr>
            <w:tcW w:type="dxa" w:w="3168"/>
            <w:tcMar>
              <w:top w:w="80" w:type="dxa"/>
              <w:start w:w="100" w:type="dxa"/>
              <w:bottom w:w="80" w:type="dxa"/>
              <w:end w:w="100" w:type="dxa"/>
            </w:tcMar>
            <w:vAlign w:val="top"/>
          </w:tcPr>
          <w:p>
            <w:pPr>
              <w:spacing w:after="0"/>
            </w:pPr>
            <w:r>
              <w:rPr>
                <w:sz w:val="16"/>
              </w:rPr>
              <w:t>Classification/policy tag</w:t>
            </w:r>
          </w:p>
        </w:tc>
        <w:tc>
          <w:tcPr>
            <w:tcW w:type="dxa" w:w="6624"/>
            <w:tcMar>
              <w:top w:w="80" w:type="dxa"/>
              <w:start w:w="100" w:type="dxa"/>
              <w:bottom w:w="80" w:type="dxa"/>
              <w:end w:w="100" w:type="dxa"/>
            </w:tcMar>
            <w:vAlign w:val="top"/>
          </w:tcPr>
          <w:p>
            <w:pPr>
              <w:spacing w:after="0"/>
            </w:pPr>
            <w:r>
              <w:rPr>
                <w:sz w:val="16"/>
              </w:rPr>
              <w:t>What data is sensitive and how is it protected?</w:t>
            </w:r>
          </w:p>
        </w:tc>
      </w:tr>
      <w:tr>
        <w:trPr>
          <w:cantSplit/>
        </w:trPr>
        <w:tc>
          <w:tcPr>
            <w:tcW w:type="dxa" w:w="3168"/>
            <w:tcMar>
              <w:top w:w="80" w:type="dxa"/>
              <w:start w:w="100" w:type="dxa"/>
              <w:bottom w:w="80" w:type="dxa"/>
              <w:end w:w="100" w:type="dxa"/>
            </w:tcMar>
            <w:vAlign w:val="top"/>
          </w:tcPr>
          <w:p>
            <w:pPr>
              <w:spacing w:after="0"/>
            </w:pPr>
            <w:r>
              <w:rPr>
                <w:sz w:val="16"/>
              </w:rPr>
              <w:t>Lineage</w:t>
            </w:r>
          </w:p>
        </w:tc>
        <w:tc>
          <w:tcPr>
            <w:tcW w:type="dxa" w:w="6624"/>
            <w:tcMar>
              <w:top w:w="80" w:type="dxa"/>
              <w:start w:w="100" w:type="dxa"/>
              <w:bottom w:w="80" w:type="dxa"/>
              <w:end w:w="100" w:type="dxa"/>
            </w:tcMar>
            <w:vAlign w:val="top"/>
          </w:tcPr>
          <w:p>
            <w:pPr>
              <w:spacing w:after="0"/>
            </w:pPr>
            <w:r>
              <w:rPr>
                <w:sz w:val="16"/>
              </w:rPr>
              <w:t>Which sources and transformations produced this field?</w:t>
            </w:r>
          </w:p>
        </w:tc>
      </w:tr>
      <w:tr>
        <w:trPr>
          <w:cantSplit/>
        </w:trPr>
        <w:tc>
          <w:tcPr>
            <w:tcW w:type="dxa" w:w="3168"/>
            <w:tcMar>
              <w:top w:w="80" w:type="dxa"/>
              <w:start w:w="100" w:type="dxa"/>
              <w:bottom w:w="80" w:type="dxa"/>
              <w:end w:w="100" w:type="dxa"/>
            </w:tcMar>
            <w:vAlign w:val="top"/>
          </w:tcPr>
          <w:p>
            <w:pPr>
              <w:spacing w:after="0"/>
            </w:pPr>
            <w:r>
              <w:rPr>
                <w:sz w:val="16"/>
              </w:rPr>
              <w:t>Quality rule</w:t>
            </w:r>
          </w:p>
        </w:tc>
        <w:tc>
          <w:tcPr>
            <w:tcW w:type="dxa" w:w="6624"/>
            <w:tcMar>
              <w:top w:w="80" w:type="dxa"/>
              <w:start w:w="100" w:type="dxa"/>
              <w:bottom w:w="80" w:type="dxa"/>
              <w:end w:w="100" w:type="dxa"/>
            </w:tcMar>
            <w:vAlign w:val="top"/>
          </w:tcPr>
          <w:p>
            <w:pPr>
              <w:spacing w:after="0"/>
            </w:pPr>
            <w:r>
              <w:rPr>
                <w:sz w:val="16"/>
              </w:rPr>
              <w:t>What threshold blocks promotion or alerts the owner?</w:t>
            </w:r>
          </w:p>
        </w:tc>
      </w:tr>
      <w:tr>
        <w:trPr>
          <w:cantSplit/>
        </w:trPr>
        <w:tc>
          <w:tcPr>
            <w:tcW w:type="dxa" w:w="3168"/>
            <w:tcMar>
              <w:top w:w="80" w:type="dxa"/>
              <w:start w:w="100" w:type="dxa"/>
              <w:bottom w:w="80" w:type="dxa"/>
              <w:end w:w="100" w:type="dxa"/>
            </w:tcMar>
            <w:vAlign w:val="top"/>
          </w:tcPr>
          <w:p>
            <w:pPr>
              <w:spacing w:after="0"/>
            </w:pPr>
            <w:r>
              <w:rPr>
                <w:sz w:val="16"/>
              </w:rPr>
              <w:t>Freshness SLO</w:t>
            </w:r>
          </w:p>
        </w:tc>
        <w:tc>
          <w:tcPr>
            <w:tcW w:type="dxa" w:w="6624"/>
            <w:tcMar>
              <w:top w:w="80" w:type="dxa"/>
              <w:start w:w="100" w:type="dxa"/>
              <w:bottom w:w="80" w:type="dxa"/>
              <w:end w:w="100" w:type="dxa"/>
            </w:tcMar>
            <w:vAlign w:val="top"/>
          </w:tcPr>
          <w:p>
            <w:pPr>
              <w:spacing w:after="0"/>
            </w:pPr>
            <w:r>
              <w:rPr>
                <w:sz w:val="16"/>
              </w:rPr>
              <w:t>How late can the dataset be before consumers are notified?</w:t>
            </w:r>
          </w:p>
        </w:tc>
      </w:tr>
      <w:tr>
        <w:trPr>
          <w:cantSplit/>
        </w:trPr>
        <w:tc>
          <w:tcPr>
            <w:tcW w:type="dxa" w:w="3168"/>
            <w:tcMar>
              <w:top w:w="80" w:type="dxa"/>
              <w:start w:w="100" w:type="dxa"/>
              <w:bottom w:w="80" w:type="dxa"/>
              <w:end w:w="100" w:type="dxa"/>
            </w:tcMar>
            <w:vAlign w:val="top"/>
          </w:tcPr>
          <w:p>
            <w:pPr>
              <w:spacing w:after="0"/>
            </w:pPr>
            <w:r>
              <w:rPr>
                <w:sz w:val="16"/>
              </w:rPr>
              <w:t>Retention/legal hold</w:t>
            </w:r>
          </w:p>
        </w:tc>
        <w:tc>
          <w:tcPr>
            <w:tcW w:type="dxa" w:w="6624"/>
            <w:tcMar>
              <w:top w:w="80" w:type="dxa"/>
              <w:start w:w="100" w:type="dxa"/>
              <w:bottom w:w="80" w:type="dxa"/>
              <w:end w:w="100" w:type="dxa"/>
            </w:tcMar>
            <w:vAlign w:val="top"/>
          </w:tcPr>
          <w:p>
            <w:pPr>
              <w:spacing w:after="0"/>
            </w:pPr>
            <w:r>
              <w:rPr>
                <w:sz w:val="16"/>
              </w:rPr>
              <w:t>When may objects and snapshots be deleted?</w:t>
            </w:r>
          </w:p>
        </w:tc>
      </w:tr>
    </w:tbl>
    <w:p>
      <w:pPr>
        <w:spacing w:after="20"/>
      </w:pPr>
    </w:p>
    <w:p>
      <w:pPr>
        <w:pStyle w:val="Heading2"/>
        <w:keepNext/>
      </w:pPr>
      <w:r>
        <w:t>26.4 AI-Ready Data Products</w:t>
      </w:r>
    </w:p>
    <w:p>
      <w:pPr>
        <w:spacing w:after="120"/>
      </w:pPr>
      <w:r>
        <w:rPr>
          <w:i w:val="0"/>
        </w:rPr>
        <w:t>Retrieval and model pipelines amplify data defects and access mistakes. Curate approved corpora and features, preserve document/source identifiers, remove or mask prohibited content, track embedding/model versions, and create evaluation datasets. A vector index is not a governance boundary; the underlying content and retrieved output remain subject to classification and deletion requirements.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External table is slow</w:t>
            </w:r>
          </w:p>
        </w:tc>
        <w:tc>
          <w:tcPr>
            <w:tcW w:type="dxa" w:w="2592"/>
            <w:tcMar>
              <w:top w:w="80" w:type="dxa"/>
              <w:start w:w="100" w:type="dxa"/>
              <w:bottom w:w="80" w:type="dxa"/>
              <w:end w:w="100" w:type="dxa"/>
            </w:tcMar>
            <w:vAlign w:val="top"/>
          </w:tcPr>
          <w:p>
            <w:pPr>
              <w:spacing w:after="0"/>
            </w:pPr>
            <w:r>
              <w:rPr>
                <w:sz w:val="16"/>
              </w:rPr>
              <w:t>Small files, unselective scan, poor partitioning, or remote metadata overhead</w:t>
            </w:r>
          </w:p>
        </w:tc>
        <w:tc>
          <w:tcPr>
            <w:tcW w:type="dxa" w:w="5328"/>
            <w:tcMar>
              <w:top w:w="80" w:type="dxa"/>
              <w:start w:w="100" w:type="dxa"/>
              <w:bottom w:w="80" w:type="dxa"/>
              <w:end w:w="100" w:type="dxa"/>
            </w:tcMar>
            <w:vAlign w:val="top"/>
          </w:tcPr>
          <w:p>
            <w:pPr>
              <w:spacing w:after="0"/>
            </w:pPr>
            <w:r>
              <w:rPr>
                <w:sz w:val="16"/>
              </w:rPr>
              <w:t>Inspect file counts/size and query plan; compact, partition, cache/materialize, or load into native storage.</w:t>
            </w:r>
          </w:p>
        </w:tc>
      </w:tr>
      <w:tr>
        <w:trPr>
          <w:cantSplit/>
        </w:trPr>
        <w:tc>
          <w:tcPr>
            <w:tcW w:type="dxa" w:w="2160"/>
            <w:tcMar>
              <w:top w:w="80" w:type="dxa"/>
              <w:start w:w="100" w:type="dxa"/>
              <w:bottom w:w="80" w:type="dxa"/>
              <w:end w:w="100" w:type="dxa"/>
            </w:tcMar>
            <w:vAlign w:val="top"/>
          </w:tcPr>
          <w:p>
            <w:pPr>
              <w:spacing w:after="0"/>
            </w:pPr>
            <w:r>
              <w:rPr>
                <w:sz w:val="16"/>
              </w:rPr>
              <w:t>Table metadata and files disagree</w:t>
            </w:r>
          </w:p>
        </w:tc>
        <w:tc>
          <w:tcPr>
            <w:tcW w:type="dxa" w:w="2592"/>
            <w:tcMar>
              <w:top w:w="80" w:type="dxa"/>
              <w:start w:w="100" w:type="dxa"/>
              <w:bottom w:w="80" w:type="dxa"/>
              <w:end w:w="100" w:type="dxa"/>
            </w:tcMar>
            <w:vAlign w:val="top"/>
          </w:tcPr>
          <w:p>
            <w:pPr>
              <w:spacing w:after="0"/>
            </w:pPr>
            <w:r>
              <w:rPr>
                <w:sz w:val="16"/>
              </w:rPr>
              <w:t>Concurrent writers or failed commit/cleanup</w:t>
            </w:r>
          </w:p>
        </w:tc>
        <w:tc>
          <w:tcPr>
            <w:tcW w:type="dxa" w:w="5328"/>
            <w:tcMar>
              <w:top w:w="80" w:type="dxa"/>
              <w:start w:w="100" w:type="dxa"/>
              <w:bottom w:w="80" w:type="dxa"/>
              <w:end w:w="100" w:type="dxa"/>
            </w:tcMar>
            <w:vAlign w:val="top"/>
          </w:tcPr>
          <w:p>
            <w:pPr>
              <w:spacing w:after="0"/>
            </w:pPr>
            <w:r>
              <w:rPr>
                <w:sz w:val="16"/>
              </w:rPr>
              <w:t>Inspect catalog snapshots and object history; stop writers, reconcile metadata, and restore a known snapshot.</w:t>
            </w:r>
          </w:p>
        </w:tc>
      </w:tr>
      <w:tr>
        <w:trPr>
          <w:cantSplit/>
        </w:trPr>
        <w:tc>
          <w:tcPr>
            <w:tcW w:type="dxa" w:w="2160"/>
            <w:tcMar>
              <w:top w:w="80" w:type="dxa"/>
              <w:start w:w="100" w:type="dxa"/>
              <w:bottom w:w="80" w:type="dxa"/>
              <w:end w:w="100" w:type="dxa"/>
            </w:tcMar>
            <w:vAlign w:val="top"/>
          </w:tcPr>
          <w:p>
            <w:pPr>
              <w:spacing w:after="0"/>
            </w:pPr>
            <w:r>
              <w:rPr>
                <w:sz w:val="16"/>
              </w:rPr>
              <w:t>Users cannot discover trusted data</w:t>
            </w:r>
          </w:p>
        </w:tc>
        <w:tc>
          <w:tcPr>
            <w:tcW w:type="dxa" w:w="2592"/>
            <w:tcMar>
              <w:top w:w="80" w:type="dxa"/>
              <w:start w:w="100" w:type="dxa"/>
              <w:bottom w:w="80" w:type="dxa"/>
              <w:end w:w="100" w:type="dxa"/>
            </w:tcMar>
            <w:vAlign w:val="top"/>
          </w:tcPr>
          <w:p>
            <w:pPr>
              <w:spacing w:after="0"/>
            </w:pPr>
            <w:r>
              <w:rPr>
                <w:sz w:val="16"/>
              </w:rPr>
              <w:t>Missing catalog metadata, ownership, or certification</w:t>
            </w:r>
          </w:p>
        </w:tc>
        <w:tc>
          <w:tcPr>
            <w:tcW w:type="dxa" w:w="5328"/>
            <w:tcMar>
              <w:top w:w="80" w:type="dxa"/>
              <w:start w:w="100" w:type="dxa"/>
              <w:bottom w:w="80" w:type="dxa"/>
              <w:end w:w="100" w:type="dxa"/>
            </w:tcMar>
            <w:vAlign w:val="top"/>
          </w:tcPr>
          <w:p>
            <w:pPr>
              <w:spacing w:after="0"/>
            </w:pPr>
            <w:r>
              <w:rPr>
                <w:sz w:val="16"/>
              </w:rPr>
              <w:t>Publish entries, aspects, owner, quality, lineage, and usage guidance.</w:t>
            </w:r>
          </w:p>
        </w:tc>
      </w:tr>
      <w:tr>
        <w:trPr>
          <w:cantSplit/>
        </w:trPr>
        <w:tc>
          <w:tcPr>
            <w:tcW w:type="dxa" w:w="2160"/>
            <w:tcMar>
              <w:top w:w="80" w:type="dxa"/>
              <w:start w:w="100" w:type="dxa"/>
              <w:bottom w:w="80" w:type="dxa"/>
              <w:end w:w="100" w:type="dxa"/>
            </w:tcMar>
            <w:vAlign w:val="top"/>
          </w:tcPr>
          <w:p>
            <w:pPr>
              <w:spacing w:after="0"/>
            </w:pPr>
            <w:r>
              <w:rPr>
                <w:sz w:val="16"/>
              </w:rPr>
              <w:t>Sensitive data appears in AI retrieval</w:t>
            </w:r>
          </w:p>
        </w:tc>
        <w:tc>
          <w:tcPr>
            <w:tcW w:type="dxa" w:w="2592"/>
            <w:tcMar>
              <w:top w:w="80" w:type="dxa"/>
              <w:start w:w="100" w:type="dxa"/>
              <w:bottom w:w="80" w:type="dxa"/>
              <w:end w:w="100" w:type="dxa"/>
            </w:tcMar>
            <w:vAlign w:val="top"/>
          </w:tcPr>
          <w:p>
            <w:pPr>
              <w:spacing w:after="0"/>
            </w:pPr>
            <w:r>
              <w:rPr>
                <w:sz w:val="16"/>
              </w:rPr>
              <w:t>Classification/masking or corpus filtering failed</w:t>
            </w:r>
          </w:p>
        </w:tc>
        <w:tc>
          <w:tcPr>
            <w:tcW w:type="dxa" w:w="5328"/>
            <w:tcMar>
              <w:top w:w="80" w:type="dxa"/>
              <w:start w:w="100" w:type="dxa"/>
              <w:bottom w:w="80" w:type="dxa"/>
              <w:end w:w="100" w:type="dxa"/>
            </w:tcMar>
            <w:vAlign w:val="top"/>
          </w:tcPr>
          <w:p>
            <w:pPr>
              <w:spacing w:after="0"/>
            </w:pPr>
            <w:r>
              <w:rPr>
                <w:sz w:val="16"/>
              </w:rPr>
              <w:t>Disable the serving path, inspect lineage and index contents, remove data, re-embed, and add policy tests.</w:t>
            </w:r>
          </w:p>
        </w:tc>
      </w:tr>
    </w:tbl>
    <w:p>
      <w:pPr>
        <w:spacing w:after="20"/>
      </w:pPr>
    </w:p>
    <w:p>
      <w:pPr>
        <w:pStyle w:val="Heading2"/>
        <w:keepNext/>
      </w:pPr>
      <w:r>
        <w:t>Hands-on Lab 26: Build a Governed Lakehouse Data Product</w:t>
      </w:r>
    </w:p>
    <w:p>
      <w:pPr>
        <w:pStyle w:val="Heading3"/>
        <w:keepNext/>
      </w:pPr>
      <w:r>
        <w:t>Prerequisites</w:t>
      </w:r>
    </w:p>
    <w:p>
      <w:pPr>
        <w:pStyle w:val="ListBullet"/>
        <w:spacing w:after="60"/>
      </w:pPr>
      <w:r>
        <w:t>Cloud Storage, BigQuery/BigLake access, Dataplex permissions, and synthetic customer event files.</w:t>
      </w:r>
    </w:p>
    <w:p>
      <w:pPr>
        <w:pStyle w:val="Heading3"/>
        <w:keepNext/>
      </w:pPr>
      <w:r>
        <w:t>Implementation</w:t>
      </w:r>
    </w:p>
    <w:p>
      <w:pPr>
        <w:spacing w:after="60"/>
        <w:ind w:left="360" w:hanging="259"/>
      </w:pPr>
      <w:r>
        <w:rPr>
          <w:b/>
        </w:rPr>
        <w:t xml:space="preserve">1. </w:t>
      </w:r>
      <w:r>
        <w:t>Create landing, standardized, curated, and serving prefixes or buckets with location, retention, versioning, and lifecycle decisions.</w:t>
      </w:r>
    </w:p>
    <w:p>
      <w:pPr>
        <w:spacing w:after="60"/>
        <w:ind w:left="360" w:hanging="259"/>
      </w:pPr>
      <w:r>
        <w:rPr>
          <w:b/>
        </w:rPr>
        <w:t xml:space="preserve">2. </w:t>
      </w:r>
      <w:r>
        <w:t>Write synthetic events as partitioned Parquet and demonstrate the impact of many small files.</w:t>
      </w:r>
    </w:p>
    <w:p>
      <w:pPr>
        <w:spacing w:after="60"/>
        <w:ind w:left="360" w:hanging="259"/>
      </w:pPr>
      <w:r>
        <w:rPr>
          <w:b/>
        </w:rPr>
        <w:t xml:space="preserve">3. </w:t>
      </w:r>
      <w:r>
        <w:t>Create a governed external/BigLake table and query it from BigQuery.</w:t>
      </w:r>
    </w:p>
    <w:p>
      <w:pPr>
        <w:spacing w:after="60"/>
        <w:ind w:left="360" w:hanging="259"/>
      </w:pPr>
      <w:r>
        <w:rPr>
          <w:b/>
        </w:rPr>
        <w:t xml:space="preserve">4. </w:t>
      </w:r>
      <w:r>
        <w:t>Register metadata in Dataplex Universal Catalog with owner, classification, description, and freshness target.</w:t>
      </w:r>
    </w:p>
    <w:p>
      <w:pPr>
        <w:spacing w:after="60"/>
        <w:ind w:left="360" w:hanging="259"/>
      </w:pPr>
      <w:r>
        <w:rPr>
          <w:b/>
        </w:rPr>
        <w:t xml:space="preserve">5. </w:t>
      </w:r>
      <w:r>
        <w:t>Create data-quality checks for nulls, uniqueness, valid ranges, and referential expectations.</w:t>
      </w:r>
    </w:p>
    <w:p>
      <w:pPr>
        <w:spacing w:after="60"/>
        <w:ind w:left="360" w:hanging="259"/>
      </w:pPr>
      <w:r>
        <w:rPr>
          <w:b/>
        </w:rPr>
        <w:t xml:space="preserve">6. </w:t>
      </w:r>
      <w:r>
        <w:t>Create or capture lineage from landing through curated output.</w:t>
      </w:r>
    </w:p>
    <w:p>
      <w:pPr>
        <w:spacing w:after="60"/>
        <w:ind w:left="360" w:hanging="259"/>
      </w:pPr>
      <w:r>
        <w:rPr>
          <w:b/>
        </w:rPr>
        <w:t xml:space="preserve">7. </w:t>
      </w:r>
      <w:r>
        <w:t>Prepare an approved AI/RAG corpus subset with prohibited fields removed and a deletion/rebuild runbook.</w:t>
      </w:r>
    </w:p>
    <w:p>
      <w:pPr>
        <w:pStyle w:val="Heading3"/>
        <w:keepNext/>
      </w:pPr>
      <w:r>
        <w:t>Validation Evidence</w:t>
      </w:r>
    </w:p>
    <w:p>
      <w:pPr>
        <w:pStyle w:val="ListBullet"/>
        <w:spacing w:after="60"/>
      </w:pPr>
      <w:r>
        <w:t>File layout and compaction evidence are recorded.</w:t>
      </w:r>
    </w:p>
    <w:p>
      <w:pPr>
        <w:pStyle w:val="ListBullet"/>
        <w:spacing w:after="60"/>
      </w:pPr>
      <w:r>
        <w:t>Catalog entries expose owner, classification, lineage, and quality.</w:t>
      </w:r>
    </w:p>
    <w:p>
      <w:pPr>
        <w:pStyle w:val="ListBullet"/>
        <w:spacing w:after="60"/>
      </w:pPr>
      <w:r>
        <w:t>Unauthorized users cannot bypass governed table access to sensitive data.</w:t>
      </w:r>
    </w:p>
    <w:p>
      <w:pPr>
        <w:pStyle w:val="ListBullet"/>
        <w:spacing w:after="60"/>
      </w:pPr>
      <w:r>
        <w:t>The AI corpus can be rebuilt after a source deletion.</w:t>
      </w:r>
    </w:p>
    <w:p>
      <w:pPr>
        <w:pStyle w:val="Heading3"/>
        <w:keepNext/>
      </w:pPr>
      <w:r>
        <w:t>Cleanup</w:t>
      </w:r>
    </w:p>
    <w:p>
      <w:pPr>
        <w:pStyle w:val="ListBullet"/>
        <w:spacing w:after="60"/>
      </w:pPr>
      <w:r>
        <w:t>Delete tables, catalog entries, scans, data, buckets, and temporary processing resources.</w:t>
      </w:r>
    </w:p>
    <w:p>
      <w:pPr>
        <w:pStyle w:val="Heading2"/>
        <w:keepNext/>
      </w:pPr>
      <w:r>
        <w:t>Interview Questions and Model Answers</w:t>
      </w:r>
    </w:p>
    <w:p>
      <w:pPr>
        <w:spacing w:after="40"/>
      </w:pPr>
      <w:r>
        <w:rPr>
          <w:b/>
        </w:rPr>
        <w:t>1. What problem does BigLake solve?</w:t>
      </w:r>
    </w:p>
    <w:p>
      <w:pPr>
        <w:spacing w:after="120"/>
        <w:ind w:left="216"/>
      </w:pPr>
      <w:r>
        <w:t>It provides governed analytical access to data in object storage and supports lakehouse interoperability patterns.</w:t>
      </w:r>
    </w:p>
    <w:p>
      <w:pPr>
        <w:spacing w:after="40"/>
      </w:pPr>
      <w:r>
        <w:rPr>
          <w:b/>
        </w:rPr>
        <w:t>2. Why are small files harmful?</w:t>
      </w:r>
    </w:p>
    <w:p>
      <w:pPr>
        <w:spacing w:after="120"/>
        <w:ind w:left="216"/>
      </w:pPr>
      <w:r>
        <w:t>They increase listing, metadata, scheduling, and per-file overhead across query and Spark engines.</w:t>
      </w:r>
    </w:p>
    <w:p>
      <w:pPr>
        <w:spacing w:after="40"/>
      </w:pPr>
      <w:r>
        <w:rPr>
          <w:b/>
        </w:rPr>
        <w:t>3. What makes lineage operationally useful?</w:t>
      </w:r>
    </w:p>
    <w:p>
      <w:pPr>
        <w:spacing w:after="120"/>
        <w:ind w:left="216"/>
      </w:pPr>
      <w:r>
        <w:t>It identifies affected downstream assets during incidents, schema changes, access reviews, and deletion requests.</w:t>
      </w:r>
    </w:p>
    <w:p>
      <w:pPr>
        <w:spacing w:after="40"/>
      </w:pPr>
      <w:r>
        <w:rPr>
          <w:b/>
        </w:rPr>
        <w:t>4. Why is a vector index not a security boundary?</w:t>
      </w:r>
    </w:p>
    <w:p>
      <w:pPr>
        <w:spacing w:after="120"/>
        <w:ind w:left="216"/>
      </w:pPr>
      <w:r>
        <w:t>It can reproduce information derived from protected content; source policy, access, deletion, and evaluation still apply.</w:t>
      </w:r>
    </w:p>
    <w:p>
      <w:pPr>
        <w:pStyle w:val="Heading2"/>
        <w:keepNext/>
      </w:pPr>
      <w:r>
        <w:t>Chapter Summary</w:t>
      </w:r>
    </w:p>
    <w:p>
      <w:pPr>
        <w:pStyle w:val="ListBullet"/>
        <w:spacing w:after="60"/>
      </w:pPr>
      <w:r>
        <w:t>Object layout and lifecycle are architecture decisions.</w:t>
      </w:r>
    </w:p>
    <w:p>
      <w:pPr>
        <w:pStyle w:val="ListBullet"/>
        <w:spacing w:after="60"/>
      </w:pPr>
      <w:r>
        <w:t>Open table formats require catalog and writer coordination.</w:t>
      </w:r>
    </w:p>
    <w:p>
      <w:pPr>
        <w:pStyle w:val="ListBullet"/>
        <w:spacing w:after="60"/>
      </w:pPr>
      <w:r>
        <w:t>Dataplex metadata, quality, and lineage make data discoverable and governable.</w:t>
      </w:r>
    </w:p>
    <w:p>
      <w:pPr>
        <w:pStyle w:val="ListBullet"/>
        <w:spacing w:after="60"/>
      </w:pPr>
      <w:r>
        <w:t>AI-ready data products require rebuild, deletion, provenance, and evaluation controls.</w:t>
      </w:r>
    </w:p>
    <w:p>
      <w:pPr>
        <w:pStyle w:val="Heading1"/>
        <w:keepNext/>
        <w:pageBreakBefore/>
      </w:pPr>
      <w:r>
        <w:t>Chapter 27 - Pub/Sub and Dataflow Streaming Engineering</w:t>
      </w:r>
    </w:p>
    <w:p>
      <w:pPr>
        <w:spacing w:after="120"/>
      </w:pPr>
      <w:r>
        <w:rPr>
          <w:i/>
          <w:color w:val="505050"/>
        </w:rPr>
        <w:t>Designing event pipelines with explicit delivery, time, state, and replay semantics</w:t>
      </w:r>
    </w:p>
    <w:p>
      <w:pPr>
        <w:pStyle w:val="Heading2"/>
        <w:keepNext/>
      </w:pPr>
      <w:r>
        <w:t>Learning Objectives</w:t>
      </w:r>
    </w:p>
    <w:p>
      <w:pPr>
        <w:pStyle w:val="ListBullet"/>
        <w:spacing w:after="60"/>
      </w:pPr>
      <w:r>
        <w:t>Design Pub/Sub topics, subscriptions, schemas, retention, dead letters, and cross-project ownership.</w:t>
      </w:r>
    </w:p>
    <w:p>
      <w:pPr>
        <w:pStyle w:val="ListBullet"/>
        <w:spacing w:after="60"/>
      </w:pPr>
      <w:r>
        <w:t>Build idempotent subscribers for at-least-once delivery and use exactly-once features only when justified.</w:t>
      </w:r>
    </w:p>
    <w:p>
      <w:pPr>
        <w:pStyle w:val="ListBullet"/>
        <w:spacing w:after="60"/>
      </w:pPr>
      <w:r>
        <w:t>Explain Beam windows, watermarks, triggers, state, and Dataflow streaming modes.</w:t>
      </w:r>
    </w:p>
    <w:p>
      <w:pPr>
        <w:pStyle w:val="ListBullet"/>
        <w:spacing w:after="60"/>
      </w:pPr>
      <w:r>
        <w:t>Operate backlog, lag, autoscaling, draining, replacement, replay, and cost.</w:t>
      </w:r>
    </w:p>
    <w:p>
      <w:pPr>
        <w:pStyle w:val="Heading2"/>
        <w:keepNext/>
      </w:pPr>
      <w:r>
        <w:t>27.1 Pub/Sub Resource and Delivery Model</w:t>
      </w:r>
    </w:p>
    <w:p>
      <w:pPr>
        <w:spacing w:after="120"/>
      </w:pPr>
      <w:r>
        <w:rPr>
          <w:i w:val="0"/>
        </w:rPr>
        <w:t>Publishers write messages to topics; each subscription represents an independent delivery stream. Pull, push, export, and BigQuery-oriented patterns differ in control and failure handling. At-least-once delivery means subscribers must tolerate duplicates. Exactly-once delivery is available for supported pull subscriptions within documented boundaries, but it adds coordination and should not replace idempotent business logic.</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Control</w:t>
            </w:r>
          </w:p>
        </w:tc>
        <w:tc>
          <w:tcPr>
            <w:tcW w:type="dxa" w:w="3600"/>
            <w:shd w:fill="1A73E8"/>
            <w:tcMar>
              <w:top w:w="80" w:type="dxa"/>
              <w:start w:w="100" w:type="dxa"/>
              <w:bottom w:w="80" w:type="dxa"/>
              <w:end w:w="100" w:type="dxa"/>
            </w:tcMar>
            <w:vAlign w:val="center"/>
          </w:tcPr>
          <w:p>
            <w:pPr>
              <w:jc w:val="center"/>
            </w:pPr>
            <w:r>
              <w:rPr>
                <w:b/>
                <w:color w:val="FFFFFF"/>
                <w:sz w:val="16"/>
              </w:rPr>
              <w:t>Purpose</w:t>
            </w:r>
          </w:p>
        </w:tc>
        <w:tc>
          <w:tcPr>
            <w:tcW w:type="dxa" w:w="4032"/>
            <w:shd w:fill="1A73E8"/>
            <w:tcMar>
              <w:top w:w="80" w:type="dxa"/>
              <w:start w:w="100" w:type="dxa"/>
              <w:bottom w:w="80" w:type="dxa"/>
              <w:end w:w="100" w:type="dxa"/>
            </w:tcMar>
            <w:vAlign w:val="center"/>
          </w:tcPr>
          <w:p>
            <w:pPr>
              <w:jc w:val="center"/>
            </w:pPr>
            <w:r>
              <w:rPr>
                <w:b/>
                <w:color w:val="FFFFFF"/>
                <w:sz w:val="16"/>
              </w:rPr>
              <w:t>Common Mistake</w:t>
            </w:r>
          </w:p>
        </w:tc>
      </w:tr>
      <w:tr>
        <w:trPr>
          <w:cantSplit/>
        </w:trPr>
        <w:tc>
          <w:tcPr>
            <w:tcW w:type="dxa" w:w="2160"/>
            <w:tcMar>
              <w:top w:w="80" w:type="dxa"/>
              <w:start w:w="100" w:type="dxa"/>
              <w:bottom w:w="80" w:type="dxa"/>
              <w:end w:w="100" w:type="dxa"/>
            </w:tcMar>
            <w:vAlign w:val="top"/>
          </w:tcPr>
          <w:p>
            <w:pPr>
              <w:spacing w:after="0"/>
            </w:pPr>
            <w:r>
              <w:rPr>
                <w:sz w:val="16"/>
              </w:rPr>
              <w:t>Schema</w:t>
            </w:r>
          </w:p>
        </w:tc>
        <w:tc>
          <w:tcPr>
            <w:tcW w:type="dxa" w:w="3600"/>
            <w:tcMar>
              <w:top w:w="80" w:type="dxa"/>
              <w:start w:w="100" w:type="dxa"/>
              <w:bottom w:w="80" w:type="dxa"/>
              <w:end w:w="100" w:type="dxa"/>
            </w:tcMar>
            <w:vAlign w:val="top"/>
          </w:tcPr>
          <w:p>
            <w:pPr>
              <w:spacing w:after="0"/>
            </w:pPr>
            <w:r>
              <w:rPr>
                <w:sz w:val="16"/>
              </w:rPr>
              <w:t>Validate message shape/encoding</w:t>
            </w:r>
          </w:p>
        </w:tc>
        <w:tc>
          <w:tcPr>
            <w:tcW w:type="dxa" w:w="4032"/>
            <w:tcMar>
              <w:top w:w="80" w:type="dxa"/>
              <w:start w:w="100" w:type="dxa"/>
              <w:bottom w:w="80" w:type="dxa"/>
              <w:end w:w="100" w:type="dxa"/>
            </w:tcMar>
            <w:vAlign w:val="top"/>
          </w:tcPr>
          <w:p>
            <w:pPr>
              <w:spacing w:after="0"/>
            </w:pPr>
            <w:r>
              <w:rPr>
                <w:sz w:val="16"/>
              </w:rPr>
              <w:t>Treating schema compatibility as business validation</w:t>
            </w:r>
          </w:p>
        </w:tc>
      </w:tr>
      <w:tr>
        <w:trPr>
          <w:cantSplit/>
        </w:trPr>
        <w:tc>
          <w:tcPr>
            <w:tcW w:type="dxa" w:w="2160"/>
            <w:tcMar>
              <w:top w:w="80" w:type="dxa"/>
              <w:start w:w="100" w:type="dxa"/>
              <w:bottom w:w="80" w:type="dxa"/>
              <w:end w:w="100" w:type="dxa"/>
            </w:tcMar>
            <w:vAlign w:val="top"/>
          </w:tcPr>
          <w:p>
            <w:pPr>
              <w:spacing w:after="0"/>
            </w:pPr>
            <w:r>
              <w:rPr>
                <w:sz w:val="16"/>
              </w:rPr>
              <w:t>Retention/seek/snapshot</w:t>
            </w:r>
          </w:p>
        </w:tc>
        <w:tc>
          <w:tcPr>
            <w:tcW w:type="dxa" w:w="3600"/>
            <w:tcMar>
              <w:top w:w="80" w:type="dxa"/>
              <w:start w:w="100" w:type="dxa"/>
              <w:bottom w:w="80" w:type="dxa"/>
              <w:end w:w="100" w:type="dxa"/>
            </w:tcMar>
            <w:vAlign w:val="top"/>
          </w:tcPr>
          <w:p>
            <w:pPr>
              <w:spacing w:after="0"/>
            </w:pPr>
            <w:r>
              <w:rPr>
                <w:sz w:val="16"/>
              </w:rPr>
              <w:t>Replay and recovery</w:t>
            </w:r>
          </w:p>
        </w:tc>
        <w:tc>
          <w:tcPr>
            <w:tcW w:type="dxa" w:w="4032"/>
            <w:tcMar>
              <w:top w:w="80" w:type="dxa"/>
              <w:start w:w="100" w:type="dxa"/>
              <w:bottom w:w="80" w:type="dxa"/>
              <w:end w:w="100" w:type="dxa"/>
            </w:tcMar>
            <w:vAlign w:val="top"/>
          </w:tcPr>
          <w:p>
            <w:pPr>
              <w:spacing w:after="0"/>
            </w:pPr>
            <w:r>
              <w:rPr>
                <w:sz w:val="16"/>
              </w:rPr>
              <w:t>No owner or capacity plan for replay storm</w:t>
            </w:r>
          </w:p>
        </w:tc>
      </w:tr>
      <w:tr>
        <w:trPr>
          <w:cantSplit/>
        </w:trPr>
        <w:tc>
          <w:tcPr>
            <w:tcW w:type="dxa" w:w="2160"/>
            <w:tcMar>
              <w:top w:w="80" w:type="dxa"/>
              <w:start w:w="100" w:type="dxa"/>
              <w:bottom w:w="80" w:type="dxa"/>
              <w:end w:w="100" w:type="dxa"/>
            </w:tcMar>
            <w:vAlign w:val="top"/>
          </w:tcPr>
          <w:p>
            <w:pPr>
              <w:spacing w:after="0"/>
            </w:pPr>
            <w:r>
              <w:rPr>
                <w:sz w:val="16"/>
              </w:rPr>
              <w:t>Dead-letter topic</w:t>
            </w:r>
          </w:p>
        </w:tc>
        <w:tc>
          <w:tcPr>
            <w:tcW w:type="dxa" w:w="3600"/>
            <w:tcMar>
              <w:top w:w="80" w:type="dxa"/>
              <w:start w:w="100" w:type="dxa"/>
              <w:bottom w:w="80" w:type="dxa"/>
              <w:end w:w="100" w:type="dxa"/>
            </w:tcMar>
            <w:vAlign w:val="top"/>
          </w:tcPr>
          <w:p>
            <w:pPr>
              <w:spacing w:after="0"/>
            </w:pPr>
            <w:r>
              <w:rPr>
                <w:sz w:val="16"/>
              </w:rPr>
              <w:t>Isolate repeatedly failing messages</w:t>
            </w:r>
          </w:p>
        </w:tc>
        <w:tc>
          <w:tcPr>
            <w:tcW w:type="dxa" w:w="4032"/>
            <w:tcMar>
              <w:top w:w="80" w:type="dxa"/>
              <w:start w:w="100" w:type="dxa"/>
              <w:bottom w:w="80" w:type="dxa"/>
              <w:end w:w="100" w:type="dxa"/>
            </w:tcMar>
            <w:vAlign w:val="top"/>
          </w:tcPr>
          <w:p>
            <w:pPr>
              <w:spacing w:after="0"/>
            </w:pPr>
            <w:r>
              <w:rPr>
                <w:sz w:val="16"/>
              </w:rPr>
              <w:t>Never reprocessing or alerting on DLQ growth</w:t>
            </w:r>
          </w:p>
        </w:tc>
      </w:tr>
      <w:tr>
        <w:trPr>
          <w:cantSplit/>
        </w:trPr>
        <w:tc>
          <w:tcPr>
            <w:tcW w:type="dxa" w:w="2160"/>
            <w:tcMar>
              <w:top w:w="80" w:type="dxa"/>
              <w:start w:w="100" w:type="dxa"/>
              <w:bottom w:w="80" w:type="dxa"/>
              <w:end w:w="100" w:type="dxa"/>
            </w:tcMar>
            <w:vAlign w:val="top"/>
          </w:tcPr>
          <w:p>
            <w:pPr>
              <w:spacing w:after="0"/>
            </w:pPr>
            <w:r>
              <w:rPr>
                <w:sz w:val="16"/>
              </w:rPr>
              <w:t>Ordering key</w:t>
            </w:r>
          </w:p>
        </w:tc>
        <w:tc>
          <w:tcPr>
            <w:tcW w:type="dxa" w:w="3600"/>
            <w:tcMar>
              <w:top w:w="80" w:type="dxa"/>
              <w:start w:w="100" w:type="dxa"/>
              <w:bottom w:w="80" w:type="dxa"/>
              <w:end w:w="100" w:type="dxa"/>
            </w:tcMar>
            <w:vAlign w:val="top"/>
          </w:tcPr>
          <w:p>
            <w:pPr>
              <w:spacing w:after="0"/>
            </w:pPr>
            <w:r>
              <w:rPr>
                <w:sz w:val="16"/>
              </w:rPr>
              <w:t>Order related messages</w:t>
            </w:r>
          </w:p>
        </w:tc>
        <w:tc>
          <w:tcPr>
            <w:tcW w:type="dxa" w:w="4032"/>
            <w:tcMar>
              <w:top w:w="80" w:type="dxa"/>
              <w:start w:w="100" w:type="dxa"/>
              <w:bottom w:w="80" w:type="dxa"/>
              <w:end w:w="100" w:type="dxa"/>
            </w:tcMar>
            <w:vAlign w:val="top"/>
          </w:tcPr>
          <w:p>
            <w:pPr>
              <w:spacing w:after="0"/>
            </w:pPr>
            <w:r>
              <w:rPr>
                <w:sz w:val="16"/>
              </w:rPr>
              <w:t>Using one key for all traffic and serializing throughput</w:t>
            </w:r>
          </w:p>
        </w:tc>
      </w:tr>
      <w:tr>
        <w:trPr>
          <w:cantSplit/>
        </w:trPr>
        <w:tc>
          <w:tcPr>
            <w:tcW w:type="dxa" w:w="2160"/>
            <w:tcMar>
              <w:top w:w="80" w:type="dxa"/>
              <w:start w:w="100" w:type="dxa"/>
              <w:bottom w:w="80" w:type="dxa"/>
              <w:end w:w="100" w:type="dxa"/>
            </w:tcMar>
            <w:vAlign w:val="top"/>
          </w:tcPr>
          <w:p>
            <w:pPr>
              <w:spacing w:after="0"/>
            </w:pPr>
            <w:r>
              <w:rPr>
                <w:sz w:val="16"/>
              </w:rPr>
              <w:t>Flow control</w:t>
            </w:r>
          </w:p>
        </w:tc>
        <w:tc>
          <w:tcPr>
            <w:tcW w:type="dxa" w:w="3600"/>
            <w:tcMar>
              <w:top w:w="80" w:type="dxa"/>
              <w:start w:w="100" w:type="dxa"/>
              <w:bottom w:w="80" w:type="dxa"/>
              <w:end w:w="100" w:type="dxa"/>
            </w:tcMar>
            <w:vAlign w:val="top"/>
          </w:tcPr>
          <w:p>
            <w:pPr>
              <w:spacing w:after="0"/>
            </w:pPr>
            <w:r>
              <w:rPr>
                <w:sz w:val="16"/>
              </w:rPr>
              <w:t>Protect subscriber capacity</w:t>
            </w:r>
          </w:p>
        </w:tc>
        <w:tc>
          <w:tcPr>
            <w:tcW w:type="dxa" w:w="4032"/>
            <w:tcMar>
              <w:top w:w="80" w:type="dxa"/>
              <w:start w:w="100" w:type="dxa"/>
              <w:bottom w:w="80" w:type="dxa"/>
              <w:end w:w="100" w:type="dxa"/>
            </w:tcMar>
            <w:vAlign w:val="top"/>
          </w:tcPr>
          <w:p>
            <w:pPr>
              <w:spacing w:after="0"/>
            </w:pPr>
            <w:r>
              <w:rPr>
                <w:sz w:val="16"/>
              </w:rPr>
              <w:t>Unlimited in-flight messages and memory pressure</w:t>
            </w:r>
          </w:p>
        </w:tc>
      </w:tr>
    </w:tbl>
    <w:p>
      <w:pPr>
        <w:spacing w:after="20"/>
      </w:pPr>
    </w:p>
    <w:p>
      <w:pPr>
        <w:pStyle w:val="Heading2"/>
        <w:keepNext/>
      </w:pPr>
      <w:r>
        <w:t>27.2 Idempotency, Ordering, and Failure Contracts</w:t>
      </w:r>
    </w:p>
    <w:p>
      <w:pPr>
        <w:spacing w:after="120"/>
      </w:pPr>
      <w:r>
        <w:rPr>
          <w:i w:val="0"/>
        </w:rPr>
        <w:t>Use a stable event ID and a durable idempotency record or naturally idempotent upsert. Acknowledgment should follow successful durable processing. Retries must use backoff, and poison messages must eventually move to a dead-letter path with diagnostics. Ordering is per ordering key and can reduce availability or increase latency during recovery.</w:t>
      </w:r>
    </w:p>
    <w:p>
      <w:pPr>
        <w:pStyle w:val="ListBullet"/>
        <w:spacing w:after="60"/>
      </w:pPr>
      <w:r>
        <w:t>Separate event time, publish time, and processing time.</w:t>
      </w:r>
    </w:p>
    <w:p>
      <w:pPr>
        <w:pStyle w:val="ListBullet"/>
        <w:spacing w:after="60"/>
      </w:pPr>
      <w:r>
        <w:t>Include schema version, producer, correlation ID, tenant, and classification metadata.</w:t>
      </w:r>
    </w:p>
    <w:p>
      <w:pPr>
        <w:pStyle w:val="ListBullet"/>
        <w:spacing w:after="60"/>
      </w:pPr>
      <w:r>
        <w:t>Do not put secrets or unrestricted personal data in message attributes.</w:t>
      </w:r>
    </w:p>
    <w:p>
      <w:pPr>
        <w:pStyle w:val="ListBullet"/>
        <w:spacing w:after="60"/>
      </w:pPr>
      <w:r>
        <w:t>Define replay effects before enabling long retention.</w:t>
      </w:r>
    </w:p>
    <w:p>
      <w:pPr>
        <w:pStyle w:val="Heading2"/>
        <w:keepNext/>
      </w:pPr>
      <w:r>
        <w:t>27.3 Apache Beam and Dataflow Semantics</w:t>
      </w:r>
    </w:p>
    <w:p>
      <w:pPr>
        <w:spacing w:after="120"/>
      </w:pPr>
      <w:r>
        <w:rPr>
          <w:i w:val="0"/>
        </w:rPr>
        <w:t>Dataflow executes Apache Beam pipelines for batch and streaming. Windows group unbounded events, watermarks estimate event-time progress, and triggers decide when results are emitted. Allowed lateness and accumulation mode determine how late data changes prior outputs. Stateful processing requires careful keying and bounded state.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448"/>
            <w:shd w:fill="1A73E8"/>
            <w:tcMar>
              <w:top w:w="80" w:type="dxa"/>
              <w:start w:w="100" w:type="dxa"/>
              <w:bottom w:w="80" w:type="dxa"/>
              <w:end w:w="100" w:type="dxa"/>
            </w:tcMar>
            <w:vAlign w:val="center"/>
          </w:tcPr>
          <w:p>
            <w:pPr>
              <w:jc w:val="center"/>
            </w:pPr>
            <w:r>
              <w:rPr>
                <w:b/>
                <w:color w:val="FFFFFF"/>
                <w:sz w:val="16"/>
              </w:rPr>
              <w:t>Concept</w:t>
            </w:r>
          </w:p>
        </w:tc>
        <w:tc>
          <w:tcPr>
            <w:tcW w:type="dxa" w:w="7200"/>
            <w:shd w:fill="1A73E8"/>
            <w:tcMar>
              <w:top w:w="80" w:type="dxa"/>
              <w:start w:w="100" w:type="dxa"/>
              <w:bottom w:w="80" w:type="dxa"/>
              <w:end w:w="100" w:type="dxa"/>
            </w:tcMar>
            <w:vAlign w:val="center"/>
          </w:tcPr>
          <w:p>
            <w:pPr>
              <w:jc w:val="center"/>
            </w:pPr>
            <w:r>
              <w:rPr>
                <w:b/>
                <w:color w:val="FFFFFF"/>
                <w:sz w:val="16"/>
              </w:rPr>
              <w:t>Question</w:t>
            </w:r>
          </w:p>
        </w:tc>
      </w:tr>
      <w:tr>
        <w:trPr>
          <w:cantSplit/>
        </w:trPr>
        <w:tc>
          <w:tcPr>
            <w:tcW w:type="dxa" w:w="2448"/>
            <w:tcMar>
              <w:top w:w="80" w:type="dxa"/>
              <w:start w:w="100" w:type="dxa"/>
              <w:bottom w:w="80" w:type="dxa"/>
              <w:end w:w="100" w:type="dxa"/>
            </w:tcMar>
            <w:vAlign w:val="top"/>
          </w:tcPr>
          <w:p>
            <w:pPr>
              <w:spacing w:after="0"/>
            </w:pPr>
            <w:r>
              <w:rPr>
                <w:sz w:val="16"/>
              </w:rPr>
              <w:t>Window</w:t>
            </w:r>
          </w:p>
        </w:tc>
        <w:tc>
          <w:tcPr>
            <w:tcW w:type="dxa" w:w="7200"/>
            <w:tcMar>
              <w:top w:w="80" w:type="dxa"/>
              <w:start w:w="100" w:type="dxa"/>
              <w:bottom w:w="80" w:type="dxa"/>
              <w:end w:w="100" w:type="dxa"/>
            </w:tcMar>
            <w:vAlign w:val="top"/>
          </w:tcPr>
          <w:p>
            <w:pPr>
              <w:spacing w:after="0"/>
            </w:pPr>
            <w:r>
              <w:rPr>
                <w:sz w:val="16"/>
              </w:rPr>
              <w:t>Which events belong to one result?</w:t>
            </w:r>
          </w:p>
        </w:tc>
      </w:tr>
      <w:tr>
        <w:trPr>
          <w:cantSplit/>
        </w:trPr>
        <w:tc>
          <w:tcPr>
            <w:tcW w:type="dxa" w:w="2448"/>
            <w:tcMar>
              <w:top w:w="80" w:type="dxa"/>
              <w:start w:w="100" w:type="dxa"/>
              <w:bottom w:w="80" w:type="dxa"/>
              <w:end w:w="100" w:type="dxa"/>
            </w:tcMar>
            <w:vAlign w:val="top"/>
          </w:tcPr>
          <w:p>
            <w:pPr>
              <w:spacing w:after="0"/>
            </w:pPr>
            <w:r>
              <w:rPr>
                <w:sz w:val="16"/>
              </w:rPr>
              <w:t>Watermark</w:t>
            </w:r>
          </w:p>
        </w:tc>
        <w:tc>
          <w:tcPr>
            <w:tcW w:type="dxa" w:w="7200"/>
            <w:tcMar>
              <w:top w:w="80" w:type="dxa"/>
              <w:start w:w="100" w:type="dxa"/>
              <w:bottom w:w="80" w:type="dxa"/>
              <w:end w:w="100" w:type="dxa"/>
            </w:tcMar>
            <w:vAlign w:val="top"/>
          </w:tcPr>
          <w:p>
            <w:pPr>
              <w:spacing w:after="0"/>
            </w:pPr>
            <w:r>
              <w:rPr>
                <w:sz w:val="16"/>
              </w:rPr>
              <w:t>How complete does the system believe event time is?</w:t>
            </w:r>
          </w:p>
        </w:tc>
      </w:tr>
      <w:tr>
        <w:trPr>
          <w:cantSplit/>
        </w:trPr>
        <w:tc>
          <w:tcPr>
            <w:tcW w:type="dxa" w:w="2448"/>
            <w:tcMar>
              <w:top w:w="80" w:type="dxa"/>
              <w:start w:w="100" w:type="dxa"/>
              <w:bottom w:w="80" w:type="dxa"/>
              <w:end w:w="100" w:type="dxa"/>
            </w:tcMar>
            <w:vAlign w:val="top"/>
          </w:tcPr>
          <w:p>
            <w:pPr>
              <w:spacing w:after="0"/>
            </w:pPr>
            <w:r>
              <w:rPr>
                <w:sz w:val="16"/>
              </w:rPr>
              <w:t>Trigger</w:t>
            </w:r>
          </w:p>
        </w:tc>
        <w:tc>
          <w:tcPr>
            <w:tcW w:type="dxa" w:w="7200"/>
            <w:tcMar>
              <w:top w:w="80" w:type="dxa"/>
              <w:start w:w="100" w:type="dxa"/>
              <w:bottom w:w="80" w:type="dxa"/>
              <w:end w:w="100" w:type="dxa"/>
            </w:tcMar>
            <w:vAlign w:val="top"/>
          </w:tcPr>
          <w:p>
            <w:pPr>
              <w:spacing w:after="0"/>
            </w:pPr>
            <w:r>
              <w:rPr>
                <w:sz w:val="16"/>
              </w:rPr>
              <w:t>When should early/on-time/late output be emitted?</w:t>
            </w:r>
          </w:p>
        </w:tc>
      </w:tr>
      <w:tr>
        <w:trPr>
          <w:cantSplit/>
        </w:trPr>
        <w:tc>
          <w:tcPr>
            <w:tcW w:type="dxa" w:w="2448"/>
            <w:tcMar>
              <w:top w:w="80" w:type="dxa"/>
              <w:start w:w="100" w:type="dxa"/>
              <w:bottom w:w="80" w:type="dxa"/>
              <w:end w:w="100" w:type="dxa"/>
            </w:tcMar>
            <w:vAlign w:val="top"/>
          </w:tcPr>
          <w:p>
            <w:pPr>
              <w:spacing w:after="0"/>
            </w:pPr>
            <w:r>
              <w:rPr>
                <w:sz w:val="16"/>
              </w:rPr>
              <w:t>Allowed lateness</w:t>
            </w:r>
          </w:p>
        </w:tc>
        <w:tc>
          <w:tcPr>
            <w:tcW w:type="dxa" w:w="7200"/>
            <w:tcMar>
              <w:top w:w="80" w:type="dxa"/>
              <w:start w:w="100" w:type="dxa"/>
              <w:bottom w:w="80" w:type="dxa"/>
              <w:end w:w="100" w:type="dxa"/>
            </w:tcMar>
            <w:vAlign w:val="top"/>
          </w:tcPr>
          <w:p>
            <w:pPr>
              <w:spacing w:after="0"/>
            </w:pPr>
            <w:r>
              <w:rPr>
                <w:sz w:val="16"/>
              </w:rPr>
              <w:t>How long may late events update a result?</w:t>
            </w:r>
          </w:p>
        </w:tc>
      </w:tr>
      <w:tr>
        <w:trPr>
          <w:cantSplit/>
        </w:trPr>
        <w:tc>
          <w:tcPr>
            <w:tcW w:type="dxa" w:w="2448"/>
            <w:tcMar>
              <w:top w:w="80" w:type="dxa"/>
              <w:start w:w="100" w:type="dxa"/>
              <w:bottom w:w="80" w:type="dxa"/>
              <w:end w:w="100" w:type="dxa"/>
            </w:tcMar>
            <w:vAlign w:val="top"/>
          </w:tcPr>
          <w:p>
            <w:pPr>
              <w:spacing w:after="0"/>
            </w:pPr>
            <w:r>
              <w:rPr>
                <w:sz w:val="16"/>
              </w:rPr>
              <w:t>State/timer</w:t>
            </w:r>
          </w:p>
        </w:tc>
        <w:tc>
          <w:tcPr>
            <w:tcW w:type="dxa" w:w="7200"/>
            <w:tcMar>
              <w:top w:w="80" w:type="dxa"/>
              <w:start w:w="100" w:type="dxa"/>
              <w:bottom w:w="80" w:type="dxa"/>
              <w:end w:w="100" w:type="dxa"/>
            </w:tcMar>
            <w:vAlign w:val="top"/>
          </w:tcPr>
          <w:p>
            <w:pPr>
              <w:spacing w:after="0"/>
            </w:pPr>
            <w:r>
              <w:rPr>
                <w:sz w:val="16"/>
              </w:rPr>
              <w:t>What per-key memory and timeout logic is required?</w:t>
            </w:r>
          </w:p>
        </w:tc>
      </w:tr>
      <w:tr>
        <w:trPr>
          <w:cantSplit/>
        </w:trPr>
        <w:tc>
          <w:tcPr>
            <w:tcW w:type="dxa" w:w="2448"/>
            <w:tcMar>
              <w:top w:w="80" w:type="dxa"/>
              <w:start w:w="100" w:type="dxa"/>
              <w:bottom w:w="80" w:type="dxa"/>
              <w:end w:w="100" w:type="dxa"/>
            </w:tcMar>
            <w:vAlign w:val="top"/>
          </w:tcPr>
          <w:p>
            <w:pPr>
              <w:spacing w:after="0"/>
            </w:pPr>
            <w:r>
              <w:rPr>
                <w:sz w:val="16"/>
              </w:rPr>
              <w:t>Streaming mode</w:t>
            </w:r>
          </w:p>
        </w:tc>
        <w:tc>
          <w:tcPr>
            <w:tcW w:type="dxa" w:w="7200"/>
            <w:tcMar>
              <w:top w:w="80" w:type="dxa"/>
              <w:start w:w="100" w:type="dxa"/>
              <w:bottom w:w="80" w:type="dxa"/>
              <w:end w:w="100" w:type="dxa"/>
            </w:tcMar>
            <w:vAlign w:val="top"/>
          </w:tcPr>
          <w:p>
            <w:pPr>
              <w:spacing w:after="0"/>
            </w:pPr>
            <w:r>
              <w:rPr>
                <w:sz w:val="16"/>
              </w:rPr>
              <w:t>Exactly-once default or at-least-once cost/latency trade-off?</w:t>
            </w:r>
          </w:p>
        </w:tc>
      </w:tr>
    </w:tbl>
    <w:p>
      <w:pPr>
        <w:spacing w:after="20"/>
      </w:pPr>
    </w:p>
    <w:p>
      <w:pPr>
        <w:pStyle w:val="Heading2"/>
        <w:keepNext/>
      </w:pPr>
      <w:r>
        <w:t>27.4 Operations, Update, and Replay</w:t>
      </w:r>
    </w:p>
    <w:p>
      <w:pPr>
        <w:spacing w:after="120"/>
      </w:pPr>
      <w:r>
        <w:rPr>
          <w:i w:val="0"/>
        </w:rPr>
        <w:t>Monitor oldest unacknowledged message age, backlog bytes/messages, delivery attempts, dead-letter rate, Dataflow system lag, watermark, worker utilization, throughput, and sink errors. Drain preserves in-flight processing for supported streaming shutdown; cancel stops more abruptly. Pipeline replacement must preserve state compatibility or use a planned migration.</w:t>
      </w:r>
    </w:p>
    <w:p>
      <w:pPr>
        <w:pStyle w:val="CodeBlock"/>
        <w:keepLines/>
        <w:spacing w:after="120"/>
      </w:pPr>
      <w:r>
        <w:rPr>
          <w:rFonts w:ascii="Cascadia Mono" w:hAnsi="Cascadia Mono"/>
          <w:sz w:val="16"/>
        </w:rPr>
        <w:t>gcloud pubsub subscriptions describe orders-sub</w:t>
        <w:br/>
        <w:t>gcloud pubsub subscriptions seek orders-sub --time='2026-07-30T00:00:00Z'</w:t>
        <w:br/>
        <w:t>gcloud dataflow jobs list --region=REGION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Backlog grows continuously</w:t>
            </w:r>
          </w:p>
        </w:tc>
        <w:tc>
          <w:tcPr>
            <w:tcW w:type="dxa" w:w="2592"/>
            <w:tcMar>
              <w:top w:w="80" w:type="dxa"/>
              <w:start w:w="100" w:type="dxa"/>
              <w:bottom w:w="80" w:type="dxa"/>
              <w:end w:w="100" w:type="dxa"/>
            </w:tcMar>
            <w:vAlign w:val="top"/>
          </w:tcPr>
          <w:p>
            <w:pPr>
              <w:spacing w:after="0"/>
            </w:pPr>
            <w:r>
              <w:rPr>
                <w:sz w:val="16"/>
              </w:rPr>
              <w:t>Subscriber capacity, downstream bottleneck, errors, or flow control</w:t>
            </w:r>
          </w:p>
        </w:tc>
        <w:tc>
          <w:tcPr>
            <w:tcW w:type="dxa" w:w="5328"/>
            <w:tcMar>
              <w:top w:w="80" w:type="dxa"/>
              <w:start w:w="100" w:type="dxa"/>
              <w:bottom w:w="80" w:type="dxa"/>
              <w:end w:w="100" w:type="dxa"/>
            </w:tcMar>
            <w:vAlign w:val="top"/>
          </w:tcPr>
          <w:p>
            <w:pPr>
              <w:spacing w:after="0"/>
            </w:pPr>
            <w:r>
              <w:rPr>
                <w:sz w:val="16"/>
              </w:rPr>
              <w:t>Inspect oldest age, ack rate, worker/sink metrics; scale or fix downstream before replay.</w:t>
            </w:r>
          </w:p>
        </w:tc>
      </w:tr>
      <w:tr>
        <w:trPr>
          <w:cantSplit/>
        </w:trPr>
        <w:tc>
          <w:tcPr>
            <w:tcW w:type="dxa" w:w="2160"/>
            <w:tcMar>
              <w:top w:w="80" w:type="dxa"/>
              <w:start w:w="100" w:type="dxa"/>
              <w:bottom w:w="80" w:type="dxa"/>
              <w:end w:w="100" w:type="dxa"/>
            </w:tcMar>
            <w:vAlign w:val="top"/>
          </w:tcPr>
          <w:p>
            <w:pPr>
              <w:spacing w:after="0"/>
            </w:pPr>
            <w:r>
              <w:rPr>
                <w:sz w:val="16"/>
              </w:rPr>
              <w:t>Duplicate business effects</w:t>
            </w:r>
          </w:p>
        </w:tc>
        <w:tc>
          <w:tcPr>
            <w:tcW w:type="dxa" w:w="2592"/>
            <w:tcMar>
              <w:top w:w="80" w:type="dxa"/>
              <w:start w:w="100" w:type="dxa"/>
              <w:bottom w:w="80" w:type="dxa"/>
              <w:end w:w="100" w:type="dxa"/>
            </w:tcMar>
            <w:vAlign w:val="top"/>
          </w:tcPr>
          <w:p>
            <w:pPr>
              <w:spacing w:after="0"/>
            </w:pPr>
            <w:r>
              <w:rPr>
                <w:sz w:val="16"/>
              </w:rPr>
              <w:t>Subscriber not idempotent or ack occurs before durable commit</w:t>
            </w:r>
          </w:p>
        </w:tc>
        <w:tc>
          <w:tcPr>
            <w:tcW w:type="dxa" w:w="5328"/>
            <w:tcMar>
              <w:top w:w="80" w:type="dxa"/>
              <w:start w:w="100" w:type="dxa"/>
              <w:bottom w:w="80" w:type="dxa"/>
              <w:end w:w="100" w:type="dxa"/>
            </w:tcMar>
            <w:vAlign w:val="top"/>
          </w:tcPr>
          <w:p>
            <w:pPr>
              <w:spacing w:after="0"/>
            </w:pPr>
            <w:r>
              <w:rPr>
                <w:sz w:val="16"/>
              </w:rPr>
              <w:t>Use event IDs/upserts, transactionally record processing, and ack after success.</w:t>
            </w:r>
          </w:p>
        </w:tc>
      </w:tr>
      <w:tr>
        <w:trPr>
          <w:cantSplit/>
        </w:trPr>
        <w:tc>
          <w:tcPr>
            <w:tcW w:type="dxa" w:w="2160"/>
            <w:tcMar>
              <w:top w:w="80" w:type="dxa"/>
              <w:start w:w="100" w:type="dxa"/>
              <w:bottom w:w="80" w:type="dxa"/>
              <w:end w:w="100" w:type="dxa"/>
            </w:tcMar>
            <w:vAlign w:val="top"/>
          </w:tcPr>
          <w:p>
            <w:pPr>
              <w:spacing w:after="0"/>
            </w:pPr>
            <w:r>
              <w:rPr>
                <w:sz w:val="16"/>
              </w:rPr>
              <w:t>Late events change totals unexpectedly</w:t>
            </w:r>
          </w:p>
        </w:tc>
        <w:tc>
          <w:tcPr>
            <w:tcW w:type="dxa" w:w="2592"/>
            <w:tcMar>
              <w:top w:w="80" w:type="dxa"/>
              <w:start w:w="100" w:type="dxa"/>
              <w:bottom w:w="80" w:type="dxa"/>
              <w:end w:w="100" w:type="dxa"/>
            </w:tcMar>
            <w:vAlign w:val="top"/>
          </w:tcPr>
          <w:p>
            <w:pPr>
              <w:spacing w:after="0"/>
            </w:pPr>
            <w:r>
              <w:rPr>
                <w:sz w:val="16"/>
              </w:rPr>
              <w:t>Window, watermark, trigger, or allowed-lateness mismatch</w:t>
            </w:r>
          </w:p>
        </w:tc>
        <w:tc>
          <w:tcPr>
            <w:tcW w:type="dxa" w:w="5328"/>
            <w:tcMar>
              <w:top w:w="80" w:type="dxa"/>
              <w:start w:w="100" w:type="dxa"/>
              <w:bottom w:w="80" w:type="dxa"/>
              <w:end w:w="100" w:type="dxa"/>
            </w:tcMar>
            <w:vAlign w:val="top"/>
          </w:tcPr>
          <w:p>
            <w:pPr>
              <w:spacing w:after="0"/>
            </w:pPr>
            <w:r>
              <w:rPr>
                <w:sz w:val="16"/>
              </w:rPr>
              <w:t>Inspect event timestamps and Beam configuration; align semantics with product contract.</w:t>
            </w:r>
          </w:p>
        </w:tc>
      </w:tr>
      <w:tr>
        <w:trPr>
          <w:cantSplit/>
        </w:trPr>
        <w:tc>
          <w:tcPr>
            <w:tcW w:type="dxa" w:w="2160"/>
            <w:tcMar>
              <w:top w:w="80" w:type="dxa"/>
              <w:start w:w="100" w:type="dxa"/>
              <w:bottom w:w="80" w:type="dxa"/>
              <w:end w:w="100" w:type="dxa"/>
            </w:tcMar>
            <w:vAlign w:val="top"/>
          </w:tcPr>
          <w:p>
            <w:pPr>
              <w:spacing w:after="0"/>
            </w:pPr>
            <w:r>
              <w:rPr>
                <w:sz w:val="16"/>
              </w:rPr>
              <w:t>Dataflow will not scale</w:t>
            </w:r>
          </w:p>
        </w:tc>
        <w:tc>
          <w:tcPr>
            <w:tcW w:type="dxa" w:w="2592"/>
            <w:tcMar>
              <w:top w:w="80" w:type="dxa"/>
              <w:start w:w="100" w:type="dxa"/>
              <w:bottom w:w="80" w:type="dxa"/>
              <w:end w:w="100" w:type="dxa"/>
            </w:tcMar>
            <w:vAlign w:val="top"/>
          </w:tcPr>
          <w:p>
            <w:pPr>
              <w:spacing w:after="0"/>
            </w:pPr>
            <w:r>
              <w:rPr>
                <w:sz w:val="16"/>
              </w:rPr>
              <w:t>Key skew, fused bottleneck, quota, worker config, or sink limit</w:t>
            </w:r>
          </w:p>
        </w:tc>
        <w:tc>
          <w:tcPr>
            <w:tcW w:type="dxa" w:w="5328"/>
            <w:tcMar>
              <w:top w:w="80" w:type="dxa"/>
              <w:start w:w="100" w:type="dxa"/>
              <w:bottom w:w="80" w:type="dxa"/>
              <w:end w:w="100" w:type="dxa"/>
            </w:tcMar>
            <w:vAlign w:val="top"/>
          </w:tcPr>
          <w:p>
            <w:pPr>
              <w:spacing w:after="0"/>
            </w:pPr>
            <w:r>
              <w:rPr>
                <w:sz w:val="16"/>
              </w:rPr>
              <w:t>Inspect stage and autoscaling metrics; reshuffle keys, separate stages, raise quota, or protect sink.</w:t>
            </w:r>
          </w:p>
        </w:tc>
      </w:tr>
    </w:tbl>
    <w:p>
      <w:pPr>
        <w:spacing w:after="20"/>
      </w:pPr>
    </w:p>
    <w:p>
      <w:pPr>
        <w:pStyle w:val="Heading2"/>
        <w:keepNext/>
      </w:pPr>
      <w:r>
        <w:t>Hands-on Lab 27: Build an Idempotent Streaming Orders Pipeline</w:t>
      </w:r>
    </w:p>
    <w:p>
      <w:pPr>
        <w:pStyle w:val="Heading3"/>
        <w:keepNext/>
      </w:pPr>
      <w:r>
        <w:t>Prerequisites</w:t>
      </w:r>
    </w:p>
    <w:p>
      <w:pPr>
        <w:pStyle w:val="ListBullet"/>
        <w:spacing w:after="60"/>
      </w:pPr>
      <w:r>
        <w:t>Pub/Sub, Dataflow, BigQuery, a service account, and synthetic order-event generator.</w:t>
      </w:r>
    </w:p>
    <w:p>
      <w:pPr>
        <w:pStyle w:val="Heading3"/>
        <w:keepNext/>
      </w:pPr>
      <w:r>
        <w:t>Implementation</w:t>
      </w:r>
    </w:p>
    <w:p>
      <w:pPr>
        <w:spacing w:after="60"/>
        <w:ind w:left="360" w:hanging="259"/>
      </w:pPr>
      <w:r>
        <w:rPr>
          <w:b/>
        </w:rPr>
        <w:t xml:space="preserve">1. </w:t>
      </w:r>
      <w:r>
        <w:t>Create a versioned Pub/Sub schema, topic, primary subscription, and dead-letter topic/subscription.</w:t>
      </w:r>
    </w:p>
    <w:p>
      <w:pPr>
        <w:spacing w:after="60"/>
        <w:ind w:left="360" w:hanging="259"/>
      </w:pPr>
      <w:r>
        <w:rPr>
          <w:b/>
        </w:rPr>
        <w:t xml:space="preserve">2. </w:t>
      </w:r>
      <w:r>
        <w:t>Publish synthetic orders including duplicates, late events, and one poison message.</w:t>
      </w:r>
    </w:p>
    <w:p>
      <w:pPr>
        <w:spacing w:after="60"/>
        <w:ind w:left="360" w:hanging="259"/>
      </w:pPr>
      <w:r>
        <w:rPr>
          <w:b/>
        </w:rPr>
        <w:t xml:space="preserve">3. </w:t>
      </w:r>
      <w:r>
        <w:t>Build a Beam pipeline with event-time windows, idempotent writes, and a quarantine path.</w:t>
      </w:r>
    </w:p>
    <w:p>
      <w:pPr>
        <w:spacing w:after="60"/>
        <w:ind w:left="360" w:hanging="259"/>
      </w:pPr>
      <w:r>
        <w:rPr>
          <w:b/>
        </w:rPr>
        <w:t xml:space="preserve">4. </w:t>
      </w:r>
      <w:r>
        <w:t>Run it on Dataflow with a bounded worker range and appropriate streaming mode.</w:t>
      </w:r>
    </w:p>
    <w:p>
      <w:pPr>
        <w:spacing w:after="60"/>
        <w:ind w:left="360" w:hanging="259"/>
      </w:pPr>
      <w:r>
        <w:rPr>
          <w:b/>
        </w:rPr>
        <w:t xml:space="preserve">5. </w:t>
      </w:r>
      <w:r>
        <w:t>Observe backlog, watermark, system lag, throughput, and dead-letter behavior.</w:t>
      </w:r>
    </w:p>
    <w:p>
      <w:pPr>
        <w:spacing w:after="60"/>
        <w:ind w:left="360" w:hanging="259"/>
      </w:pPr>
      <w:r>
        <w:rPr>
          <w:b/>
        </w:rPr>
        <w:t xml:space="preserve">6. </w:t>
      </w:r>
      <w:r>
        <w:t>Drain or replace the job using a documented release procedure.</w:t>
      </w:r>
    </w:p>
    <w:p>
      <w:pPr>
        <w:spacing w:after="60"/>
        <w:ind w:left="360" w:hanging="259"/>
      </w:pPr>
      <w:r>
        <w:rPr>
          <w:b/>
        </w:rPr>
        <w:t xml:space="preserve">7. </w:t>
      </w:r>
      <w:r>
        <w:t>Seek/replay a controlled time range into an isolated output and reconcile counts.</w:t>
      </w:r>
    </w:p>
    <w:p>
      <w:pPr>
        <w:pStyle w:val="Heading3"/>
        <w:keepNext/>
      </w:pPr>
      <w:r>
        <w:t>Validation Evidence</w:t>
      </w:r>
    </w:p>
    <w:p>
      <w:pPr>
        <w:pStyle w:val="ListBullet"/>
        <w:spacing w:after="60"/>
      </w:pPr>
      <w:r>
        <w:t>Duplicates do not create duplicate business records.</w:t>
      </w:r>
    </w:p>
    <w:p>
      <w:pPr>
        <w:pStyle w:val="ListBullet"/>
        <w:spacing w:after="60"/>
      </w:pPr>
      <w:r>
        <w:t>Late-event behavior matches the documented window contract.</w:t>
      </w:r>
    </w:p>
    <w:p>
      <w:pPr>
        <w:pStyle w:val="ListBullet"/>
        <w:spacing w:after="60"/>
      </w:pPr>
      <w:r>
        <w:t>Poison messages enter a monitored dead-letter path.</w:t>
      </w:r>
    </w:p>
    <w:p>
      <w:pPr>
        <w:pStyle w:val="ListBullet"/>
        <w:spacing w:after="60"/>
      </w:pPr>
      <w:r>
        <w:t>Replay is isolated, capacity-controlled, and reconciled.</w:t>
      </w:r>
    </w:p>
    <w:p>
      <w:pPr>
        <w:pStyle w:val="Heading3"/>
        <w:keepNext/>
      </w:pPr>
      <w:r>
        <w:t>Cleanup</w:t>
      </w:r>
    </w:p>
    <w:p>
      <w:pPr>
        <w:pStyle w:val="ListBullet"/>
        <w:spacing w:after="60"/>
      </w:pPr>
      <w:r>
        <w:t>Stop/drain jobs; delete topics, subscriptions, schemas, tables, buckets, service accounts, and temporary images/templates.</w:t>
      </w:r>
    </w:p>
    <w:p>
      <w:pPr>
        <w:pStyle w:val="Heading2"/>
        <w:keepNext/>
      </w:pPr>
      <w:r>
        <w:t>Interview Questions and Model Answers</w:t>
      </w:r>
    </w:p>
    <w:p>
      <w:pPr>
        <w:spacing w:after="40"/>
      </w:pPr>
      <w:r>
        <w:rPr>
          <w:b/>
        </w:rPr>
        <w:t>1. Why must Pub/Sub subscribers be idempotent?</w:t>
      </w:r>
    </w:p>
    <w:p>
      <w:pPr>
        <w:spacing w:after="120"/>
        <w:ind w:left="216"/>
      </w:pPr>
      <w:r>
        <w:t>At-least-once delivery can redeliver messages, and network/ack failures make duplicates unavoidable.</w:t>
      </w:r>
    </w:p>
    <w:p>
      <w:pPr>
        <w:spacing w:after="40"/>
      </w:pPr>
      <w:r>
        <w:rPr>
          <w:b/>
        </w:rPr>
        <w:t>2. What is a watermark?</w:t>
      </w:r>
    </w:p>
    <w:p>
      <w:pPr>
        <w:spacing w:after="120"/>
        <w:ind w:left="216"/>
      </w:pPr>
      <w:r>
        <w:t>An estimate of event-time completeness used by Beam to reason about when windows are likely complete.</w:t>
      </w:r>
    </w:p>
    <w:p>
      <w:pPr>
        <w:spacing w:after="40"/>
      </w:pPr>
      <w:r>
        <w:rPr>
          <w:b/>
        </w:rPr>
        <w:t>3. When choose Dataflow at-least-once streaming mode?</w:t>
      </w:r>
    </w:p>
    <w:p>
      <w:pPr>
        <w:spacing w:after="120"/>
        <w:ind w:left="216"/>
      </w:pPr>
      <w:r>
        <w:t>When duplicates are acceptable or deduplicated elsewhere and lower cost/latency is worth the trade-off.</w:t>
      </w:r>
    </w:p>
    <w:p>
      <w:pPr>
        <w:spacing w:after="40"/>
      </w:pPr>
      <w:r>
        <w:rPr>
          <w:b/>
        </w:rPr>
        <w:t>4. What is the difference between drain and cancel?</w:t>
      </w:r>
    </w:p>
    <w:p>
      <w:pPr>
        <w:spacing w:after="120"/>
        <w:ind w:left="216"/>
      </w:pPr>
      <w:r>
        <w:t>Drain processes in-flight data and finalizes supported state; cancel stops the job more abruptly.</w:t>
      </w:r>
    </w:p>
    <w:p>
      <w:pPr>
        <w:pStyle w:val="Heading2"/>
        <w:keepNext/>
      </w:pPr>
      <w:r>
        <w:t>Chapter Summary</w:t>
      </w:r>
    </w:p>
    <w:p>
      <w:pPr>
        <w:pStyle w:val="ListBullet"/>
        <w:spacing w:after="60"/>
      </w:pPr>
      <w:r>
        <w:t>Messaging guarantees must be translated into business idempotency.</w:t>
      </w:r>
    </w:p>
    <w:p>
      <w:pPr>
        <w:pStyle w:val="ListBullet"/>
        <w:spacing w:after="60"/>
      </w:pPr>
      <w:r>
        <w:t>Event time and processing time are different.</w:t>
      </w:r>
    </w:p>
    <w:p>
      <w:pPr>
        <w:pStyle w:val="ListBullet"/>
        <w:spacing w:after="60"/>
      </w:pPr>
      <w:r>
        <w:t>Beam windows, watermarks, and triggers define result correctness.</w:t>
      </w:r>
    </w:p>
    <w:p>
      <w:pPr>
        <w:pStyle w:val="ListBullet"/>
        <w:spacing w:after="60"/>
      </w:pPr>
      <w:r>
        <w:t>Replay and pipeline replacement are production change events.</w:t>
      </w:r>
    </w:p>
    <w:p>
      <w:pPr>
        <w:pStyle w:val="Heading1"/>
        <w:keepNext/>
        <w:pageBreakBefore/>
      </w:pPr>
      <w:r>
        <w:t>Chapter 28 - Managed Service for Apache Spark and Batch Data Processing</w:t>
      </w:r>
    </w:p>
    <w:p>
      <w:pPr>
        <w:spacing w:after="120"/>
      </w:pPr>
      <w:r>
        <w:rPr>
          <w:i/>
          <w:color w:val="505050"/>
        </w:rPr>
        <w:t>Operating Spark as a governed data product rather than a collection of unmanaged clusters</w:t>
      </w:r>
    </w:p>
    <w:p>
      <w:pPr>
        <w:pStyle w:val="Heading2"/>
        <w:keepNext/>
      </w:pPr>
      <w:r>
        <w:t>Learning Objectives</w:t>
      </w:r>
    </w:p>
    <w:p>
      <w:pPr>
        <w:pStyle w:val="ListBullet"/>
        <w:spacing w:after="60"/>
      </w:pPr>
      <w:r>
        <w:t>Choose serverless or cluster-based managed Spark execution.</w:t>
      </w:r>
    </w:p>
    <w:p>
      <w:pPr>
        <w:pStyle w:val="ListBullet"/>
        <w:spacing w:after="60"/>
      </w:pPr>
      <w:r>
        <w:t>Design storage, dependencies, metadata, service accounts, and network access.</w:t>
      </w:r>
    </w:p>
    <w:p>
      <w:pPr>
        <w:pStyle w:val="ListBullet"/>
        <w:spacing w:after="60"/>
      </w:pPr>
      <w:r>
        <w:t>Tune partitioning, shuffle, autoscaling, and file output.</w:t>
      </w:r>
    </w:p>
    <w:p>
      <w:pPr>
        <w:pStyle w:val="ListBullet"/>
        <w:spacing w:after="60"/>
      </w:pPr>
      <w:r>
        <w:t>Orchestrate, observe, troubleshoot, and retire batch workloads safely.</w:t>
      </w:r>
    </w:p>
    <w:p>
      <w:pPr>
        <w:pStyle w:val="Heading2"/>
        <w:keepNext/>
      </w:pPr>
      <w:r>
        <w:t>28.1 Managed Spark Deployment Models</w:t>
      </w:r>
    </w:p>
    <w:p>
      <w:pPr>
        <w:spacing w:after="120"/>
      </w:pPr>
      <w:r>
        <w:rPr>
          <w:i w:val="0"/>
        </w:rPr>
        <w:t>Google Cloud Managed Service for Apache Spark includes serverless and cluster deployment options. Serverless batches and interactive sessions remove cluster lifecycle work and charge during execution. Cluster deployments provide deeper control for long-running, specialized, or ecosystem-heavy workloads. Select from workload duration, startup tolerance, dependency needs, isolation, networking, and cost.</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304"/>
            <w:shd w:fill="1A73E8"/>
            <w:tcMar>
              <w:top w:w="80" w:type="dxa"/>
              <w:start w:w="100" w:type="dxa"/>
              <w:bottom w:w="80" w:type="dxa"/>
              <w:end w:w="100" w:type="dxa"/>
            </w:tcMar>
            <w:vAlign w:val="center"/>
          </w:tcPr>
          <w:p>
            <w:pPr>
              <w:jc w:val="center"/>
            </w:pPr>
            <w:r>
              <w:rPr>
                <w:b/>
                <w:color w:val="FFFFFF"/>
                <w:sz w:val="16"/>
              </w:rPr>
              <w:t>Model</w:t>
            </w:r>
          </w:p>
        </w:tc>
        <w:tc>
          <w:tcPr>
            <w:tcW w:type="dxa" w:w="3600"/>
            <w:shd w:fill="1A73E8"/>
            <w:tcMar>
              <w:top w:w="80" w:type="dxa"/>
              <w:start w:w="100" w:type="dxa"/>
              <w:bottom w:w="80" w:type="dxa"/>
              <w:end w:w="100" w:type="dxa"/>
            </w:tcMar>
            <w:vAlign w:val="center"/>
          </w:tcPr>
          <w:p>
            <w:pPr>
              <w:jc w:val="center"/>
            </w:pPr>
            <w:r>
              <w:rPr>
                <w:b/>
                <w:color w:val="FFFFFF"/>
                <w:sz w:val="16"/>
              </w:rPr>
              <w:t>Best Fit</w:t>
            </w:r>
          </w:p>
        </w:tc>
        <w:tc>
          <w:tcPr>
            <w:tcW w:type="dxa" w:w="3744"/>
            <w:shd w:fill="1A73E8"/>
            <w:tcMar>
              <w:top w:w="80" w:type="dxa"/>
              <w:start w:w="100" w:type="dxa"/>
              <w:bottom w:w="80" w:type="dxa"/>
              <w:end w:w="100" w:type="dxa"/>
            </w:tcMar>
            <w:vAlign w:val="center"/>
          </w:tcPr>
          <w:p>
            <w:pPr>
              <w:jc w:val="center"/>
            </w:pPr>
            <w:r>
              <w:rPr>
                <w:b/>
                <w:color w:val="FFFFFF"/>
                <w:sz w:val="16"/>
              </w:rPr>
              <w:t>Operational Concern</w:t>
            </w:r>
          </w:p>
        </w:tc>
      </w:tr>
      <w:tr>
        <w:trPr>
          <w:cantSplit/>
        </w:trPr>
        <w:tc>
          <w:tcPr>
            <w:tcW w:type="dxa" w:w="2304"/>
            <w:tcMar>
              <w:top w:w="80" w:type="dxa"/>
              <w:start w:w="100" w:type="dxa"/>
              <w:bottom w:w="80" w:type="dxa"/>
              <w:end w:w="100" w:type="dxa"/>
            </w:tcMar>
            <w:vAlign w:val="top"/>
          </w:tcPr>
          <w:p>
            <w:pPr>
              <w:spacing w:after="0"/>
            </w:pPr>
            <w:r>
              <w:rPr>
                <w:sz w:val="16"/>
              </w:rPr>
              <w:t>Serverless batch</w:t>
            </w:r>
          </w:p>
        </w:tc>
        <w:tc>
          <w:tcPr>
            <w:tcW w:type="dxa" w:w="3600"/>
            <w:tcMar>
              <w:top w:w="80" w:type="dxa"/>
              <w:start w:w="100" w:type="dxa"/>
              <w:bottom w:w="80" w:type="dxa"/>
              <w:end w:w="100" w:type="dxa"/>
            </w:tcMar>
            <w:vAlign w:val="top"/>
          </w:tcPr>
          <w:p>
            <w:pPr>
              <w:spacing w:after="0"/>
            </w:pPr>
            <w:r>
              <w:rPr>
                <w:sz w:val="16"/>
              </w:rPr>
              <w:t>Periodic ETL, notebooks-to-jobs, elastic workloads</w:t>
            </w:r>
          </w:p>
        </w:tc>
        <w:tc>
          <w:tcPr>
            <w:tcW w:type="dxa" w:w="3744"/>
            <w:tcMar>
              <w:top w:w="80" w:type="dxa"/>
              <w:start w:w="100" w:type="dxa"/>
              <w:bottom w:w="80" w:type="dxa"/>
              <w:end w:w="100" w:type="dxa"/>
            </w:tcMar>
            <w:vAlign w:val="top"/>
          </w:tcPr>
          <w:p>
            <w:pPr>
              <w:spacing w:after="0"/>
            </w:pPr>
            <w:r>
              <w:rPr>
                <w:sz w:val="16"/>
              </w:rPr>
              <w:t>Startup, quotas, dependency packaging, per-job identity</w:t>
            </w:r>
          </w:p>
        </w:tc>
      </w:tr>
      <w:tr>
        <w:trPr>
          <w:cantSplit/>
        </w:trPr>
        <w:tc>
          <w:tcPr>
            <w:tcW w:type="dxa" w:w="2304"/>
            <w:tcMar>
              <w:top w:w="80" w:type="dxa"/>
              <w:start w:w="100" w:type="dxa"/>
              <w:bottom w:w="80" w:type="dxa"/>
              <w:end w:w="100" w:type="dxa"/>
            </w:tcMar>
            <w:vAlign w:val="top"/>
          </w:tcPr>
          <w:p>
            <w:pPr>
              <w:spacing w:after="0"/>
            </w:pPr>
            <w:r>
              <w:rPr>
                <w:sz w:val="16"/>
              </w:rPr>
              <w:t>Interactive session</w:t>
            </w:r>
          </w:p>
        </w:tc>
        <w:tc>
          <w:tcPr>
            <w:tcW w:type="dxa" w:w="3600"/>
            <w:tcMar>
              <w:top w:w="80" w:type="dxa"/>
              <w:start w:w="100" w:type="dxa"/>
              <w:bottom w:w="80" w:type="dxa"/>
              <w:end w:w="100" w:type="dxa"/>
            </w:tcMar>
            <w:vAlign w:val="top"/>
          </w:tcPr>
          <w:p>
            <w:pPr>
              <w:spacing w:after="0"/>
            </w:pPr>
            <w:r>
              <w:rPr>
                <w:sz w:val="16"/>
              </w:rPr>
              <w:t>Exploration with managed execution</w:t>
            </w:r>
          </w:p>
        </w:tc>
        <w:tc>
          <w:tcPr>
            <w:tcW w:type="dxa" w:w="3744"/>
            <w:tcMar>
              <w:top w:w="80" w:type="dxa"/>
              <w:start w:w="100" w:type="dxa"/>
              <w:bottom w:w="80" w:type="dxa"/>
              <w:end w:w="100" w:type="dxa"/>
            </w:tcMar>
            <w:vAlign w:val="top"/>
          </w:tcPr>
          <w:p>
            <w:pPr>
              <w:spacing w:after="0"/>
            </w:pPr>
            <w:r>
              <w:rPr>
                <w:sz w:val="16"/>
              </w:rPr>
              <w:t>Idle time, data access, reproducibility</w:t>
            </w:r>
          </w:p>
        </w:tc>
      </w:tr>
      <w:tr>
        <w:trPr>
          <w:cantSplit/>
        </w:trPr>
        <w:tc>
          <w:tcPr>
            <w:tcW w:type="dxa" w:w="2304"/>
            <w:tcMar>
              <w:top w:w="80" w:type="dxa"/>
              <w:start w:w="100" w:type="dxa"/>
              <w:bottom w:w="80" w:type="dxa"/>
              <w:end w:w="100" w:type="dxa"/>
            </w:tcMar>
            <w:vAlign w:val="top"/>
          </w:tcPr>
          <w:p>
            <w:pPr>
              <w:spacing w:after="0"/>
            </w:pPr>
            <w:r>
              <w:rPr>
                <w:sz w:val="16"/>
              </w:rPr>
              <w:t>Ephemeral cluster</w:t>
            </w:r>
          </w:p>
        </w:tc>
        <w:tc>
          <w:tcPr>
            <w:tcW w:type="dxa" w:w="3600"/>
            <w:tcMar>
              <w:top w:w="80" w:type="dxa"/>
              <w:start w:w="100" w:type="dxa"/>
              <w:bottom w:w="80" w:type="dxa"/>
              <w:end w:w="100" w:type="dxa"/>
            </w:tcMar>
            <w:vAlign w:val="top"/>
          </w:tcPr>
          <w:p>
            <w:pPr>
              <w:spacing w:after="0"/>
            </w:pPr>
            <w:r>
              <w:rPr>
                <w:sz w:val="16"/>
              </w:rPr>
              <w:t>Complex job with custom cluster config</w:t>
            </w:r>
          </w:p>
        </w:tc>
        <w:tc>
          <w:tcPr>
            <w:tcW w:type="dxa" w:w="3744"/>
            <w:tcMar>
              <w:top w:w="80" w:type="dxa"/>
              <w:start w:w="100" w:type="dxa"/>
              <w:bottom w:w="80" w:type="dxa"/>
              <w:end w:w="100" w:type="dxa"/>
            </w:tcMar>
            <w:vAlign w:val="top"/>
          </w:tcPr>
          <w:p>
            <w:pPr>
              <w:spacing w:after="0"/>
            </w:pPr>
            <w:r>
              <w:rPr>
                <w:sz w:val="16"/>
              </w:rPr>
              <w:t>Provisioning, image/version, teardown</w:t>
            </w:r>
          </w:p>
        </w:tc>
      </w:tr>
      <w:tr>
        <w:trPr>
          <w:cantSplit/>
        </w:trPr>
        <w:tc>
          <w:tcPr>
            <w:tcW w:type="dxa" w:w="2304"/>
            <w:tcMar>
              <w:top w:w="80" w:type="dxa"/>
              <w:start w:w="100" w:type="dxa"/>
              <w:bottom w:w="80" w:type="dxa"/>
              <w:end w:w="100" w:type="dxa"/>
            </w:tcMar>
            <w:vAlign w:val="top"/>
          </w:tcPr>
          <w:p>
            <w:pPr>
              <w:spacing w:after="0"/>
            </w:pPr>
            <w:r>
              <w:rPr>
                <w:sz w:val="16"/>
              </w:rPr>
              <w:t>Long-lived cluster</w:t>
            </w:r>
          </w:p>
        </w:tc>
        <w:tc>
          <w:tcPr>
            <w:tcW w:type="dxa" w:w="3600"/>
            <w:tcMar>
              <w:top w:w="80" w:type="dxa"/>
              <w:start w:w="100" w:type="dxa"/>
              <w:bottom w:w="80" w:type="dxa"/>
              <w:end w:w="100" w:type="dxa"/>
            </w:tcMar>
            <w:vAlign w:val="top"/>
          </w:tcPr>
          <w:p>
            <w:pPr>
              <w:spacing w:after="0"/>
            </w:pPr>
            <w:r>
              <w:rPr>
                <w:sz w:val="16"/>
              </w:rPr>
              <w:t>Shared services or low-startup-latency workload</w:t>
            </w:r>
          </w:p>
        </w:tc>
        <w:tc>
          <w:tcPr>
            <w:tcW w:type="dxa" w:w="3744"/>
            <w:tcMar>
              <w:top w:w="80" w:type="dxa"/>
              <w:start w:w="100" w:type="dxa"/>
              <w:bottom w:w="80" w:type="dxa"/>
              <w:end w:w="100" w:type="dxa"/>
            </w:tcMar>
            <w:vAlign w:val="top"/>
          </w:tcPr>
          <w:p>
            <w:pPr>
              <w:spacing w:after="0"/>
            </w:pPr>
            <w:r>
              <w:rPr>
                <w:sz w:val="16"/>
              </w:rPr>
              <w:t>Patching, contention, idle cost, tenant isolation</w:t>
            </w:r>
          </w:p>
        </w:tc>
      </w:tr>
    </w:tbl>
    <w:p>
      <w:pPr>
        <w:spacing w:after="20"/>
      </w:pPr>
    </w:p>
    <w:p>
      <w:pPr>
        <w:pStyle w:val="Heading2"/>
        <w:keepNext/>
      </w:pPr>
      <w:r>
        <w:t>28.2 Storage, Metastore, and Dependency Design</w:t>
      </w:r>
    </w:p>
    <w:p>
      <w:pPr>
        <w:spacing w:after="120"/>
      </w:pPr>
      <w:r>
        <w:rPr>
          <w:i w:val="0"/>
        </w:rPr>
        <w:t>Keep durable data in Cloud Storage, BigQuery, Bigtable, or governed lakehouse tables rather than relying on cluster disks. Use Dataproc Metastore or compatible catalogs where shared Hive metadata is required. Pin runtime and library versions, store artifacts in controlled repositories, scan dependencies, and separate job identity from human identity.</w:t>
      </w:r>
    </w:p>
    <w:p>
      <w:pPr>
        <w:pStyle w:val="Heading2"/>
        <w:keepNext/>
      </w:pPr>
      <w:r>
        <w:t>28.3 Performance Engineering</w:t>
      </w:r>
    </w:p>
    <w:p>
      <w:pPr>
        <w:spacing w:after="120"/>
      </w:pPr>
      <w:r>
        <w:rPr>
          <w:i w:val="0"/>
        </w:rPr>
        <w:t>Spark performance is dominated by input layout, partition count, skew, shuffle, serialization, executor sizing, and output-file strategy. More workers can make a badly partitioned job more expensive without making it faster.</w:t>
      </w:r>
    </w:p>
    <w:p>
      <w:pPr>
        <w:pStyle w:val="ListBullet"/>
        <w:spacing w:after="60"/>
      </w:pPr>
      <w:r>
        <w:t>Use column pruning and predicate pushdown.</w:t>
      </w:r>
    </w:p>
    <w:p>
      <w:pPr>
        <w:pStyle w:val="ListBullet"/>
        <w:spacing w:after="60"/>
      </w:pPr>
      <w:r>
        <w:t>Repartition or salt skewed keys before wide joins.</w:t>
      </w:r>
    </w:p>
    <w:p>
      <w:pPr>
        <w:pStyle w:val="ListBullet"/>
        <w:spacing w:after="60"/>
      </w:pPr>
      <w:r>
        <w:t>Broadcast only genuinely small dimensions.</w:t>
      </w:r>
    </w:p>
    <w:p>
      <w:pPr>
        <w:pStyle w:val="ListBullet"/>
        <w:spacing w:after="60"/>
      </w:pPr>
      <w:r>
        <w:t>Avoid collecting large datasets to the driver.</w:t>
      </w:r>
    </w:p>
    <w:p>
      <w:pPr>
        <w:pStyle w:val="ListBullet"/>
        <w:spacing w:after="60"/>
      </w:pPr>
      <w:r>
        <w:t>Compact output to useful file sizes and avoid one-file-per-task explosions.</w:t>
      </w:r>
    </w:p>
    <w:p>
      <w:pPr>
        <w:pStyle w:val="ListBullet"/>
        <w:spacing w:after="60"/>
      </w:pPr>
      <w:r>
        <w:t>Capture Spark UI/event logs for post-run diagnosis.</w:t>
      </w:r>
    </w:p>
    <w:p>
      <w:pPr>
        <w:pStyle w:val="Heading2"/>
        <w:keepNext/>
      </w:pPr>
      <w:r>
        <w:t>28.4 Orchestration, Security, and Reliability</w:t>
      </w:r>
    </w:p>
    <w:p>
      <w:pPr>
        <w:spacing w:after="120"/>
      </w:pPr>
      <w:r>
        <w:rPr>
          <w:i w:val="0"/>
        </w:rPr>
        <w:t>Use Workflows or Cloud Composer where multi-step dependencies, retries, sensors, and scheduling require orchestration. Jobs should be restartable from checkpoints or immutable inputs, write to temporary locations, validate output, then publish atomically. Private networking, narrow service accounts, CMEK where required, and controlled egress apply to Spark just as to application compute.</w:t>
      </w:r>
    </w:p>
    <w:p>
      <w:pPr>
        <w:pStyle w:val="CodeBlock"/>
        <w:keepLines/>
        <w:spacing w:after="120"/>
      </w:pPr>
      <w:r>
        <w:rPr>
          <w:rFonts w:ascii="Cascadia Mono" w:hAnsi="Cascadia Mono"/>
          <w:sz w:val="16"/>
        </w:rPr>
        <w:t>gcloud dataproc batches submit pyspark gs://BUCKET/jobs/curate.py \</w:t>
        <w:br/>
        <w:t xml:space="preserve">  --region=REGION \</w:t>
        <w:br/>
        <w:t xml:space="preserve">  --service-account=spark-job@PROJECT.iam.gserviceaccount.com \</w:t>
        <w:br/>
        <w:t xml:space="preserve">  --subnet=projects/HOST/regions/REGION/subnetworks/data-subnet</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Job is slow with low CPU</w:t>
            </w:r>
          </w:p>
        </w:tc>
        <w:tc>
          <w:tcPr>
            <w:tcW w:type="dxa" w:w="2592"/>
            <w:tcMar>
              <w:top w:w="80" w:type="dxa"/>
              <w:start w:w="100" w:type="dxa"/>
              <w:bottom w:w="80" w:type="dxa"/>
              <w:end w:w="100" w:type="dxa"/>
            </w:tcMar>
            <w:vAlign w:val="top"/>
          </w:tcPr>
          <w:p>
            <w:pPr>
              <w:spacing w:after="0"/>
            </w:pPr>
            <w:r>
              <w:rPr>
                <w:sz w:val="16"/>
              </w:rPr>
              <w:t>Input bottleneck, tiny files, insufficient parallelism, or blocked I/O</w:t>
            </w:r>
          </w:p>
        </w:tc>
        <w:tc>
          <w:tcPr>
            <w:tcW w:type="dxa" w:w="5328"/>
            <w:tcMar>
              <w:top w:w="80" w:type="dxa"/>
              <w:start w:w="100" w:type="dxa"/>
              <w:bottom w:w="80" w:type="dxa"/>
              <w:end w:w="100" w:type="dxa"/>
            </w:tcMar>
            <w:vAlign w:val="top"/>
          </w:tcPr>
          <w:p>
            <w:pPr>
              <w:spacing w:after="0"/>
            </w:pPr>
            <w:r>
              <w:rPr>
                <w:sz w:val="16"/>
              </w:rPr>
              <w:t>Inspect Spark stages, input files, task duration, and connector metrics; compact or repartition.</w:t>
            </w:r>
          </w:p>
        </w:tc>
      </w:tr>
      <w:tr>
        <w:trPr>
          <w:cantSplit/>
        </w:trPr>
        <w:tc>
          <w:tcPr>
            <w:tcW w:type="dxa" w:w="2160"/>
            <w:tcMar>
              <w:top w:w="80" w:type="dxa"/>
              <w:start w:w="100" w:type="dxa"/>
              <w:bottom w:w="80" w:type="dxa"/>
              <w:end w:w="100" w:type="dxa"/>
            </w:tcMar>
            <w:vAlign w:val="top"/>
          </w:tcPr>
          <w:p>
            <w:pPr>
              <w:spacing w:after="0"/>
            </w:pPr>
            <w:r>
              <w:rPr>
                <w:sz w:val="16"/>
              </w:rPr>
              <w:t>Few tasks are extremely slow</w:t>
            </w:r>
          </w:p>
        </w:tc>
        <w:tc>
          <w:tcPr>
            <w:tcW w:type="dxa" w:w="2592"/>
            <w:tcMar>
              <w:top w:w="80" w:type="dxa"/>
              <w:start w:w="100" w:type="dxa"/>
              <w:bottom w:w="80" w:type="dxa"/>
              <w:end w:w="100" w:type="dxa"/>
            </w:tcMar>
            <w:vAlign w:val="top"/>
          </w:tcPr>
          <w:p>
            <w:pPr>
              <w:spacing w:after="0"/>
            </w:pPr>
            <w:r>
              <w:rPr>
                <w:sz w:val="16"/>
              </w:rPr>
              <w:t>Data skew or straggler executor</w:t>
            </w:r>
          </w:p>
        </w:tc>
        <w:tc>
          <w:tcPr>
            <w:tcW w:type="dxa" w:w="5328"/>
            <w:tcMar>
              <w:top w:w="80" w:type="dxa"/>
              <w:start w:w="100" w:type="dxa"/>
              <w:bottom w:w="80" w:type="dxa"/>
              <w:end w:w="100" w:type="dxa"/>
            </w:tcMar>
            <w:vAlign w:val="top"/>
          </w:tcPr>
          <w:p>
            <w:pPr>
              <w:spacing w:after="0"/>
            </w:pPr>
            <w:r>
              <w:rPr>
                <w:sz w:val="16"/>
              </w:rPr>
              <w:t>Inspect key distribution and stage task metrics; salt/repartition and handle hot keys.</w:t>
            </w:r>
          </w:p>
        </w:tc>
      </w:tr>
      <w:tr>
        <w:trPr>
          <w:cantSplit/>
        </w:trPr>
        <w:tc>
          <w:tcPr>
            <w:tcW w:type="dxa" w:w="2160"/>
            <w:tcMar>
              <w:top w:w="80" w:type="dxa"/>
              <w:start w:w="100" w:type="dxa"/>
              <w:bottom w:w="80" w:type="dxa"/>
              <w:end w:w="100" w:type="dxa"/>
            </w:tcMar>
            <w:vAlign w:val="top"/>
          </w:tcPr>
          <w:p>
            <w:pPr>
              <w:spacing w:after="0"/>
            </w:pPr>
            <w:r>
              <w:rPr>
                <w:sz w:val="16"/>
              </w:rPr>
              <w:t>Driver runs out of memory</w:t>
            </w:r>
          </w:p>
        </w:tc>
        <w:tc>
          <w:tcPr>
            <w:tcW w:type="dxa" w:w="2592"/>
            <w:tcMar>
              <w:top w:w="80" w:type="dxa"/>
              <w:start w:w="100" w:type="dxa"/>
              <w:bottom w:w="80" w:type="dxa"/>
              <w:end w:w="100" w:type="dxa"/>
            </w:tcMar>
            <w:vAlign w:val="top"/>
          </w:tcPr>
          <w:p>
            <w:pPr>
              <w:spacing w:after="0"/>
            </w:pPr>
            <w:r>
              <w:rPr>
                <w:sz w:val="16"/>
              </w:rPr>
              <w:t>collect/toPandas, large broadcast, or excessive metadata</w:t>
            </w:r>
          </w:p>
        </w:tc>
        <w:tc>
          <w:tcPr>
            <w:tcW w:type="dxa" w:w="5328"/>
            <w:tcMar>
              <w:top w:w="80" w:type="dxa"/>
              <w:start w:w="100" w:type="dxa"/>
              <w:bottom w:w="80" w:type="dxa"/>
              <w:end w:w="100" w:type="dxa"/>
            </w:tcMar>
            <w:vAlign w:val="top"/>
          </w:tcPr>
          <w:p>
            <w:pPr>
              <w:spacing w:after="0"/>
            </w:pPr>
            <w:r>
              <w:rPr>
                <w:sz w:val="16"/>
              </w:rPr>
              <w:t>Remove driver collection, bound results, adjust broadcast, and compact file listings.</w:t>
            </w:r>
          </w:p>
        </w:tc>
      </w:tr>
      <w:tr>
        <w:trPr>
          <w:cantSplit/>
        </w:trPr>
        <w:tc>
          <w:tcPr>
            <w:tcW w:type="dxa" w:w="2160"/>
            <w:tcMar>
              <w:top w:w="80" w:type="dxa"/>
              <w:start w:w="100" w:type="dxa"/>
              <w:bottom w:w="80" w:type="dxa"/>
              <w:end w:w="100" w:type="dxa"/>
            </w:tcMar>
            <w:vAlign w:val="top"/>
          </w:tcPr>
          <w:p>
            <w:pPr>
              <w:spacing w:after="0"/>
            </w:pPr>
            <w:r>
              <w:rPr>
                <w:sz w:val="16"/>
              </w:rPr>
              <w:t>Output contains duplicates after retry</w:t>
            </w:r>
          </w:p>
        </w:tc>
        <w:tc>
          <w:tcPr>
            <w:tcW w:type="dxa" w:w="2592"/>
            <w:tcMar>
              <w:top w:w="80" w:type="dxa"/>
              <w:start w:w="100" w:type="dxa"/>
              <w:bottom w:w="80" w:type="dxa"/>
              <w:end w:w="100" w:type="dxa"/>
            </w:tcMar>
            <w:vAlign w:val="top"/>
          </w:tcPr>
          <w:p>
            <w:pPr>
              <w:spacing w:after="0"/>
            </w:pPr>
            <w:r>
              <w:rPr>
                <w:sz w:val="16"/>
              </w:rPr>
              <w:t>Job is not restartable/idempotent</w:t>
            </w:r>
          </w:p>
        </w:tc>
        <w:tc>
          <w:tcPr>
            <w:tcW w:type="dxa" w:w="5328"/>
            <w:tcMar>
              <w:top w:w="80" w:type="dxa"/>
              <w:start w:w="100" w:type="dxa"/>
              <w:bottom w:w="80" w:type="dxa"/>
              <w:end w:w="100" w:type="dxa"/>
            </w:tcMar>
            <w:vAlign w:val="top"/>
          </w:tcPr>
          <w:p>
            <w:pPr>
              <w:spacing w:after="0"/>
            </w:pPr>
            <w:r>
              <w:rPr>
                <w:sz w:val="16"/>
              </w:rPr>
              <w:t>Write to run-specific staging, validate, then atomically publish or MERGE with run ID.</w:t>
            </w:r>
          </w:p>
        </w:tc>
      </w:tr>
    </w:tbl>
    <w:p>
      <w:pPr>
        <w:spacing w:after="20"/>
      </w:pPr>
    </w:p>
    <w:p>
      <w:pPr>
        <w:pStyle w:val="Heading2"/>
        <w:keepNext/>
      </w:pPr>
      <w:r>
        <w:t>Hands-on Lab 28: Run and Tune a Restartable Spark Curation Job</w:t>
      </w:r>
    </w:p>
    <w:p>
      <w:pPr>
        <w:pStyle w:val="Heading3"/>
        <w:keepNext/>
      </w:pPr>
      <w:r>
        <w:t>Prerequisites</w:t>
      </w:r>
    </w:p>
    <w:p>
      <w:pPr>
        <w:pStyle w:val="ListBullet"/>
        <w:spacing w:after="60"/>
      </w:pPr>
      <w:r>
        <w:t>A Cloud Storage bucket, Managed Service for Apache Spark access, a private subnet if required, and synthetic event data.</w:t>
      </w:r>
    </w:p>
    <w:p>
      <w:pPr>
        <w:pStyle w:val="Heading3"/>
        <w:keepNext/>
      </w:pPr>
      <w:r>
        <w:t>Implementation</w:t>
      </w:r>
    </w:p>
    <w:p>
      <w:pPr>
        <w:spacing w:after="60"/>
        <w:ind w:left="360" w:hanging="259"/>
      </w:pPr>
      <w:r>
        <w:rPr>
          <w:b/>
        </w:rPr>
        <w:t xml:space="preserve">1. </w:t>
      </w:r>
      <w:r>
        <w:t>Generate partitioned input plus a deliberately skewed key and many small files.</w:t>
      </w:r>
    </w:p>
    <w:p>
      <w:pPr>
        <w:spacing w:after="60"/>
        <w:ind w:left="360" w:hanging="259"/>
      </w:pPr>
      <w:r>
        <w:rPr>
          <w:b/>
        </w:rPr>
        <w:t xml:space="preserve">2. </w:t>
      </w:r>
      <w:r>
        <w:t>Package a PySpark job with pinned dependencies and a dedicated service account.</w:t>
      </w:r>
    </w:p>
    <w:p>
      <w:pPr>
        <w:spacing w:after="60"/>
        <w:ind w:left="360" w:hanging="259"/>
      </w:pPr>
      <w:r>
        <w:rPr>
          <w:b/>
        </w:rPr>
        <w:t xml:space="preserve">3. </w:t>
      </w:r>
      <w:r>
        <w:t>Run a serverless batch and capture stage/task metrics and event logs.</w:t>
      </w:r>
    </w:p>
    <w:p>
      <w:pPr>
        <w:spacing w:after="60"/>
        <w:ind w:left="360" w:hanging="259"/>
      </w:pPr>
      <w:r>
        <w:rPr>
          <w:b/>
        </w:rPr>
        <w:t xml:space="preserve">4. </w:t>
      </w:r>
      <w:r>
        <w:t>Fix skew and small-file behavior, rerun, and compare runtime and cost evidence.</w:t>
      </w:r>
    </w:p>
    <w:p>
      <w:pPr>
        <w:spacing w:after="60"/>
        <w:ind w:left="360" w:hanging="259"/>
      </w:pPr>
      <w:r>
        <w:rPr>
          <w:b/>
        </w:rPr>
        <w:t xml:space="preserve">5. </w:t>
      </w:r>
      <w:r>
        <w:t>Write output to a run-specific staging path, validate row counts/checksums, then publish.</w:t>
      </w:r>
    </w:p>
    <w:p>
      <w:pPr>
        <w:spacing w:after="60"/>
        <w:ind w:left="360" w:hanging="259"/>
      </w:pPr>
      <w:r>
        <w:rPr>
          <w:b/>
        </w:rPr>
        <w:t xml:space="preserve">6. </w:t>
      </w:r>
      <w:r>
        <w:t>Schedule or orchestrate the job with retries that do not duplicate output.</w:t>
      </w:r>
    </w:p>
    <w:p>
      <w:pPr>
        <w:spacing w:after="60"/>
        <w:ind w:left="360" w:hanging="259"/>
      </w:pPr>
      <w:r>
        <w:rPr>
          <w:b/>
        </w:rPr>
        <w:t xml:space="preserve">7. </w:t>
      </w:r>
      <w:r>
        <w:t>Document when a cluster deployment would be justified instead.</w:t>
      </w:r>
    </w:p>
    <w:p>
      <w:pPr>
        <w:pStyle w:val="Heading3"/>
        <w:keepNext/>
      </w:pPr>
      <w:r>
        <w:t>Validation Evidence</w:t>
      </w:r>
    </w:p>
    <w:p>
      <w:pPr>
        <w:pStyle w:val="ListBullet"/>
        <w:spacing w:after="60"/>
      </w:pPr>
      <w:r>
        <w:t>The optimized job improves measured stage behavior.</w:t>
      </w:r>
    </w:p>
    <w:p>
      <w:pPr>
        <w:pStyle w:val="ListBullet"/>
        <w:spacing w:after="60"/>
      </w:pPr>
      <w:r>
        <w:t>The service account has only required storage/catalog/logging permissions.</w:t>
      </w:r>
    </w:p>
    <w:p>
      <w:pPr>
        <w:pStyle w:val="ListBullet"/>
        <w:spacing w:after="60"/>
      </w:pPr>
      <w:r>
        <w:t>A failed/retried run cannot corrupt the published dataset.</w:t>
      </w:r>
    </w:p>
    <w:p>
      <w:pPr>
        <w:pStyle w:val="ListBullet"/>
        <w:spacing w:after="60"/>
      </w:pPr>
      <w:r>
        <w:t>Output file sizes and partitions are appropriate for consumers.</w:t>
      </w:r>
    </w:p>
    <w:p>
      <w:pPr>
        <w:pStyle w:val="Heading3"/>
        <w:keepNext/>
      </w:pPr>
      <w:r>
        <w:t>Cleanup</w:t>
      </w:r>
    </w:p>
    <w:p>
      <w:pPr>
        <w:pStyle w:val="ListBullet"/>
        <w:spacing w:after="60"/>
      </w:pPr>
      <w:r>
        <w:t>Delete batches, staging/output data, workflow/schedule, service accounts, and any clusters or metadata services created for the lab.</w:t>
      </w:r>
    </w:p>
    <w:p>
      <w:pPr>
        <w:pStyle w:val="Heading2"/>
        <w:keepNext/>
      </w:pPr>
      <w:r>
        <w:t>Interview Questions and Model Answers</w:t>
      </w:r>
    </w:p>
    <w:p>
      <w:pPr>
        <w:spacing w:after="40"/>
      </w:pPr>
      <w:r>
        <w:rPr>
          <w:b/>
        </w:rPr>
        <w:t>1. When choose serverless Spark?</w:t>
      </w:r>
    </w:p>
    <w:p>
      <w:pPr>
        <w:spacing w:after="120"/>
        <w:ind w:left="216"/>
      </w:pPr>
      <w:r>
        <w:t>For elastic batch or interactive work where avoiding cluster lifecycle outweighs startup or customization constraints.</w:t>
      </w:r>
    </w:p>
    <w:p>
      <w:pPr>
        <w:spacing w:after="40"/>
      </w:pPr>
      <w:r>
        <w:rPr>
          <w:b/>
        </w:rPr>
        <w:t>2. What usually causes Spark skew?</w:t>
      </w:r>
    </w:p>
    <w:p>
      <w:pPr>
        <w:spacing w:after="120"/>
        <w:ind w:left="216"/>
      </w:pPr>
      <w:r>
        <w:t>A small number of keys or partitions hold a disproportionate amount of data and work.</w:t>
      </w:r>
    </w:p>
    <w:p>
      <w:pPr>
        <w:spacing w:after="40"/>
      </w:pPr>
      <w:r>
        <w:rPr>
          <w:b/>
        </w:rPr>
        <w:t>3. Why store event logs?</w:t>
      </w:r>
    </w:p>
    <w:p>
      <w:pPr>
        <w:spacing w:after="120"/>
        <w:ind w:left="216"/>
      </w:pPr>
      <w:r>
        <w:t>They enable post-run analysis of stages, tasks, shuffle, skew, and failures after compute is gone.</w:t>
      </w:r>
    </w:p>
    <w:p>
      <w:pPr>
        <w:spacing w:after="40"/>
      </w:pPr>
      <w:r>
        <w:rPr>
          <w:b/>
        </w:rPr>
        <w:t>4. How make a Spark job restartable?</w:t>
      </w:r>
    </w:p>
    <w:p>
      <w:pPr>
        <w:spacing w:after="120"/>
        <w:ind w:left="216"/>
      </w:pPr>
      <w:r>
        <w:t>Use immutable/checkpointed inputs, run-specific staging, deterministic transformations, validation, and atomic publication or idempotent merge.</w:t>
      </w:r>
    </w:p>
    <w:p>
      <w:pPr>
        <w:pStyle w:val="Heading2"/>
        <w:keepNext/>
      </w:pPr>
      <w:r>
        <w:t>Chapter Summary</w:t>
      </w:r>
    </w:p>
    <w:p>
      <w:pPr>
        <w:pStyle w:val="ListBullet"/>
        <w:spacing w:after="60"/>
      </w:pPr>
      <w:r>
        <w:t>Managed Spark deployment should match workload and operational needs.</w:t>
      </w:r>
    </w:p>
    <w:p>
      <w:pPr>
        <w:pStyle w:val="ListBullet"/>
        <w:spacing w:after="60"/>
      </w:pPr>
      <w:r>
        <w:t>Data layout and shuffle dominate performance.</w:t>
      </w:r>
    </w:p>
    <w:p>
      <w:pPr>
        <w:pStyle w:val="ListBullet"/>
        <w:spacing w:after="60"/>
      </w:pPr>
      <w:r>
        <w:t>Job identity, dependencies, and network access require governance.</w:t>
      </w:r>
    </w:p>
    <w:p>
      <w:pPr>
        <w:pStyle w:val="ListBullet"/>
        <w:spacing w:after="60"/>
      </w:pPr>
      <w:r>
        <w:t>Restartability and atomic publication are more important than automatic retries alone.</w:t>
      </w:r>
    </w:p>
    <w:p>
      <w:pPr>
        <w:pStyle w:val="Heading1"/>
        <w:keepNext/>
        <w:pageBreakBefore/>
      </w:pPr>
      <w:r>
        <w:t>Chapter 29 - Database, CDC, and Bulk Data Migration Engineering</w:t>
      </w:r>
    </w:p>
    <w:p>
      <w:pPr>
        <w:spacing w:after="120"/>
      </w:pPr>
      <w:r>
        <w:rPr>
          <w:i/>
          <w:color w:val="505050"/>
        </w:rPr>
        <w:t>Moving operational and analytical data with measurable fidelity and controlled cutover</w:t>
      </w:r>
    </w:p>
    <w:p>
      <w:pPr>
        <w:pStyle w:val="Heading2"/>
        <w:keepNext/>
      </w:pPr>
      <w:r>
        <w:t>Learning Objectives</w:t>
      </w:r>
    </w:p>
    <w:p>
      <w:pPr>
        <w:pStyle w:val="ListBullet"/>
        <w:spacing w:after="60"/>
      </w:pPr>
      <w:r>
        <w:t>Plan migrations with discovery, compatibility, security, performance, and rollback evidence.</w:t>
      </w:r>
    </w:p>
    <w:p>
      <w:pPr>
        <w:pStyle w:val="ListBullet"/>
        <w:spacing w:after="60"/>
      </w:pPr>
      <w:r>
        <w:t>Use Database Migration Service for supported one-time and continuous database migrations.</w:t>
      </w:r>
    </w:p>
    <w:p>
      <w:pPr>
        <w:pStyle w:val="ListBullet"/>
        <w:spacing w:after="60"/>
      </w:pPr>
      <w:r>
        <w:t>Use Datastream for CDC into BigQuery, Cloud Storage, and custom pipelines.</w:t>
      </w:r>
    </w:p>
    <w:p>
      <w:pPr>
        <w:pStyle w:val="ListBullet"/>
        <w:spacing w:after="60"/>
      </w:pPr>
      <w:r>
        <w:t>Use Storage Transfer Service for governed bulk object migration and replication.</w:t>
      </w:r>
    </w:p>
    <w:p>
      <w:pPr>
        <w:pStyle w:val="Heading2"/>
        <w:keepNext/>
      </w:pPr>
      <w:r>
        <w:t>29.1 Migration Factory and Wave Planning</w:t>
      </w:r>
    </w:p>
    <w:p>
      <w:pPr>
        <w:spacing w:after="120"/>
      </w:pPr>
      <w:r>
        <w:rPr>
          <w:i w:val="0"/>
        </w:rPr>
        <w:t>A migration is a product change, not a copy command. Inventory sources, versions, extensions, size, growth, peak change rate, dependencies, owners, downtime tolerance, RTO/RPO, residency, and licensing. Group systems into repeatable waves and prove the pattern on a representative low-risk workload before critical cutover.</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1872"/>
            <w:shd w:fill="1A73E8"/>
            <w:tcMar>
              <w:top w:w="80" w:type="dxa"/>
              <w:start w:w="100" w:type="dxa"/>
              <w:bottom w:w="80" w:type="dxa"/>
              <w:end w:w="100" w:type="dxa"/>
            </w:tcMar>
            <w:vAlign w:val="center"/>
          </w:tcPr>
          <w:p>
            <w:pPr>
              <w:jc w:val="center"/>
            </w:pPr>
            <w:r>
              <w:rPr>
                <w:b/>
                <w:color w:val="FFFFFF"/>
                <w:sz w:val="16"/>
              </w:rPr>
              <w:t>Phase</w:t>
            </w:r>
          </w:p>
        </w:tc>
        <w:tc>
          <w:tcPr>
            <w:tcW w:type="dxa" w:w="7920"/>
            <w:shd w:fill="1A73E8"/>
            <w:tcMar>
              <w:top w:w="80" w:type="dxa"/>
              <w:start w:w="100" w:type="dxa"/>
              <w:bottom w:w="80" w:type="dxa"/>
              <w:end w:w="100" w:type="dxa"/>
            </w:tcMar>
            <w:vAlign w:val="center"/>
          </w:tcPr>
          <w:p>
            <w:pPr>
              <w:jc w:val="center"/>
            </w:pPr>
            <w:r>
              <w:rPr>
                <w:b/>
                <w:color w:val="FFFFFF"/>
                <w:sz w:val="16"/>
              </w:rPr>
              <w:t>Exit Evidence</w:t>
            </w:r>
          </w:p>
        </w:tc>
      </w:tr>
      <w:tr>
        <w:trPr>
          <w:cantSplit/>
        </w:trPr>
        <w:tc>
          <w:tcPr>
            <w:tcW w:type="dxa" w:w="1872"/>
            <w:tcMar>
              <w:top w:w="80" w:type="dxa"/>
              <w:start w:w="100" w:type="dxa"/>
              <w:bottom w:w="80" w:type="dxa"/>
              <w:end w:w="100" w:type="dxa"/>
            </w:tcMar>
            <w:vAlign w:val="top"/>
          </w:tcPr>
          <w:p>
            <w:pPr>
              <w:spacing w:after="0"/>
            </w:pPr>
            <w:r>
              <w:rPr>
                <w:sz w:val="16"/>
              </w:rPr>
              <w:t>Discover</w:t>
            </w:r>
          </w:p>
        </w:tc>
        <w:tc>
          <w:tcPr>
            <w:tcW w:type="dxa" w:w="7920"/>
            <w:tcMar>
              <w:top w:w="80" w:type="dxa"/>
              <w:start w:w="100" w:type="dxa"/>
              <w:bottom w:w="80" w:type="dxa"/>
              <w:end w:w="100" w:type="dxa"/>
            </w:tcMar>
            <w:vAlign w:val="top"/>
          </w:tcPr>
          <w:p>
            <w:pPr>
              <w:spacing w:after="0"/>
            </w:pPr>
            <w:r>
              <w:rPr>
                <w:sz w:val="16"/>
              </w:rPr>
              <w:t>Inventory, dependency map, classification, owners, objectives</w:t>
            </w:r>
          </w:p>
        </w:tc>
      </w:tr>
      <w:tr>
        <w:trPr>
          <w:cantSplit/>
        </w:trPr>
        <w:tc>
          <w:tcPr>
            <w:tcW w:type="dxa" w:w="1872"/>
            <w:tcMar>
              <w:top w:w="80" w:type="dxa"/>
              <w:start w:w="100" w:type="dxa"/>
              <w:bottom w:w="80" w:type="dxa"/>
              <w:end w:w="100" w:type="dxa"/>
            </w:tcMar>
            <w:vAlign w:val="top"/>
          </w:tcPr>
          <w:p>
            <w:pPr>
              <w:spacing w:after="0"/>
            </w:pPr>
            <w:r>
              <w:rPr>
                <w:sz w:val="16"/>
              </w:rPr>
              <w:t>Assess</w:t>
            </w:r>
          </w:p>
        </w:tc>
        <w:tc>
          <w:tcPr>
            <w:tcW w:type="dxa" w:w="7920"/>
            <w:tcMar>
              <w:top w:w="80" w:type="dxa"/>
              <w:start w:w="100" w:type="dxa"/>
              <w:bottom w:w="80" w:type="dxa"/>
              <w:end w:w="100" w:type="dxa"/>
            </w:tcMar>
            <w:vAlign w:val="top"/>
          </w:tcPr>
          <w:p>
            <w:pPr>
              <w:spacing w:after="0"/>
            </w:pPr>
            <w:r>
              <w:rPr>
                <w:sz w:val="16"/>
              </w:rPr>
              <w:t>Compatibility report, target sizing, network and cost model</w:t>
            </w:r>
          </w:p>
        </w:tc>
      </w:tr>
      <w:tr>
        <w:trPr>
          <w:cantSplit/>
        </w:trPr>
        <w:tc>
          <w:tcPr>
            <w:tcW w:type="dxa" w:w="1872"/>
            <w:tcMar>
              <w:top w:w="80" w:type="dxa"/>
              <w:start w:w="100" w:type="dxa"/>
              <w:bottom w:w="80" w:type="dxa"/>
              <w:end w:w="100" w:type="dxa"/>
            </w:tcMar>
            <w:vAlign w:val="top"/>
          </w:tcPr>
          <w:p>
            <w:pPr>
              <w:spacing w:after="0"/>
            </w:pPr>
            <w:r>
              <w:rPr>
                <w:sz w:val="16"/>
              </w:rPr>
              <w:t>Prepare</w:t>
            </w:r>
          </w:p>
        </w:tc>
        <w:tc>
          <w:tcPr>
            <w:tcW w:type="dxa" w:w="7920"/>
            <w:tcMar>
              <w:top w:w="80" w:type="dxa"/>
              <w:start w:w="100" w:type="dxa"/>
              <w:bottom w:w="80" w:type="dxa"/>
              <w:end w:w="100" w:type="dxa"/>
            </w:tcMar>
            <w:vAlign w:val="top"/>
          </w:tcPr>
          <w:p>
            <w:pPr>
              <w:spacing w:after="0"/>
            </w:pPr>
            <w:r>
              <w:rPr>
                <w:sz w:val="16"/>
              </w:rPr>
              <w:t>Landing zone, identities, connectivity, schema conversion, runbooks</w:t>
            </w:r>
          </w:p>
        </w:tc>
      </w:tr>
      <w:tr>
        <w:trPr>
          <w:cantSplit/>
        </w:trPr>
        <w:tc>
          <w:tcPr>
            <w:tcW w:type="dxa" w:w="1872"/>
            <w:tcMar>
              <w:top w:w="80" w:type="dxa"/>
              <w:start w:w="100" w:type="dxa"/>
              <w:bottom w:w="80" w:type="dxa"/>
              <w:end w:w="100" w:type="dxa"/>
            </w:tcMar>
            <w:vAlign w:val="top"/>
          </w:tcPr>
          <w:p>
            <w:pPr>
              <w:spacing w:after="0"/>
            </w:pPr>
            <w:r>
              <w:rPr>
                <w:sz w:val="16"/>
              </w:rPr>
              <w:t>Replicate/transfer</w:t>
            </w:r>
          </w:p>
        </w:tc>
        <w:tc>
          <w:tcPr>
            <w:tcW w:type="dxa" w:w="7920"/>
            <w:tcMar>
              <w:top w:w="80" w:type="dxa"/>
              <w:start w:w="100" w:type="dxa"/>
              <w:bottom w:w="80" w:type="dxa"/>
              <w:end w:w="100" w:type="dxa"/>
            </w:tcMar>
            <w:vAlign w:val="top"/>
          </w:tcPr>
          <w:p>
            <w:pPr>
              <w:spacing w:after="0"/>
            </w:pPr>
            <w:r>
              <w:rPr>
                <w:sz w:val="16"/>
              </w:rPr>
              <w:t>Initial load complete, lag and error thresholds met</w:t>
            </w:r>
          </w:p>
        </w:tc>
      </w:tr>
      <w:tr>
        <w:trPr>
          <w:cantSplit/>
        </w:trPr>
        <w:tc>
          <w:tcPr>
            <w:tcW w:type="dxa" w:w="1872"/>
            <w:tcMar>
              <w:top w:w="80" w:type="dxa"/>
              <w:start w:w="100" w:type="dxa"/>
              <w:bottom w:w="80" w:type="dxa"/>
              <w:end w:w="100" w:type="dxa"/>
            </w:tcMar>
            <w:vAlign w:val="top"/>
          </w:tcPr>
          <w:p>
            <w:pPr>
              <w:spacing w:after="0"/>
            </w:pPr>
            <w:r>
              <w:rPr>
                <w:sz w:val="16"/>
              </w:rPr>
              <w:t>Validate</w:t>
            </w:r>
          </w:p>
        </w:tc>
        <w:tc>
          <w:tcPr>
            <w:tcW w:type="dxa" w:w="7920"/>
            <w:tcMar>
              <w:top w:w="80" w:type="dxa"/>
              <w:start w:w="100" w:type="dxa"/>
              <w:bottom w:w="80" w:type="dxa"/>
              <w:end w:w="100" w:type="dxa"/>
            </w:tcMar>
            <w:vAlign w:val="top"/>
          </w:tcPr>
          <w:p>
            <w:pPr>
              <w:spacing w:after="0"/>
            </w:pPr>
            <w:r>
              <w:rPr>
                <w:sz w:val="16"/>
              </w:rPr>
              <w:t>Counts, checksums, samples, performance, permissions, business sign-off</w:t>
            </w:r>
          </w:p>
        </w:tc>
      </w:tr>
      <w:tr>
        <w:trPr>
          <w:cantSplit/>
        </w:trPr>
        <w:tc>
          <w:tcPr>
            <w:tcW w:type="dxa" w:w="1872"/>
            <w:tcMar>
              <w:top w:w="80" w:type="dxa"/>
              <w:start w:w="100" w:type="dxa"/>
              <w:bottom w:w="80" w:type="dxa"/>
              <w:end w:w="100" w:type="dxa"/>
            </w:tcMar>
            <w:vAlign w:val="top"/>
          </w:tcPr>
          <w:p>
            <w:pPr>
              <w:spacing w:after="0"/>
            </w:pPr>
            <w:r>
              <w:rPr>
                <w:sz w:val="16"/>
              </w:rPr>
              <w:t>Cut over</w:t>
            </w:r>
          </w:p>
        </w:tc>
        <w:tc>
          <w:tcPr>
            <w:tcW w:type="dxa" w:w="7920"/>
            <w:tcMar>
              <w:top w:w="80" w:type="dxa"/>
              <w:start w:w="100" w:type="dxa"/>
              <w:bottom w:w="80" w:type="dxa"/>
              <w:end w:w="100" w:type="dxa"/>
            </w:tcMar>
            <w:vAlign w:val="top"/>
          </w:tcPr>
          <w:p>
            <w:pPr>
              <w:spacing w:after="0"/>
            </w:pPr>
            <w:r>
              <w:rPr>
                <w:sz w:val="16"/>
              </w:rPr>
              <w:t>Write freeze/redirect, final sync, application switch, monitoring</w:t>
            </w:r>
          </w:p>
        </w:tc>
      </w:tr>
      <w:tr>
        <w:trPr>
          <w:cantSplit/>
        </w:trPr>
        <w:tc>
          <w:tcPr>
            <w:tcW w:type="dxa" w:w="1872"/>
            <w:tcMar>
              <w:top w:w="80" w:type="dxa"/>
              <w:start w:w="100" w:type="dxa"/>
              <w:bottom w:w="80" w:type="dxa"/>
              <w:end w:w="100" w:type="dxa"/>
            </w:tcMar>
            <w:vAlign w:val="top"/>
          </w:tcPr>
          <w:p>
            <w:pPr>
              <w:spacing w:after="0"/>
            </w:pPr>
            <w:r>
              <w:rPr>
                <w:sz w:val="16"/>
              </w:rPr>
              <w:t>Stabilize/retire</w:t>
            </w:r>
          </w:p>
        </w:tc>
        <w:tc>
          <w:tcPr>
            <w:tcW w:type="dxa" w:w="7920"/>
            <w:tcMar>
              <w:top w:w="80" w:type="dxa"/>
              <w:start w:w="100" w:type="dxa"/>
              <w:bottom w:w="80" w:type="dxa"/>
              <w:end w:w="100" w:type="dxa"/>
            </w:tcMar>
            <w:vAlign w:val="top"/>
          </w:tcPr>
          <w:p>
            <w:pPr>
              <w:spacing w:after="0"/>
            </w:pPr>
            <w:r>
              <w:rPr>
                <w:sz w:val="16"/>
              </w:rPr>
              <w:t>Rollback window closed, source archived/decommissioned, savings verified</w:t>
            </w:r>
          </w:p>
        </w:tc>
      </w:tr>
    </w:tbl>
    <w:p>
      <w:pPr>
        <w:spacing w:after="20"/>
      </w:pPr>
    </w:p>
    <w:p>
      <w:pPr>
        <w:pStyle w:val="Heading2"/>
        <w:keepNext/>
      </w:pPr>
      <w:r>
        <w:t>29.2 Database Migration Service</w:t>
      </w:r>
    </w:p>
    <w:p>
      <w:pPr>
        <w:spacing w:after="120"/>
      </w:pPr>
      <w:r>
        <w:rPr>
          <w:i w:val="0"/>
        </w:rPr>
        <w:t>Database Migration Service streamlines supported migrations into Cloud SQL and AlloyDB. Continuous migration performs an initial load followed by ongoing change replication, enabling minimal downtime when source and destination are synchronized. Heterogeneous migrations add schema and code conversion risk, so stored procedures, data types, collations, extensions, and application SQL require explicit testing.</w:t>
      </w:r>
    </w:p>
    <w:p>
      <w:pPr>
        <w:pStyle w:val="Heading2"/>
        <w:keepNext/>
      </w:pPr>
      <w:r>
        <w:t>29.3 Datastream CDC and Downstream Processing</w:t>
      </w:r>
    </w:p>
    <w:p>
      <w:pPr>
        <w:spacing w:after="120"/>
      </w:pPr>
      <w:r>
        <w:rPr>
          <w:i w:val="0"/>
        </w:rPr>
        <w:t>Datastream is a serverless change data capture and replication service. It can deliver operational changes to BigQuery, Cloud Storage, Apache Iceberg-oriented destinations, or custom Dataflow pipelines depending on source/destination support. Datastream delivery is at least once, so downstream merge and deduplication logic must use source keys, transaction metadata, and ordering expectations.</w:t>
      </w:r>
    </w:p>
    <w:p>
      <w:pPr>
        <w:pStyle w:val="ListBullet"/>
        <w:spacing w:after="60"/>
      </w:pPr>
      <w:r>
        <w:t>Measure data freshness from source commit to target availability.</w:t>
      </w:r>
    </w:p>
    <w:p>
      <w:pPr>
        <w:pStyle w:val="ListBullet"/>
        <w:spacing w:after="60"/>
      </w:pPr>
      <w:r>
        <w:t>Include backfill and CDC reconciliation; do not assume the handoff is gap-free.</w:t>
      </w:r>
    </w:p>
    <w:p>
      <w:pPr>
        <w:pStyle w:val="ListBullet"/>
        <w:spacing w:after="60"/>
      </w:pPr>
      <w:r>
        <w:t>Handle source schema change and unsupported object types.</w:t>
      </w:r>
    </w:p>
    <w:p>
      <w:pPr>
        <w:pStyle w:val="ListBullet"/>
        <w:spacing w:after="60"/>
      </w:pPr>
      <w:r>
        <w:t>Protect logs and change records because CDC can expose deleted or sensitive values.</w:t>
      </w:r>
    </w:p>
    <w:p>
      <w:pPr>
        <w:pStyle w:val="Heading2"/>
        <w:keepNext/>
      </w:pPr>
      <w:r>
        <w:t>29.4 Storage Transfer and Cutover Control</w:t>
      </w:r>
    </w:p>
    <w:p>
      <w:pPr>
        <w:spacing w:after="120"/>
      </w:pPr>
      <w:r>
        <w:rPr>
          <w:i w:val="0"/>
        </w:rPr>
        <w:t>Storage Transfer Service moves or synchronizes large data sets from supported cloud and on-premises sources to Cloud Storage and between buckets. Define overwrite/delete behavior, checksums, include/exclude filters, bandwidth windows, service-agent permissions, and object metadata preservation. Physical appliances or network transfer may be appropriate for constrained networks.</w:t>
      </w:r>
    </w:p>
    <w:p>
      <w:pPr>
        <w:pStyle w:val="CodeBlock"/>
        <w:keepLines/>
        <w:spacing w:after="120"/>
      </w:pPr>
      <w:r>
        <w:rPr>
          <w:rFonts w:ascii="Cascadia Mono" w:hAnsi="Cascadia Mono"/>
          <w:sz w:val="16"/>
        </w:rPr>
        <w:t>gcloud database-migration migration-jobs list --region=REGION</w:t>
        <w:br/>
        <w:t>gcloud datastream streams list --location=REGION</w:t>
        <w:br/>
        <w:t>gcloud transfer jobs list --project=PROJECT_ID</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Migration lag never reaches threshold</w:t>
            </w:r>
          </w:p>
        </w:tc>
        <w:tc>
          <w:tcPr>
            <w:tcW w:type="dxa" w:w="2592"/>
            <w:tcMar>
              <w:top w:w="80" w:type="dxa"/>
              <w:start w:w="100" w:type="dxa"/>
              <w:bottom w:w="80" w:type="dxa"/>
              <w:end w:w="100" w:type="dxa"/>
            </w:tcMar>
            <w:vAlign w:val="top"/>
          </w:tcPr>
          <w:p>
            <w:pPr>
              <w:spacing w:after="0"/>
            </w:pPr>
            <w:r>
              <w:rPr>
                <w:sz w:val="16"/>
              </w:rPr>
              <w:t>Source change rate exceeds replication, network bottleneck, or large transaction</w:t>
            </w:r>
          </w:p>
        </w:tc>
        <w:tc>
          <w:tcPr>
            <w:tcW w:type="dxa" w:w="5328"/>
            <w:tcMar>
              <w:top w:w="80" w:type="dxa"/>
              <w:start w:w="100" w:type="dxa"/>
              <w:bottom w:w="80" w:type="dxa"/>
              <w:end w:w="100" w:type="dxa"/>
            </w:tcMar>
            <w:vAlign w:val="top"/>
          </w:tcPr>
          <w:p>
            <w:pPr>
              <w:spacing w:after="0"/>
            </w:pPr>
            <w:r>
              <w:rPr>
                <w:sz w:val="16"/>
              </w:rPr>
              <w:t>Inspect CDC/replication metrics; increase capacity, reduce load, tune network, or change cutover plan.</w:t>
            </w:r>
          </w:p>
        </w:tc>
      </w:tr>
      <w:tr>
        <w:trPr>
          <w:cantSplit/>
        </w:trPr>
        <w:tc>
          <w:tcPr>
            <w:tcW w:type="dxa" w:w="2160"/>
            <w:tcMar>
              <w:top w:w="80" w:type="dxa"/>
              <w:start w:w="100" w:type="dxa"/>
              <w:bottom w:w="80" w:type="dxa"/>
              <w:end w:w="100" w:type="dxa"/>
            </w:tcMar>
            <w:vAlign w:val="top"/>
          </w:tcPr>
          <w:p>
            <w:pPr>
              <w:spacing w:after="0"/>
            </w:pPr>
            <w:r>
              <w:rPr>
                <w:sz w:val="16"/>
              </w:rPr>
              <w:t>Row counts match but application fails</w:t>
            </w:r>
          </w:p>
        </w:tc>
        <w:tc>
          <w:tcPr>
            <w:tcW w:type="dxa" w:w="2592"/>
            <w:tcMar>
              <w:top w:w="80" w:type="dxa"/>
              <w:start w:w="100" w:type="dxa"/>
              <w:bottom w:w="80" w:type="dxa"/>
              <w:end w:w="100" w:type="dxa"/>
            </w:tcMar>
            <w:vAlign w:val="top"/>
          </w:tcPr>
          <w:p>
            <w:pPr>
              <w:spacing w:after="0"/>
            </w:pPr>
            <w:r>
              <w:rPr>
                <w:sz w:val="16"/>
              </w:rPr>
              <w:t>Schema objects, collations, sequences, permissions, or SQL behavior differ</w:t>
            </w:r>
          </w:p>
        </w:tc>
        <w:tc>
          <w:tcPr>
            <w:tcW w:type="dxa" w:w="5328"/>
            <w:tcMar>
              <w:top w:w="80" w:type="dxa"/>
              <w:start w:w="100" w:type="dxa"/>
              <w:bottom w:w="80" w:type="dxa"/>
              <w:end w:w="100" w:type="dxa"/>
            </w:tcMar>
            <w:vAlign w:val="top"/>
          </w:tcPr>
          <w:p>
            <w:pPr>
              <w:spacing w:after="0"/>
            </w:pPr>
            <w:r>
              <w:rPr>
                <w:sz w:val="16"/>
              </w:rPr>
              <w:t>Run compatibility tests and business transactions; compare objects and execution plans, not only rows.</w:t>
            </w:r>
          </w:p>
        </w:tc>
      </w:tr>
      <w:tr>
        <w:trPr>
          <w:cantSplit/>
        </w:trPr>
        <w:tc>
          <w:tcPr>
            <w:tcW w:type="dxa" w:w="2160"/>
            <w:tcMar>
              <w:top w:w="80" w:type="dxa"/>
              <w:start w:w="100" w:type="dxa"/>
              <w:bottom w:w="80" w:type="dxa"/>
              <w:end w:w="100" w:type="dxa"/>
            </w:tcMar>
            <w:vAlign w:val="top"/>
          </w:tcPr>
          <w:p>
            <w:pPr>
              <w:spacing w:after="0"/>
            </w:pPr>
            <w:r>
              <w:rPr>
                <w:sz w:val="16"/>
              </w:rPr>
              <w:t>CDC target has duplicates</w:t>
            </w:r>
          </w:p>
        </w:tc>
        <w:tc>
          <w:tcPr>
            <w:tcW w:type="dxa" w:w="2592"/>
            <w:tcMar>
              <w:top w:w="80" w:type="dxa"/>
              <w:start w:w="100" w:type="dxa"/>
              <w:bottom w:w="80" w:type="dxa"/>
              <w:end w:w="100" w:type="dxa"/>
            </w:tcMar>
            <w:vAlign w:val="top"/>
          </w:tcPr>
          <w:p>
            <w:pPr>
              <w:spacing w:after="0"/>
            </w:pPr>
            <w:r>
              <w:rPr>
                <w:sz w:val="16"/>
              </w:rPr>
              <w:t>At-least-once delivery and non-idempotent merge</w:t>
            </w:r>
          </w:p>
        </w:tc>
        <w:tc>
          <w:tcPr>
            <w:tcW w:type="dxa" w:w="5328"/>
            <w:tcMar>
              <w:top w:w="80" w:type="dxa"/>
              <w:start w:w="100" w:type="dxa"/>
              <w:bottom w:w="80" w:type="dxa"/>
              <w:end w:w="100" w:type="dxa"/>
            </w:tcMar>
            <w:vAlign w:val="top"/>
          </w:tcPr>
          <w:p>
            <w:pPr>
              <w:spacing w:after="0"/>
            </w:pPr>
            <w:r>
              <w:rPr>
                <w:sz w:val="16"/>
              </w:rPr>
              <w:t>Use source primary key and change metadata to deduplicate/upsert.</w:t>
            </w:r>
          </w:p>
        </w:tc>
      </w:tr>
      <w:tr>
        <w:trPr>
          <w:cantSplit/>
        </w:trPr>
        <w:tc>
          <w:tcPr>
            <w:tcW w:type="dxa" w:w="2160"/>
            <w:tcMar>
              <w:top w:w="80" w:type="dxa"/>
              <w:start w:w="100" w:type="dxa"/>
              <w:bottom w:w="80" w:type="dxa"/>
              <w:end w:w="100" w:type="dxa"/>
            </w:tcMar>
            <w:vAlign w:val="top"/>
          </w:tcPr>
          <w:p>
            <w:pPr>
              <w:spacing w:after="0"/>
            </w:pPr>
            <w:r>
              <w:rPr>
                <w:sz w:val="16"/>
              </w:rPr>
              <w:t>Bulk transfer repeatedly retransfers objects</w:t>
            </w:r>
          </w:p>
        </w:tc>
        <w:tc>
          <w:tcPr>
            <w:tcW w:type="dxa" w:w="2592"/>
            <w:tcMar>
              <w:top w:w="80" w:type="dxa"/>
              <w:start w:w="100" w:type="dxa"/>
              <w:bottom w:w="80" w:type="dxa"/>
              <w:end w:w="100" w:type="dxa"/>
            </w:tcMar>
            <w:vAlign w:val="top"/>
          </w:tcPr>
          <w:p>
            <w:pPr>
              <w:spacing w:after="0"/>
            </w:pPr>
            <w:r>
              <w:rPr>
                <w:sz w:val="16"/>
              </w:rPr>
              <w:t>Timestamp/checksum/overwrite policy or metadata differences</w:t>
            </w:r>
          </w:p>
        </w:tc>
        <w:tc>
          <w:tcPr>
            <w:tcW w:type="dxa" w:w="5328"/>
            <w:tcMar>
              <w:top w:w="80" w:type="dxa"/>
              <w:start w:w="100" w:type="dxa"/>
              <w:bottom w:w="80" w:type="dxa"/>
              <w:end w:w="100" w:type="dxa"/>
            </w:tcMar>
            <w:vAlign w:val="top"/>
          </w:tcPr>
          <w:p>
            <w:pPr>
              <w:spacing w:after="0"/>
            </w:pPr>
            <w:r>
              <w:rPr>
                <w:sz w:val="16"/>
              </w:rPr>
              <w:t>Inspect transfer logs and options; define authoritative side and comparison behavior.</w:t>
            </w:r>
          </w:p>
        </w:tc>
      </w:tr>
    </w:tbl>
    <w:p>
      <w:pPr>
        <w:spacing w:after="20"/>
      </w:pPr>
    </w:p>
    <w:p>
      <w:pPr>
        <w:pStyle w:val="Heading2"/>
        <w:keepNext/>
      </w:pPr>
      <w:r>
        <w:t>Hands-on Lab 29: Execute a Minimal-Downtime Migration Rehearsal</w:t>
      </w:r>
    </w:p>
    <w:p>
      <w:pPr>
        <w:pStyle w:val="Heading3"/>
        <w:keepNext/>
      </w:pPr>
      <w:r>
        <w:t>Prerequisites</w:t>
      </w:r>
    </w:p>
    <w:p>
      <w:pPr>
        <w:pStyle w:val="ListBullet"/>
        <w:spacing w:after="60"/>
      </w:pPr>
      <w:r>
        <w:t>A small source database, a Cloud SQL/AlloyDB destination, Datastream or DMS support as appropriate, and synthetic data.</w:t>
      </w:r>
    </w:p>
    <w:p>
      <w:pPr>
        <w:pStyle w:val="Heading3"/>
        <w:keepNext/>
      </w:pPr>
      <w:r>
        <w:t>Implementation</w:t>
      </w:r>
    </w:p>
    <w:p>
      <w:pPr>
        <w:spacing w:after="60"/>
        <w:ind w:left="360" w:hanging="259"/>
      </w:pPr>
      <w:r>
        <w:rPr>
          <w:b/>
        </w:rPr>
        <w:t xml:space="preserve">1. </w:t>
      </w:r>
      <w:r>
        <w:t>Create an inventory and migration decision record including downtime, rollback, data classification, and acceptance thresholds.</w:t>
      </w:r>
    </w:p>
    <w:p>
      <w:pPr>
        <w:spacing w:after="60"/>
        <w:ind w:left="360" w:hanging="259"/>
      </w:pPr>
      <w:r>
        <w:rPr>
          <w:b/>
        </w:rPr>
        <w:t xml:space="preserve">2. </w:t>
      </w:r>
      <w:r>
        <w:t>Establish private or encrypted connectivity and dedicated migration identities.</w:t>
      </w:r>
    </w:p>
    <w:p>
      <w:pPr>
        <w:spacing w:after="60"/>
        <w:ind w:left="360" w:hanging="259"/>
      </w:pPr>
      <w:r>
        <w:rPr>
          <w:b/>
        </w:rPr>
        <w:t xml:space="preserve">3. </w:t>
      </w:r>
      <w:r>
        <w:t>Run compatibility/schema assessment and remediate unsupported objects.</w:t>
      </w:r>
    </w:p>
    <w:p>
      <w:pPr>
        <w:spacing w:after="60"/>
        <w:ind w:left="360" w:hanging="259"/>
      </w:pPr>
      <w:r>
        <w:rPr>
          <w:b/>
        </w:rPr>
        <w:t xml:space="preserve">4. </w:t>
      </w:r>
      <w:r>
        <w:t>Start initial load and continuous replication; generate controlled source changes.</w:t>
      </w:r>
    </w:p>
    <w:p>
      <w:pPr>
        <w:spacing w:after="60"/>
        <w:ind w:left="360" w:hanging="259"/>
      </w:pPr>
      <w:r>
        <w:rPr>
          <w:b/>
        </w:rPr>
        <w:t xml:space="preserve">5. </w:t>
      </w:r>
      <w:r>
        <w:t>Measure lag, validate counts/checksums/critical queries, and run application smoke tests.</w:t>
      </w:r>
    </w:p>
    <w:p>
      <w:pPr>
        <w:spacing w:after="60"/>
        <w:ind w:left="360" w:hanging="259"/>
      </w:pPr>
      <w:r>
        <w:rPr>
          <w:b/>
        </w:rPr>
        <w:t xml:space="preserve">6. </w:t>
      </w:r>
      <w:r>
        <w:t>Perform a rehearsal cutover with write control, final synchronization, application switch, and enhanced monitoring.</w:t>
      </w:r>
    </w:p>
    <w:p>
      <w:pPr>
        <w:spacing w:after="60"/>
        <w:ind w:left="360" w:hanging="259"/>
      </w:pPr>
      <w:r>
        <w:rPr>
          <w:b/>
        </w:rPr>
        <w:t xml:space="preserve">7. </w:t>
      </w:r>
      <w:r>
        <w:t>Trigger rollback within the agreed window, then repeat the forward cutover and document source retirement.</w:t>
      </w:r>
    </w:p>
    <w:p>
      <w:pPr>
        <w:pStyle w:val="Heading3"/>
        <w:keepNext/>
      </w:pPr>
      <w:r>
        <w:t>Validation Evidence</w:t>
      </w:r>
    </w:p>
    <w:p>
      <w:pPr>
        <w:pStyle w:val="ListBullet"/>
        <w:spacing w:after="60"/>
      </w:pPr>
      <w:r>
        <w:t>Data and schema fidelity checks pass.</w:t>
      </w:r>
    </w:p>
    <w:p>
      <w:pPr>
        <w:pStyle w:val="ListBullet"/>
        <w:spacing w:after="60"/>
      </w:pPr>
      <w:r>
        <w:t>Lag and cutover duration are measured against objectives.</w:t>
      </w:r>
    </w:p>
    <w:p>
      <w:pPr>
        <w:pStyle w:val="ListBullet"/>
        <w:spacing w:after="60"/>
      </w:pPr>
      <w:r>
        <w:t>Application smoke tests pass on the target.</w:t>
      </w:r>
    </w:p>
    <w:p>
      <w:pPr>
        <w:pStyle w:val="ListBullet"/>
        <w:spacing w:after="60"/>
      </w:pPr>
      <w:r>
        <w:t>Rollback and forward cutover are both executable from the runbook.</w:t>
      </w:r>
    </w:p>
    <w:p>
      <w:pPr>
        <w:pStyle w:val="Heading3"/>
        <w:keepNext/>
      </w:pPr>
      <w:r>
        <w:t>Cleanup</w:t>
      </w:r>
    </w:p>
    <w:p>
      <w:pPr>
        <w:pStyle w:val="ListBullet"/>
        <w:spacing w:after="60"/>
      </w:pPr>
      <w:r>
        <w:t>Delete migration jobs, streams, connection profiles, temporary databases, transfer jobs, buckets, and credentials.</w:t>
      </w:r>
    </w:p>
    <w:p>
      <w:pPr>
        <w:pStyle w:val="Heading2"/>
        <w:keepNext/>
      </w:pPr>
      <w:r>
        <w:t>Interview Questions and Model Answers</w:t>
      </w:r>
    </w:p>
    <w:p>
      <w:pPr>
        <w:spacing w:after="40"/>
      </w:pPr>
      <w:r>
        <w:rPr>
          <w:b/>
        </w:rPr>
        <w:t>1. What is continuous migration?</w:t>
      </w:r>
    </w:p>
    <w:p>
      <w:pPr>
        <w:spacing w:after="120"/>
        <w:ind w:left="216"/>
      </w:pPr>
      <w:r>
        <w:t>An initial snapshot/load followed by ongoing replication until final cutover, reducing downtime.</w:t>
      </w:r>
    </w:p>
    <w:p>
      <w:pPr>
        <w:spacing w:after="40"/>
      </w:pPr>
      <w:r>
        <w:rPr>
          <w:b/>
        </w:rPr>
        <w:t>2. Why are row counts insufficient validation?</w:t>
      </w:r>
    </w:p>
    <w:p>
      <w:pPr>
        <w:spacing w:after="120"/>
        <w:ind w:left="216"/>
      </w:pPr>
      <w:r>
        <w:t>They do not prove schema objects, ordering, constraints, permissions, encoding, sequences, or business behavior.</w:t>
      </w:r>
    </w:p>
    <w:p>
      <w:pPr>
        <w:spacing w:after="40"/>
      </w:pPr>
      <w:r>
        <w:rPr>
          <w:b/>
        </w:rPr>
        <w:t>3. What guarantee should Datastream consumers assume?</w:t>
      </w:r>
    </w:p>
    <w:p>
      <w:pPr>
        <w:spacing w:after="120"/>
        <w:ind w:left="216"/>
      </w:pPr>
      <w:r>
        <w:t>At-least-once delivery, requiring idempotent downstream processing.</w:t>
      </w:r>
    </w:p>
    <w:p>
      <w:pPr>
        <w:spacing w:after="40"/>
      </w:pPr>
      <w:r>
        <w:rPr>
          <w:b/>
        </w:rPr>
        <w:t>4. When is rollback no longer safe?</w:t>
      </w:r>
    </w:p>
    <w:p>
      <w:pPr>
        <w:spacing w:after="120"/>
        <w:ind w:left="216"/>
      </w:pPr>
      <w:r>
        <w:t>After the new target accepts writes that cannot be reliably replayed back to the source or after the agreed rollback window closes.</w:t>
      </w:r>
    </w:p>
    <w:p>
      <w:pPr>
        <w:pStyle w:val="Heading2"/>
        <w:keepNext/>
      </w:pPr>
      <w:r>
        <w:t>Chapter Summary</w:t>
      </w:r>
    </w:p>
    <w:p>
      <w:pPr>
        <w:pStyle w:val="ListBullet"/>
        <w:spacing w:after="60"/>
      </w:pPr>
      <w:r>
        <w:t>Migration success is measured by application and data fidelity.</w:t>
      </w:r>
    </w:p>
    <w:p>
      <w:pPr>
        <w:pStyle w:val="ListBullet"/>
        <w:spacing w:after="60"/>
      </w:pPr>
      <w:r>
        <w:t>Continuous replication reduces downtime but increases coordination.</w:t>
      </w:r>
    </w:p>
    <w:p>
      <w:pPr>
        <w:pStyle w:val="ListBullet"/>
        <w:spacing w:after="60"/>
      </w:pPr>
      <w:r>
        <w:t>CDC consumers must deduplicate and reconcile.</w:t>
      </w:r>
    </w:p>
    <w:p>
      <w:pPr>
        <w:pStyle w:val="ListBullet"/>
        <w:spacing w:after="60"/>
      </w:pPr>
      <w:r>
        <w:t>Every cutover needs explicit rollback limits and source-retirement controls.</w:t>
      </w:r>
    </w:p>
    <w:p>
      <w:pPr>
        <w:pStyle w:val="Heading1"/>
        <w:keepNext/>
        <w:pageBreakBefore/>
      </w:pPr>
      <w:r>
        <w:t>Chapter 30 - Data Security, Resilience, AI Readiness, and Enterprise Capstone</w:t>
      </w:r>
    </w:p>
    <w:p>
      <w:pPr>
        <w:spacing w:after="120"/>
      </w:pPr>
      <w:r>
        <w:rPr>
          <w:i/>
          <w:color w:val="505050"/>
        </w:rPr>
        <w:t>Integrating governance, recovery, observability, and delivery into one production data platform</w:t>
      </w:r>
    </w:p>
    <w:p>
      <w:pPr>
        <w:pStyle w:val="Heading2"/>
        <w:keepNext/>
      </w:pPr>
      <w:r>
        <w:t>Learning Objectives</w:t>
      </w:r>
    </w:p>
    <w:p>
      <w:pPr>
        <w:pStyle w:val="ListBullet"/>
        <w:spacing w:after="60"/>
      </w:pPr>
      <w:r>
        <w:t>Apply defense in depth to identities, networks, encryption, perimeters, and data access.</w:t>
      </w:r>
    </w:p>
    <w:p>
      <w:pPr>
        <w:pStyle w:val="ListBullet"/>
        <w:spacing w:after="60"/>
      </w:pPr>
      <w:r>
        <w:t>Define data SLOs, quality, lineage, retention, backup, and regional recovery.</w:t>
      </w:r>
    </w:p>
    <w:p>
      <w:pPr>
        <w:pStyle w:val="ListBullet"/>
        <w:spacing w:after="60"/>
      </w:pPr>
      <w:r>
        <w:t>Create production incident and change-management practices for data systems.</w:t>
      </w:r>
    </w:p>
    <w:p>
      <w:pPr>
        <w:pStyle w:val="ListBullet"/>
        <w:spacing w:after="60"/>
      </w:pPr>
      <w:r>
        <w:t>Deliver a portfolio-grade AI-ready enterprise data platform capstone.</w:t>
      </w:r>
    </w:p>
    <w:p>
      <w:pPr>
        <w:pStyle w:val="Heading2"/>
        <w:keepNext/>
      </w:pPr>
      <w:r>
        <w:t>30.1 Data Security Architecture</w:t>
      </w:r>
    </w:p>
    <w:p>
      <w:pPr>
        <w:spacing w:after="120"/>
      </w:pPr>
      <w:r>
        <w:rPr>
          <w:i w:val="0"/>
        </w:rPr>
        <w:t>Use separate projects for platform control, ingestion, processing, analytics, and sensitive workloads where risk justifies it. Apply IAM groups and service accounts, short-lived federation, Secret Manager, private connectivity, VPC Service Controls, organization policy, audit logs, and customer-managed keys only with a reliable key lifecycle. Protect data in every copy: source, CDC, raw lake, staging, backup, cache, feature table, vector index, export, and logs.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304"/>
            <w:shd w:fill="1A73E8"/>
            <w:tcMar>
              <w:top w:w="80" w:type="dxa"/>
              <w:start w:w="100" w:type="dxa"/>
              <w:bottom w:w="80" w:type="dxa"/>
              <w:end w:w="100" w:type="dxa"/>
            </w:tcMar>
            <w:vAlign w:val="center"/>
          </w:tcPr>
          <w:p>
            <w:pPr>
              <w:jc w:val="center"/>
            </w:pPr>
            <w:r>
              <w:rPr>
                <w:b/>
                <w:color w:val="FFFFFF"/>
                <w:sz w:val="16"/>
              </w:rPr>
              <w:t>Layer</w:t>
            </w:r>
          </w:p>
        </w:tc>
        <w:tc>
          <w:tcPr>
            <w:tcW w:type="dxa" w:w="7344"/>
            <w:shd w:fill="1A73E8"/>
            <w:tcMar>
              <w:top w:w="80" w:type="dxa"/>
              <w:start w:w="100" w:type="dxa"/>
              <w:bottom w:w="80" w:type="dxa"/>
              <w:end w:w="100" w:type="dxa"/>
            </w:tcMar>
            <w:vAlign w:val="center"/>
          </w:tcPr>
          <w:p>
            <w:pPr>
              <w:jc w:val="center"/>
            </w:pPr>
            <w:r>
              <w:rPr>
                <w:b/>
                <w:color w:val="FFFFFF"/>
                <w:sz w:val="16"/>
              </w:rPr>
              <w:t>Required Evidence</w:t>
            </w:r>
          </w:p>
        </w:tc>
      </w:tr>
      <w:tr>
        <w:trPr>
          <w:cantSplit/>
        </w:trPr>
        <w:tc>
          <w:tcPr>
            <w:tcW w:type="dxa" w:w="2304"/>
            <w:tcMar>
              <w:top w:w="80" w:type="dxa"/>
              <w:start w:w="100" w:type="dxa"/>
              <w:bottom w:w="80" w:type="dxa"/>
              <w:end w:w="100" w:type="dxa"/>
            </w:tcMar>
            <w:vAlign w:val="top"/>
          </w:tcPr>
          <w:p>
            <w:pPr>
              <w:spacing w:after="0"/>
            </w:pPr>
            <w:r>
              <w:rPr>
                <w:sz w:val="16"/>
              </w:rPr>
              <w:t>Identity</w:t>
            </w:r>
          </w:p>
        </w:tc>
        <w:tc>
          <w:tcPr>
            <w:tcW w:type="dxa" w:w="7344"/>
            <w:tcMar>
              <w:top w:w="80" w:type="dxa"/>
              <w:start w:w="100" w:type="dxa"/>
              <w:bottom w:w="80" w:type="dxa"/>
              <w:end w:w="100" w:type="dxa"/>
            </w:tcMar>
            <w:vAlign w:val="top"/>
          </w:tcPr>
          <w:p>
            <w:pPr>
              <w:spacing w:after="0"/>
            </w:pPr>
            <w:r>
              <w:rPr>
                <w:sz w:val="16"/>
              </w:rPr>
              <w:t>Group/service-account ownership, least privilege, no unmanaged keys</w:t>
            </w:r>
          </w:p>
        </w:tc>
      </w:tr>
      <w:tr>
        <w:trPr>
          <w:cantSplit/>
        </w:trPr>
        <w:tc>
          <w:tcPr>
            <w:tcW w:type="dxa" w:w="2304"/>
            <w:tcMar>
              <w:top w:w="80" w:type="dxa"/>
              <w:start w:w="100" w:type="dxa"/>
              <w:bottom w:w="80" w:type="dxa"/>
              <w:end w:w="100" w:type="dxa"/>
            </w:tcMar>
            <w:vAlign w:val="top"/>
          </w:tcPr>
          <w:p>
            <w:pPr>
              <w:spacing w:after="0"/>
            </w:pPr>
            <w:r>
              <w:rPr>
                <w:sz w:val="16"/>
              </w:rPr>
              <w:t>Network</w:t>
            </w:r>
          </w:p>
        </w:tc>
        <w:tc>
          <w:tcPr>
            <w:tcW w:type="dxa" w:w="7344"/>
            <w:tcMar>
              <w:top w:w="80" w:type="dxa"/>
              <w:start w:w="100" w:type="dxa"/>
              <w:bottom w:w="80" w:type="dxa"/>
              <w:end w:w="100" w:type="dxa"/>
            </w:tcMar>
            <w:vAlign w:val="top"/>
          </w:tcPr>
          <w:p>
            <w:pPr>
              <w:spacing w:after="0"/>
            </w:pPr>
            <w:r>
              <w:rPr>
                <w:sz w:val="16"/>
              </w:rPr>
              <w:t>Private paths, controlled egress, DNS, service perimeter design</w:t>
            </w:r>
          </w:p>
        </w:tc>
      </w:tr>
      <w:tr>
        <w:trPr>
          <w:cantSplit/>
        </w:trPr>
        <w:tc>
          <w:tcPr>
            <w:tcW w:type="dxa" w:w="2304"/>
            <w:tcMar>
              <w:top w:w="80" w:type="dxa"/>
              <w:start w:w="100" w:type="dxa"/>
              <w:bottom w:w="80" w:type="dxa"/>
              <w:end w:w="100" w:type="dxa"/>
            </w:tcMar>
            <w:vAlign w:val="top"/>
          </w:tcPr>
          <w:p>
            <w:pPr>
              <w:spacing w:after="0"/>
            </w:pPr>
            <w:r>
              <w:rPr>
                <w:sz w:val="16"/>
              </w:rPr>
              <w:t>Data access</w:t>
            </w:r>
          </w:p>
        </w:tc>
        <w:tc>
          <w:tcPr>
            <w:tcW w:type="dxa" w:w="7344"/>
            <w:tcMar>
              <w:top w:w="80" w:type="dxa"/>
              <w:start w:w="100" w:type="dxa"/>
              <w:bottom w:w="80" w:type="dxa"/>
              <w:end w:w="100" w:type="dxa"/>
            </w:tcMar>
            <w:vAlign w:val="top"/>
          </w:tcPr>
          <w:p>
            <w:pPr>
              <w:spacing w:after="0"/>
            </w:pPr>
            <w:r>
              <w:rPr>
                <w:sz w:val="16"/>
              </w:rPr>
              <w:t>Dataset/table/row/column policies and tested denial</w:t>
            </w:r>
          </w:p>
        </w:tc>
      </w:tr>
      <w:tr>
        <w:trPr>
          <w:cantSplit/>
        </w:trPr>
        <w:tc>
          <w:tcPr>
            <w:tcW w:type="dxa" w:w="2304"/>
            <w:tcMar>
              <w:top w:w="80" w:type="dxa"/>
              <w:start w:w="100" w:type="dxa"/>
              <w:bottom w:w="80" w:type="dxa"/>
              <w:end w:w="100" w:type="dxa"/>
            </w:tcMar>
            <w:vAlign w:val="top"/>
          </w:tcPr>
          <w:p>
            <w:pPr>
              <w:spacing w:after="0"/>
            </w:pPr>
            <w:r>
              <w:rPr>
                <w:sz w:val="16"/>
              </w:rPr>
              <w:t>Encryption</w:t>
            </w:r>
          </w:p>
        </w:tc>
        <w:tc>
          <w:tcPr>
            <w:tcW w:type="dxa" w:w="7344"/>
            <w:tcMar>
              <w:top w:w="80" w:type="dxa"/>
              <w:start w:w="100" w:type="dxa"/>
              <w:bottom w:w="80" w:type="dxa"/>
              <w:end w:w="100" w:type="dxa"/>
            </w:tcMar>
            <w:vAlign w:val="top"/>
          </w:tcPr>
          <w:p>
            <w:pPr>
              <w:spacing w:after="0"/>
            </w:pPr>
            <w:r>
              <w:rPr>
                <w:sz w:val="16"/>
              </w:rPr>
              <w:t>Default or CMEK decision, key owner, rotation and recovery</w:t>
            </w:r>
          </w:p>
        </w:tc>
      </w:tr>
      <w:tr>
        <w:trPr>
          <w:cantSplit/>
        </w:trPr>
        <w:tc>
          <w:tcPr>
            <w:tcW w:type="dxa" w:w="2304"/>
            <w:tcMar>
              <w:top w:w="80" w:type="dxa"/>
              <w:start w:w="100" w:type="dxa"/>
              <w:bottom w:w="80" w:type="dxa"/>
              <w:end w:w="100" w:type="dxa"/>
            </w:tcMar>
            <w:vAlign w:val="top"/>
          </w:tcPr>
          <w:p>
            <w:pPr>
              <w:spacing w:after="0"/>
            </w:pPr>
            <w:r>
              <w:rPr>
                <w:sz w:val="16"/>
              </w:rPr>
              <w:t>Audit</w:t>
            </w:r>
          </w:p>
        </w:tc>
        <w:tc>
          <w:tcPr>
            <w:tcW w:type="dxa" w:w="7344"/>
            <w:tcMar>
              <w:top w:w="80" w:type="dxa"/>
              <w:start w:w="100" w:type="dxa"/>
              <w:bottom w:w="80" w:type="dxa"/>
              <w:end w:w="100" w:type="dxa"/>
            </w:tcMar>
            <w:vAlign w:val="top"/>
          </w:tcPr>
          <w:p>
            <w:pPr>
              <w:spacing w:after="0"/>
            </w:pPr>
            <w:r>
              <w:rPr>
                <w:sz w:val="16"/>
              </w:rPr>
              <w:t>Admin and data-access logs appropriate to classification</w:t>
            </w:r>
          </w:p>
        </w:tc>
      </w:tr>
      <w:tr>
        <w:trPr>
          <w:cantSplit/>
        </w:trPr>
        <w:tc>
          <w:tcPr>
            <w:tcW w:type="dxa" w:w="2304"/>
            <w:tcMar>
              <w:top w:w="80" w:type="dxa"/>
              <w:start w:w="100" w:type="dxa"/>
              <w:bottom w:w="80" w:type="dxa"/>
              <w:end w:w="100" w:type="dxa"/>
            </w:tcMar>
            <w:vAlign w:val="top"/>
          </w:tcPr>
          <w:p>
            <w:pPr>
              <w:spacing w:after="0"/>
            </w:pPr>
            <w:r>
              <w:rPr>
                <w:sz w:val="16"/>
              </w:rPr>
              <w:t>Exfiltration</w:t>
            </w:r>
          </w:p>
        </w:tc>
        <w:tc>
          <w:tcPr>
            <w:tcW w:type="dxa" w:w="7344"/>
            <w:tcMar>
              <w:top w:w="80" w:type="dxa"/>
              <w:start w:w="100" w:type="dxa"/>
              <w:bottom w:w="80" w:type="dxa"/>
              <w:end w:w="100" w:type="dxa"/>
            </w:tcMar>
            <w:vAlign w:val="top"/>
          </w:tcPr>
          <w:p>
            <w:pPr>
              <w:spacing w:after="0"/>
            </w:pPr>
            <w:r>
              <w:rPr>
                <w:sz w:val="16"/>
              </w:rPr>
              <w:t>Export controls, perimeters, anomaly monitoring, incident runbook</w:t>
            </w:r>
          </w:p>
        </w:tc>
      </w:tr>
    </w:tbl>
    <w:p>
      <w:pPr>
        <w:spacing w:after="20"/>
      </w:pPr>
    </w:p>
    <w:p>
      <w:pPr>
        <w:pStyle w:val="Heading2"/>
        <w:keepNext/>
      </w:pPr>
      <w:r>
        <w:t>30.2 Reliability, Quality, and Recovery Objectives</w:t>
      </w:r>
    </w:p>
    <w:p>
      <w:pPr>
        <w:spacing w:after="120"/>
      </w:pPr>
      <w:r>
        <w:rPr>
          <w:i w:val="0"/>
        </w:rPr>
        <w:t>Data-platform SLOs include freshness, completeness, accuracy, availability, latency, and successful publication. Recovery design must address infrastructure failure, regional outage, corruption, accidental deletion, bad schema, poison events, failed migration, and security compromise. Replicas improve availability; backups and immutable copies provide recovery points; replay reconstructs derived data only when sources and code are retained.</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016"/>
            <w:shd w:fill="1A73E8"/>
            <w:tcMar>
              <w:top w:w="80" w:type="dxa"/>
              <w:start w:w="100" w:type="dxa"/>
              <w:bottom w:w="80" w:type="dxa"/>
              <w:end w:w="100" w:type="dxa"/>
            </w:tcMar>
            <w:vAlign w:val="center"/>
          </w:tcPr>
          <w:p>
            <w:pPr>
              <w:jc w:val="center"/>
            </w:pPr>
            <w:r>
              <w:rPr>
                <w:b/>
                <w:color w:val="FFFFFF"/>
                <w:sz w:val="16"/>
              </w:rPr>
              <w:t>Failure</w:t>
            </w:r>
          </w:p>
        </w:tc>
        <w:tc>
          <w:tcPr>
            <w:tcW w:type="dxa" w:w="3600"/>
            <w:shd w:fill="1A73E8"/>
            <w:tcMar>
              <w:top w:w="80" w:type="dxa"/>
              <w:start w:w="100" w:type="dxa"/>
              <w:bottom w:w="80" w:type="dxa"/>
              <w:end w:w="100" w:type="dxa"/>
            </w:tcMar>
            <w:vAlign w:val="center"/>
          </w:tcPr>
          <w:p>
            <w:pPr>
              <w:jc w:val="center"/>
            </w:pPr>
            <w:r>
              <w:rPr>
                <w:b/>
                <w:color w:val="FFFFFF"/>
                <w:sz w:val="16"/>
              </w:rPr>
              <w:t>Primary Control</w:t>
            </w:r>
          </w:p>
        </w:tc>
        <w:tc>
          <w:tcPr>
            <w:tcW w:type="dxa" w:w="4032"/>
            <w:shd w:fill="1A73E8"/>
            <w:tcMar>
              <w:top w:w="80" w:type="dxa"/>
              <w:start w:w="100" w:type="dxa"/>
              <w:bottom w:w="80" w:type="dxa"/>
              <w:end w:w="100" w:type="dxa"/>
            </w:tcMar>
            <w:vAlign w:val="center"/>
          </w:tcPr>
          <w:p>
            <w:pPr>
              <w:jc w:val="center"/>
            </w:pPr>
            <w:r>
              <w:rPr>
                <w:b/>
                <w:color w:val="FFFFFF"/>
                <w:sz w:val="16"/>
              </w:rPr>
              <w:t>Proof</w:t>
            </w:r>
          </w:p>
        </w:tc>
      </w:tr>
      <w:tr>
        <w:trPr>
          <w:cantSplit/>
        </w:trPr>
        <w:tc>
          <w:tcPr>
            <w:tcW w:type="dxa" w:w="2016"/>
            <w:tcMar>
              <w:top w:w="80" w:type="dxa"/>
              <w:start w:w="100" w:type="dxa"/>
              <w:bottom w:w="80" w:type="dxa"/>
              <w:end w:w="100" w:type="dxa"/>
            </w:tcMar>
            <w:vAlign w:val="top"/>
          </w:tcPr>
          <w:p>
            <w:pPr>
              <w:spacing w:after="0"/>
            </w:pPr>
            <w:r>
              <w:rPr>
                <w:sz w:val="16"/>
              </w:rPr>
              <w:t>Zonal/instance failure</w:t>
            </w:r>
          </w:p>
        </w:tc>
        <w:tc>
          <w:tcPr>
            <w:tcW w:type="dxa" w:w="3600"/>
            <w:tcMar>
              <w:top w:w="80" w:type="dxa"/>
              <w:start w:w="100" w:type="dxa"/>
              <w:bottom w:w="80" w:type="dxa"/>
              <w:end w:w="100" w:type="dxa"/>
            </w:tcMar>
            <w:vAlign w:val="top"/>
          </w:tcPr>
          <w:p>
            <w:pPr>
              <w:spacing w:after="0"/>
            </w:pPr>
            <w:r>
              <w:rPr>
                <w:sz w:val="16"/>
              </w:rPr>
              <w:t>HA/replication</w:t>
            </w:r>
          </w:p>
        </w:tc>
        <w:tc>
          <w:tcPr>
            <w:tcW w:type="dxa" w:w="4032"/>
            <w:tcMar>
              <w:top w:w="80" w:type="dxa"/>
              <w:start w:w="100" w:type="dxa"/>
              <w:bottom w:w="80" w:type="dxa"/>
              <w:end w:w="100" w:type="dxa"/>
            </w:tcMar>
            <w:vAlign w:val="top"/>
          </w:tcPr>
          <w:p>
            <w:pPr>
              <w:spacing w:after="0"/>
            </w:pPr>
            <w:r>
              <w:rPr>
                <w:sz w:val="16"/>
              </w:rPr>
              <w:t>Failover test and client recovery</w:t>
            </w:r>
          </w:p>
        </w:tc>
      </w:tr>
      <w:tr>
        <w:trPr>
          <w:cantSplit/>
        </w:trPr>
        <w:tc>
          <w:tcPr>
            <w:tcW w:type="dxa" w:w="2016"/>
            <w:tcMar>
              <w:top w:w="80" w:type="dxa"/>
              <w:start w:w="100" w:type="dxa"/>
              <w:bottom w:w="80" w:type="dxa"/>
              <w:end w:w="100" w:type="dxa"/>
            </w:tcMar>
            <w:vAlign w:val="top"/>
          </w:tcPr>
          <w:p>
            <w:pPr>
              <w:spacing w:after="0"/>
            </w:pPr>
            <w:r>
              <w:rPr>
                <w:sz w:val="16"/>
              </w:rPr>
              <w:t>Regional failure</w:t>
            </w:r>
          </w:p>
        </w:tc>
        <w:tc>
          <w:tcPr>
            <w:tcW w:type="dxa" w:w="3600"/>
            <w:tcMar>
              <w:top w:w="80" w:type="dxa"/>
              <w:start w:w="100" w:type="dxa"/>
              <w:bottom w:w="80" w:type="dxa"/>
              <w:end w:w="100" w:type="dxa"/>
            </w:tcMar>
            <w:vAlign w:val="top"/>
          </w:tcPr>
          <w:p>
            <w:pPr>
              <w:spacing w:after="0"/>
            </w:pPr>
            <w:r>
              <w:rPr>
                <w:sz w:val="16"/>
              </w:rPr>
              <w:t>Cross-region design/DR target</w:t>
            </w:r>
          </w:p>
        </w:tc>
        <w:tc>
          <w:tcPr>
            <w:tcW w:type="dxa" w:w="4032"/>
            <w:tcMar>
              <w:top w:w="80" w:type="dxa"/>
              <w:start w:w="100" w:type="dxa"/>
              <w:bottom w:w="80" w:type="dxa"/>
              <w:end w:w="100" w:type="dxa"/>
            </w:tcMar>
            <w:vAlign w:val="top"/>
          </w:tcPr>
          <w:p>
            <w:pPr>
              <w:spacing w:after="0"/>
            </w:pPr>
            <w:r>
              <w:rPr>
                <w:sz w:val="16"/>
              </w:rPr>
              <w:t>Promotion and traffic-switch game day</w:t>
            </w:r>
          </w:p>
        </w:tc>
      </w:tr>
      <w:tr>
        <w:trPr>
          <w:cantSplit/>
        </w:trPr>
        <w:tc>
          <w:tcPr>
            <w:tcW w:type="dxa" w:w="2016"/>
            <w:tcMar>
              <w:top w:w="80" w:type="dxa"/>
              <w:start w:w="100" w:type="dxa"/>
              <w:bottom w:w="80" w:type="dxa"/>
              <w:end w:w="100" w:type="dxa"/>
            </w:tcMar>
            <w:vAlign w:val="top"/>
          </w:tcPr>
          <w:p>
            <w:pPr>
              <w:spacing w:after="0"/>
            </w:pPr>
            <w:r>
              <w:rPr>
                <w:sz w:val="16"/>
              </w:rPr>
              <w:t>Logical deletion/corruption</w:t>
            </w:r>
          </w:p>
        </w:tc>
        <w:tc>
          <w:tcPr>
            <w:tcW w:type="dxa" w:w="3600"/>
            <w:tcMar>
              <w:top w:w="80" w:type="dxa"/>
              <w:start w:w="100" w:type="dxa"/>
              <w:bottom w:w="80" w:type="dxa"/>
              <w:end w:w="100" w:type="dxa"/>
            </w:tcMar>
            <w:vAlign w:val="top"/>
          </w:tcPr>
          <w:p>
            <w:pPr>
              <w:spacing w:after="0"/>
            </w:pPr>
            <w:r>
              <w:rPr>
                <w:sz w:val="16"/>
              </w:rPr>
              <w:t>Backup/PITR/snapshot</w:t>
            </w:r>
          </w:p>
        </w:tc>
        <w:tc>
          <w:tcPr>
            <w:tcW w:type="dxa" w:w="4032"/>
            <w:tcMar>
              <w:top w:w="80" w:type="dxa"/>
              <w:start w:w="100" w:type="dxa"/>
              <w:bottom w:w="80" w:type="dxa"/>
              <w:end w:w="100" w:type="dxa"/>
            </w:tcMar>
            <w:vAlign w:val="top"/>
          </w:tcPr>
          <w:p>
            <w:pPr>
              <w:spacing w:after="0"/>
            </w:pPr>
            <w:r>
              <w:rPr>
                <w:sz w:val="16"/>
              </w:rPr>
              <w:t>Isolated restore and reconciliation</w:t>
            </w:r>
          </w:p>
        </w:tc>
      </w:tr>
      <w:tr>
        <w:trPr>
          <w:cantSplit/>
        </w:trPr>
        <w:tc>
          <w:tcPr>
            <w:tcW w:type="dxa" w:w="2016"/>
            <w:tcMar>
              <w:top w:w="80" w:type="dxa"/>
              <w:start w:w="100" w:type="dxa"/>
              <w:bottom w:w="80" w:type="dxa"/>
              <w:end w:w="100" w:type="dxa"/>
            </w:tcMar>
            <w:vAlign w:val="top"/>
          </w:tcPr>
          <w:p>
            <w:pPr>
              <w:spacing w:after="0"/>
            </w:pPr>
            <w:r>
              <w:rPr>
                <w:sz w:val="16"/>
              </w:rPr>
              <w:t>Bad pipeline release</w:t>
            </w:r>
          </w:p>
        </w:tc>
        <w:tc>
          <w:tcPr>
            <w:tcW w:type="dxa" w:w="3600"/>
            <w:tcMar>
              <w:top w:w="80" w:type="dxa"/>
              <w:start w:w="100" w:type="dxa"/>
              <w:bottom w:w="80" w:type="dxa"/>
              <w:end w:w="100" w:type="dxa"/>
            </w:tcMar>
            <w:vAlign w:val="top"/>
          </w:tcPr>
          <w:p>
            <w:pPr>
              <w:spacing w:after="0"/>
            </w:pPr>
            <w:r>
              <w:rPr>
                <w:sz w:val="16"/>
              </w:rPr>
              <w:t>Versioned code/data and rollback</w:t>
            </w:r>
          </w:p>
        </w:tc>
        <w:tc>
          <w:tcPr>
            <w:tcW w:type="dxa" w:w="4032"/>
            <w:tcMar>
              <w:top w:w="80" w:type="dxa"/>
              <w:start w:w="100" w:type="dxa"/>
              <w:bottom w:w="80" w:type="dxa"/>
              <w:end w:w="100" w:type="dxa"/>
            </w:tcMar>
            <w:vAlign w:val="top"/>
          </w:tcPr>
          <w:p>
            <w:pPr>
              <w:spacing w:after="0"/>
            </w:pPr>
            <w:r>
              <w:rPr>
                <w:sz w:val="16"/>
              </w:rPr>
              <w:t>Canary, replay, and output comparison</w:t>
            </w:r>
          </w:p>
        </w:tc>
      </w:tr>
      <w:tr>
        <w:trPr>
          <w:cantSplit/>
        </w:trPr>
        <w:tc>
          <w:tcPr>
            <w:tcW w:type="dxa" w:w="2016"/>
            <w:tcMar>
              <w:top w:w="80" w:type="dxa"/>
              <w:start w:w="100" w:type="dxa"/>
              <w:bottom w:w="80" w:type="dxa"/>
              <w:end w:w="100" w:type="dxa"/>
            </w:tcMar>
            <w:vAlign w:val="top"/>
          </w:tcPr>
          <w:p>
            <w:pPr>
              <w:spacing w:after="0"/>
            </w:pPr>
            <w:r>
              <w:rPr>
                <w:sz w:val="16"/>
              </w:rPr>
              <w:t>Source removal request</w:t>
            </w:r>
          </w:p>
        </w:tc>
        <w:tc>
          <w:tcPr>
            <w:tcW w:type="dxa" w:w="3600"/>
            <w:tcMar>
              <w:top w:w="80" w:type="dxa"/>
              <w:start w:w="100" w:type="dxa"/>
              <w:bottom w:w="80" w:type="dxa"/>
              <w:end w:w="100" w:type="dxa"/>
            </w:tcMar>
            <w:vAlign w:val="top"/>
          </w:tcPr>
          <w:p>
            <w:pPr>
              <w:spacing w:after="0"/>
            </w:pPr>
            <w:r>
              <w:rPr>
                <w:sz w:val="16"/>
              </w:rPr>
              <w:t>Lineage and rebuild/delete workflow</w:t>
            </w:r>
          </w:p>
        </w:tc>
        <w:tc>
          <w:tcPr>
            <w:tcW w:type="dxa" w:w="4032"/>
            <w:tcMar>
              <w:top w:w="80" w:type="dxa"/>
              <w:start w:w="100" w:type="dxa"/>
              <w:bottom w:w="80" w:type="dxa"/>
              <w:end w:w="100" w:type="dxa"/>
            </w:tcMar>
            <w:vAlign w:val="top"/>
          </w:tcPr>
          <w:p>
            <w:pPr>
              <w:spacing w:after="0"/>
            </w:pPr>
            <w:r>
              <w:rPr>
                <w:sz w:val="16"/>
              </w:rPr>
              <w:t>Affected assets removed and revalidated</w:t>
            </w:r>
          </w:p>
        </w:tc>
      </w:tr>
      <w:tr>
        <w:trPr>
          <w:cantSplit/>
        </w:trPr>
        <w:tc>
          <w:tcPr>
            <w:tcW w:type="dxa" w:w="2016"/>
            <w:tcMar>
              <w:top w:w="80" w:type="dxa"/>
              <w:start w:w="100" w:type="dxa"/>
              <w:bottom w:w="80" w:type="dxa"/>
              <w:end w:w="100" w:type="dxa"/>
            </w:tcMar>
            <w:vAlign w:val="top"/>
          </w:tcPr>
          <w:p>
            <w:pPr>
              <w:spacing w:after="0"/>
            </w:pPr>
            <w:r>
              <w:rPr>
                <w:sz w:val="16"/>
              </w:rPr>
              <w:t>Credential compromise</w:t>
            </w:r>
          </w:p>
        </w:tc>
        <w:tc>
          <w:tcPr>
            <w:tcW w:type="dxa" w:w="3600"/>
            <w:tcMar>
              <w:top w:w="80" w:type="dxa"/>
              <w:start w:w="100" w:type="dxa"/>
              <w:bottom w:w="80" w:type="dxa"/>
              <w:end w:w="100" w:type="dxa"/>
            </w:tcMar>
            <w:vAlign w:val="top"/>
          </w:tcPr>
          <w:p>
            <w:pPr>
              <w:spacing w:after="0"/>
            </w:pPr>
            <w:r>
              <w:rPr>
                <w:sz w:val="16"/>
              </w:rPr>
              <w:t>Short-lived identity, audit, perimeter</w:t>
            </w:r>
          </w:p>
        </w:tc>
        <w:tc>
          <w:tcPr>
            <w:tcW w:type="dxa" w:w="4032"/>
            <w:tcMar>
              <w:top w:w="80" w:type="dxa"/>
              <w:start w:w="100" w:type="dxa"/>
              <w:bottom w:w="80" w:type="dxa"/>
              <w:end w:w="100" w:type="dxa"/>
            </w:tcMar>
            <w:vAlign w:val="top"/>
          </w:tcPr>
          <w:p>
            <w:pPr>
              <w:spacing w:after="0"/>
            </w:pPr>
            <w:r>
              <w:rPr>
                <w:sz w:val="16"/>
              </w:rPr>
              <w:t>Revoke, rotate, investigate, and restore trust</w:t>
            </w:r>
          </w:p>
        </w:tc>
      </w:tr>
    </w:tbl>
    <w:p>
      <w:pPr>
        <w:spacing w:after="20"/>
      </w:pPr>
    </w:p>
    <w:p>
      <w:pPr>
        <w:pStyle w:val="Heading2"/>
        <w:keepNext/>
      </w:pPr>
      <w:r>
        <w:t>30.3 Operability and Incident Command</w:t>
      </w:r>
    </w:p>
    <w:p>
      <w:pPr>
        <w:spacing w:after="120"/>
      </w:pPr>
      <w:r>
        <w:rPr>
          <w:i w:val="0"/>
        </w:rPr>
        <w:t>Create dashboards and alerts for database saturation, replication lag, failed backups, Pub/Sub backlog, Dataflow lag, Spark failures, BigQuery cost/slot pressure, quality violations, catalog freshness, and access anomalies. Incidents need a commander, operations lead, communications lead, timeline, hypotheses, evidence, containment, recovery, and follow-up actions. Avoid destructive changes before preserving logs and state.</w:t>
      </w:r>
    </w:p>
    <w:p>
      <w:pPr>
        <w:pStyle w:val="Heading2"/>
        <w:keepNext/>
      </w:pPr>
      <w:r>
        <w:t>30.4 Enterprise Capstone Architecture</w:t>
      </w:r>
    </w:p>
    <w:p>
      <w:pPr>
        <w:spacing w:after="120"/>
      </w:pPr>
      <w:r>
        <w:rPr>
          <w:i w:val="0"/>
        </w:rPr>
        <w:t>The capstone builds a multi-project retail data platform. Operational orders use a managed relational database. Product/catalog documents use Firestore where appropriate. High-volume telemetry uses Bigtable. Pub/Sub and Dataflow deliver real-time events to BigQuery. Cloud Storage and BigLake hold governed open data, Dataplex publishes metadata and quality, and managed Spark curates large batches. Datastream/DMS supports migration. An approved feature and retrieval corpus supplies AI workloads through controlled datasets.</w:t>
      </w:r>
    </w:p>
    <w:p>
      <w:pPr>
        <w:pStyle w:val="ListBullet"/>
        <w:spacing w:after="60"/>
      </w:pPr>
      <w:r>
        <w:t>Foundation: resource hierarchy, budgets, IAM groups, service accounts, APIs, audit, private networks, service perimeters.</w:t>
      </w:r>
    </w:p>
    <w:p>
      <w:pPr>
        <w:pStyle w:val="ListBullet"/>
        <w:spacing w:after="60"/>
      </w:pPr>
      <w:r>
        <w:t>Data plane: operational stores, streaming path, lakehouse, warehouse, cache, catalog, and backup locations.</w:t>
      </w:r>
    </w:p>
    <w:p>
      <w:pPr>
        <w:pStyle w:val="ListBullet"/>
        <w:spacing w:after="60"/>
      </w:pPr>
      <w:r>
        <w:t>Delivery: infrastructure and data definitions as code, schema compatibility checks, quality gates, canary/replay strategy.</w:t>
      </w:r>
    </w:p>
    <w:p>
      <w:pPr>
        <w:pStyle w:val="ListBullet"/>
        <w:spacing w:after="60"/>
      </w:pPr>
      <w:r>
        <w:t>Operations: SLO dashboards, on-call runbooks, restore evidence, regional game day, cost allocation, retention and deletion.</w:t>
      </w:r>
    </w:p>
    <w:p>
      <w:pPr>
        <w:pStyle w:val="ListBullet"/>
        <w:spacing w:after="60"/>
      </w:pPr>
      <w:r>
        <w:t>Portfolio: architecture diagram, threat model, ADRs, runbooks, test evidence, cost model, and executive summary.</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Data pipeline is green but business data is wrong</w:t>
            </w:r>
          </w:p>
        </w:tc>
        <w:tc>
          <w:tcPr>
            <w:tcW w:type="dxa" w:w="2592"/>
            <w:tcMar>
              <w:top w:w="80" w:type="dxa"/>
              <w:start w:w="100" w:type="dxa"/>
              <w:bottom w:w="80" w:type="dxa"/>
              <w:end w:w="100" w:type="dxa"/>
            </w:tcMar>
            <w:vAlign w:val="top"/>
          </w:tcPr>
          <w:p>
            <w:pPr>
              <w:spacing w:after="0"/>
            </w:pPr>
            <w:r>
              <w:rPr>
                <w:sz w:val="16"/>
              </w:rPr>
              <w:t>Quality rules do not cover semantic defect or source contract changed</w:t>
            </w:r>
          </w:p>
        </w:tc>
        <w:tc>
          <w:tcPr>
            <w:tcW w:type="dxa" w:w="5328"/>
            <w:tcMar>
              <w:top w:w="80" w:type="dxa"/>
              <w:start w:w="100" w:type="dxa"/>
              <w:bottom w:w="80" w:type="dxa"/>
              <w:end w:w="100" w:type="dxa"/>
            </w:tcMar>
            <w:vAlign w:val="top"/>
          </w:tcPr>
          <w:p>
            <w:pPr>
              <w:spacing w:after="0"/>
            </w:pPr>
            <w:r>
              <w:rPr>
                <w:sz w:val="16"/>
              </w:rPr>
              <w:t>Stop publication, quarantine output, inspect lineage/source change, restore prior version, and add a contract test.</w:t>
            </w:r>
          </w:p>
        </w:tc>
      </w:tr>
      <w:tr>
        <w:trPr>
          <w:cantSplit/>
        </w:trPr>
        <w:tc>
          <w:tcPr>
            <w:tcW w:type="dxa" w:w="2160"/>
            <w:tcMar>
              <w:top w:w="80" w:type="dxa"/>
              <w:start w:w="100" w:type="dxa"/>
              <w:bottom w:w="80" w:type="dxa"/>
              <w:end w:w="100" w:type="dxa"/>
            </w:tcMar>
            <w:vAlign w:val="top"/>
          </w:tcPr>
          <w:p>
            <w:pPr>
              <w:spacing w:after="0"/>
            </w:pPr>
            <w:r>
              <w:rPr>
                <w:sz w:val="16"/>
              </w:rPr>
              <w:t>Regional recovery succeeds but consumers fail</w:t>
            </w:r>
          </w:p>
        </w:tc>
        <w:tc>
          <w:tcPr>
            <w:tcW w:type="dxa" w:w="2592"/>
            <w:tcMar>
              <w:top w:w="80" w:type="dxa"/>
              <w:start w:w="100" w:type="dxa"/>
              <w:bottom w:w="80" w:type="dxa"/>
              <w:end w:w="100" w:type="dxa"/>
            </w:tcMar>
            <w:vAlign w:val="top"/>
          </w:tcPr>
          <w:p>
            <w:pPr>
              <w:spacing w:after="0"/>
            </w:pPr>
            <w:r>
              <w:rPr>
                <w:sz w:val="16"/>
              </w:rPr>
              <w:t>DNS, identities, keys, quotas, dependencies, or catalogs not recovered</w:t>
            </w:r>
          </w:p>
        </w:tc>
        <w:tc>
          <w:tcPr>
            <w:tcW w:type="dxa" w:w="5328"/>
            <w:tcMar>
              <w:top w:w="80" w:type="dxa"/>
              <w:start w:w="100" w:type="dxa"/>
              <w:bottom w:w="80" w:type="dxa"/>
              <w:end w:w="100" w:type="dxa"/>
            </w:tcMar>
            <w:vAlign w:val="top"/>
          </w:tcPr>
          <w:p>
            <w:pPr>
              <w:spacing w:after="0"/>
            </w:pPr>
            <w:r>
              <w:rPr>
                <w:sz w:val="16"/>
              </w:rPr>
              <w:t>Use dependency map and game-day checklist; pre-provision and test all control-plane dependencies.</w:t>
            </w:r>
          </w:p>
        </w:tc>
      </w:tr>
      <w:tr>
        <w:trPr>
          <w:cantSplit/>
        </w:trPr>
        <w:tc>
          <w:tcPr>
            <w:tcW w:type="dxa" w:w="2160"/>
            <w:tcMar>
              <w:top w:w="80" w:type="dxa"/>
              <w:start w:w="100" w:type="dxa"/>
              <w:bottom w:w="80" w:type="dxa"/>
              <w:end w:w="100" w:type="dxa"/>
            </w:tcMar>
            <w:vAlign w:val="top"/>
          </w:tcPr>
          <w:p>
            <w:pPr>
              <w:spacing w:after="0"/>
            </w:pPr>
            <w:r>
              <w:rPr>
                <w:sz w:val="16"/>
              </w:rPr>
              <w:t>CMEK-protected data becomes unavailable</w:t>
            </w:r>
          </w:p>
        </w:tc>
        <w:tc>
          <w:tcPr>
            <w:tcW w:type="dxa" w:w="2592"/>
            <w:tcMar>
              <w:top w:w="80" w:type="dxa"/>
              <w:start w:w="100" w:type="dxa"/>
              <w:bottom w:w="80" w:type="dxa"/>
              <w:end w:w="100" w:type="dxa"/>
            </w:tcMar>
            <w:vAlign w:val="top"/>
          </w:tcPr>
          <w:p>
            <w:pPr>
              <w:spacing w:after="0"/>
            </w:pPr>
            <w:r>
              <w:rPr>
                <w:sz w:val="16"/>
              </w:rPr>
              <w:t>Key disabled/deleted, IAM lost, or region mismatch</w:t>
            </w:r>
          </w:p>
        </w:tc>
        <w:tc>
          <w:tcPr>
            <w:tcW w:type="dxa" w:w="5328"/>
            <w:tcMar>
              <w:top w:w="80" w:type="dxa"/>
              <w:start w:w="100" w:type="dxa"/>
              <w:bottom w:w="80" w:type="dxa"/>
              <w:end w:w="100" w:type="dxa"/>
            </w:tcMar>
            <w:vAlign w:val="top"/>
          </w:tcPr>
          <w:p>
            <w:pPr>
              <w:spacing w:after="0"/>
            </w:pPr>
            <w:r>
              <w:rPr>
                <w:sz w:val="16"/>
              </w:rPr>
              <w:t>Engage key owner, preserve evidence, restore key access/version according to break-glass process.</w:t>
            </w:r>
          </w:p>
        </w:tc>
      </w:tr>
      <w:tr>
        <w:trPr>
          <w:cantSplit/>
        </w:trPr>
        <w:tc>
          <w:tcPr>
            <w:tcW w:type="dxa" w:w="2160"/>
            <w:tcMar>
              <w:top w:w="80" w:type="dxa"/>
              <w:start w:w="100" w:type="dxa"/>
              <w:bottom w:w="80" w:type="dxa"/>
              <w:end w:w="100" w:type="dxa"/>
            </w:tcMar>
            <w:vAlign w:val="top"/>
          </w:tcPr>
          <w:p>
            <w:pPr>
              <w:spacing w:after="0"/>
            </w:pPr>
            <w:r>
              <w:rPr>
                <w:sz w:val="16"/>
              </w:rPr>
              <w:t>AI output reveals restricted information</w:t>
            </w:r>
          </w:p>
        </w:tc>
        <w:tc>
          <w:tcPr>
            <w:tcW w:type="dxa" w:w="2592"/>
            <w:tcMar>
              <w:top w:w="80" w:type="dxa"/>
              <w:start w:w="100" w:type="dxa"/>
              <w:bottom w:w="80" w:type="dxa"/>
              <w:end w:w="100" w:type="dxa"/>
            </w:tcMar>
            <w:vAlign w:val="top"/>
          </w:tcPr>
          <w:p>
            <w:pPr>
              <w:spacing w:after="0"/>
            </w:pPr>
            <w:r>
              <w:rPr>
                <w:sz w:val="16"/>
              </w:rPr>
              <w:t>Corpus/index policy, retrieval filtering, or access boundary failed</w:t>
            </w:r>
          </w:p>
        </w:tc>
        <w:tc>
          <w:tcPr>
            <w:tcW w:type="dxa" w:w="5328"/>
            <w:tcMar>
              <w:top w:w="80" w:type="dxa"/>
              <w:start w:w="100" w:type="dxa"/>
              <w:bottom w:w="80" w:type="dxa"/>
              <w:end w:w="100" w:type="dxa"/>
            </w:tcMar>
            <w:vAlign w:val="top"/>
          </w:tcPr>
          <w:p>
            <w:pPr>
              <w:spacing w:after="0"/>
            </w:pPr>
            <w:r>
              <w:rPr>
                <w:sz w:val="16"/>
              </w:rPr>
              <w:t>Disable retrieval, inspect lineage and logs, delete/rebuild affected index, notify security/privacy owners, and test controls.</w:t>
            </w:r>
          </w:p>
        </w:tc>
      </w:tr>
    </w:tbl>
    <w:p>
      <w:pPr>
        <w:spacing w:after="20"/>
      </w:pPr>
    </w:p>
    <w:p>
      <w:pPr>
        <w:pStyle w:val="Heading2"/>
        <w:keepNext/>
      </w:pPr>
      <w:r>
        <w:t>Hands-on Lab 30: Final Enterprise Google Cloud Data Platform Capstone</w:t>
      </w:r>
    </w:p>
    <w:p>
      <w:pPr>
        <w:pStyle w:val="Heading3"/>
        <w:keepNext/>
      </w:pPr>
      <w:r>
        <w:t>Prerequisites</w:t>
      </w:r>
    </w:p>
    <w:p>
      <w:pPr>
        <w:pStyle w:val="ListBullet"/>
        <w:spacing w:after="60"/>
      </w:pPr>
      <w:r>
        <w:t>Completion of Chapters 21-29 labs or equivalent skills, a dedicated capstone project structure, synthetic data, and a strict budget.</w:t>
      </w:r>
    </w:p>
    <w:p>
      <w:pPr>
        <w:pStyle w:val="Heading3"/>
        <w:keepNext/>
      </w:pPr>
      <w:r>
        <w:t>Implementation</w:t>
      </w:r>
    </w:p>
    <w:p>
      <w:pPr>
        <w:spacing w:after="60"/>
        <w:ind w:left="360" w:hanging="259"/>
      </w:pPr>
      <w:r>
        <w:rPr>
          <w:b/>
        </w:rPr>
        <w:t xml:space="preserve">1. </w:t>
      </w:r>
      <w:r>
        <w:t>Write requirements, data classification, SLOs, RTO/RPO, residency, cost ceiling, and architecture decision records.</w:t>
      </w:r>
    </w:p>
    <w:p>
      <w:pPr>
        <w:spacing w:after="60"/>
        <w:ind w:left="360" w:hanging="259"/>
      </w:pPr>
      <w:r>
        <w:rPr>
          <w:b/>
        </w:rPr>
        <w:t xml:space="preserve">2. </w:t>
      </w:r>
      <w:r>
        <w:t>Build the minimum viable multi-project foundation with private networks, service accounts, audit, budgets, and policy controls.</w:t>
      </w:r>
    </w:p>
    <w:p>
      <w:pPr>
        <w:spacing w:after="60"/>
        <w:ind w:left="360" w:hanging="259"/>
      </w:pPr>
      <w:r>
        <w:rPr>
          <w:b/>
        </w:rPr>
        <w:t xml:space="preserve">3. </w:t>
      </w:r>
      <w:r>
        <w:t>Deploy one relational store, one high-scale NoSQL/time-series pattern, a cache, Pub/Sub/Dataflow stream, BigQuery mart, and governed lakehouse zone.</w:t>
      </w:r>
    </w:p>
    <w:p>
      <w:pPr>
        <w:spacing w:after="60"/>
        <w:ind w:left="360" w:hanging="259"/>
      </w:pPr>
      <w:r>
        <w:rPr>
          <w:b/>
        </w:rPr>
        <w:t xml:space="preserve">4. </w:t>
      </w:r>
      <w:r>
        <w:t>Implement metadata, lineage, quality gates, retention, backup, and deletion workflows.</w:t>
      </w:r>
    </w:p>
    <w:p>
      <w:pPr>
        <w:spacing w:after="60"/>
        <w:ind w:left="360" w:hanging="259"/>
      </w:pPr>
      <w:r>
        <w:rPr>
          <w:b/>
        </w:rPr>
        <w:t xml:space="preserve">5. </w:t>
      </w:r>
      <w:r>
        <w:t>Migrate a synthetic legacy source using DMS or Datastream and perform a rehearsed cutover/rollback.</w:t>
      </w:r>
    </w:p>
    <w:p>
      <w:pPr>
        <w:spacing w:after="60"/>
        <w:ind w:left="360" w:hanging="259"/>
      </w:pPr>
      <w:r>
        <w:rPr>
          <w:b/>
        </w:rPr>
        <w:t xml:space="preserve">6. </w:t>
      </w:r>
      <w:r>
        <w:t>Create an approved AI-ready feature or retrieval dataset with sensitive-field removal, provenance, evaluation, and rebuild instructions.</w:t>
      </w:r>
    </w:p>
    <w:p>
      <w:pPr>
        <w:spacing w:after="60"/>
        <w:ind w:left="360" w:hanging="259"/>
      </w:pPr>
      <w:r>
        <w:rPr>
          <w:b/>
        </w:rPr>
        <w:t xml:space="preserve">7. </w:t>
      </w:r>
      <w:r>
        <w:t>Run failure exercises: duplicate event, poison message, bad schema, database failover, restore, and one regional dependency simulation.</w:t>
      </w:r>
    </w:p>
    <w:p>
      <w:pPr>
        <w:spacing w:after="60"/>
        <w:ind w:left="360" w:hanging="259"/>
      </w:pPr>
      <w:r>
        <w:rPr>
          <w:b/>
        </w:rPr>
        <w:t xml:space="preserve">8. </w:t>
      </w:r>
      <w:r>
        <w:t>Produce an operations handbook, evidence pack, cost report, and executive architecture review.</w:t>
      </w:r>
    </w:p>
    <w:p>
      <w:pPr>
        <w:pStyle w:val="Heading3"/>
        <w:keepNext/>
      </w:pPr>
      <w:r>
        <w:t>Validation Evidence</w:t>
      </w:r>
    </w:p>
    <w:p>
      <w:pPr>
        <w:pStyle w:val="ListBullet"/>
        <w:spacing w:after="60"/>
      </w:pPr>
      <w:r>
        <w:t>All data paths have an owner, classification, identity, network path, retention, and recovery control.</w:t>
      </w:r>
    </w:p>
    <w:p>
      <w:pPr>
        <w:pStyle w:val="ListBullet"/>
        <w:spacing w:after="60"/>
      </w:pPr>
      <w:r>
        <w:t>Quality and schema gates prevent a deliberately bad release.</w:t>
      </w:r>
    </w:p>
    <w:p>
      <w:pPr>
        <w:pStyle w:val="ListBullet"/>
        <w:spacing w:after="60"/>
      </w:pPr>
      <w:r>
        <w:t>Restore and replay evidence meets the declared objectives.</w:t>
      </w:r>
    </w:p>
    <w:p>
      <w:pPr>
        <w:pStyle w:val="ListBullet"/>
        <w:spacing w:after="60"/>
      </w:pPr>
      <w:r>
        <w:t>The platform can identify and remove a prohibited source record from derived AI assets.</w:t>
      </w:r>
    </w:p>
    <w:p>
      <w:pPr>
        <w:pStyle w:val="ListBullet"/>
        <w:spacing w:after="60"/>
      </w:pPr>
      <w:r>
        <w:t>Resources stay within the budget and can be fully destroyed from the documented inventory.</w:t>
      </w:r>
    </w:p>
    <w:p>
      <w:pPr>
        <w:pStyle w:val="Heading3"/>
        <w:keepNext/>
      </w:pPr>
      <w:r>
        <w:t>Cleanup</w:t>
      </w:r>
    </w:p>
    <w:p>
      <w:pPr>
        <w:pStyle w:val="ListBullet"/>
        <w:spacing w:after="60"/>
      </w:pPr>
      <w:r>
        <w:t>Export sanitized portfolio evidence, then delete all compute, database, stream, transfer, analytics, catalog, key, network, and storage resources. Confirm billing and asset inventory are empty.</w:t>
      </w:r>
    </w:p>
    <w:p>
      <w:pPr>
        <w:pStyle w:val="Heading2"/>
        <w:keepNext/>
      </w:pPr>
      <w:r>
        <w:t>Interview Questions and Model Answers</w:t>
      </w:r>
    </w:p>
    <w:p>
      <w:pPr>
        <w:spacing w:after="40"/>
      </w:pPr>
      <w:r>
        <w:rPr>
          <w:b/>
        </w:rPr>
        <w:t>1. What is the most important distinction in data resilience?</w:t>
      </w:r>
    </w:p>
    <w:p>
      <w:pPr>
        <w:spacing w:after="120"/>
        <w:ind w:left="216"/>
      </w:pPr>
      <w:r>
        <w:t>Availability, replication, backup, replay, and disaster recovery solve different failure modes and require separate tests.</w:t>
      </w:r>
    </w:p>
    <w:p>
      <w:pPr>
        <w:spacing w:after="40"/>
      </w:pPr>
      <w:r>
        <w:rPr>
          <w:b/>
        </w:rPr>
        <w:t>2. How do you prevent a data platform from becoming an access-control bypass?</w:t>
      </w:r>
    </w:p>
    <w:p>
      <w:pPr>
        <w:spacing w:after="120"/>
        <w:ind w:left="216"/>
      </w:pPr>
      <w:r>
        <w:t>Apply consistent identity, network, classification, row/column policy, perimeter, export, audit, and deletion controls to every copy and derivative.</w:t>
      </w:r>
    </w:p>
    <w:p>
      <w:pPr>
        <w:spacing w:after="40"/>
      </w:pPr>
      <w:r>
        <w:rPr>
          <w:b/>
        </w:rPr>
        <w:t>3. What should a senior engineer present in an architecture review?</w:t>
      </w:r>
    </w:p>
    <w:p>
      <w:pPr>
        <w:spacing w:after="120"/>
        <w:ind w:left="216"/>
      </w:pPr>
      <w:r>
        <w:t>Requirements, trade-offs, failure modes, security, cost, operability, migration, evidence, and explicit residual risks.</w:t>
      </w:r>
    </w:p>
    <w:p>
      <w:pPr>
        <w:spacing w:after="40"/>
      </w:pPr>
      <w:r>
        <w:rPr>
          <w:b/>
        </w:rPr>
        <w:t>4. What makes this capstone portfolio-grade?</w:t>
      </w:r>
    </w:p>
    <w:p>
      <w:pPr>
        <w:spacing w:after="120"/>
        <w:ind w:left="216"/>
      </w:pPr>
      <w:r>
        <w:t>It demonstrates production decisions and measured evidence across architecture, delivery, security, reliability, cost, migration, and operations - not only screenshots of created services.</w:t>
      </w:r>
    </w:p>
    <w:p>
      <w:pPr>
        <w:pStyle w:val="Heading2"/>
        <w:keepNext/>
      </w:pPr>
      <w:r>
        <w:t>Chapter Summary</w:t>
      </w:r>
    </w:p>
    <w:p>
      <w:pPr>
        <w:pStyle w:val="ListBullet"/>
        <w:spacing w:after="60"/>
      </w:pPr>
      <w:r>
        <w:t>Security applies to every data copy and derivative.</w:t>
      </w:r>
    </w:p>
    <w:p>
      <w:pPr>
        <w:pStyle w:val="ListBullet"/>
        <w:spacing w:after="60"/>
      </w:pPr>
      <w:r>
        <w:t>Data SLOs include correctness and freshness, not only uptime.</w:t>
      </w:r>
    </w:p>
    <w:p>
      <w:pPr>
        <w:pStyle w:val="ListBullet"/>
        <w:spacing w:after="60"/>
      </w:pPr>
      <w:r>
        <w:t>Recovery and deletion must cover analytics and AI-derived assets.</w:t>
      </w:r>
    </w:p>
    <w:p>
      <w:pPr>
        <w:pStyle w:val="ListBullet"/>
        <w:spacing w:after="60"/>
      </w:pPr>
      <w:r>
        <w:t>The capstone integrates architecture, delivery, migration, operations, security, and cost evidence.</w:t>
      </w:r>
    </w:p>
    <w:p>
      <w:pPr>
        <w:pStyle w:val="Heading1"/>
        <w:keepNext/>
        <w:pageBreakBefore/>
      </w:pPr>
      <w:r>
        <w:t>Part C Integrated Practice Program</w:t>
      </w:r>
    </w:p>
    <w:p>
      <w:pPr>
        <w:spacing w:after="120"/>
      </w:pPr>
      <w:r>
        <w:rPr>
          <w:i w:val="0"/>
        </w:rPr>
        <w:t>Complete the following practice sequence after the chapter labs. Keep an evidence repository containing architecture decisions, commands, sanitized screenshots, test outputs, incident timelines, cost reports, and cleanup confirmation.</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1008"/>
            <w:shd w:fill="1A73E8"/>
            <w:tcMar>
              <w:top w:w="80" w:type="dxa"/>
              <w:start w:w="100" w:type="dxa"/>
              <w:bottom w:w="80" w:type="dxa"/>
              <w:end w:w="100" w:type="dxa"/>
            </w:tcMar>
            <w:vAlign w:val="center"/>
          </w:tcPr>
          <w:p>
            <w:pPr>
              <w:jc w:val="center"/>
            </w:pPr>
            <w:r>
              <w:rPr>
                <w:b/>
                <w:color w:val="FFFFFF"/>
                <w:sz w:val="16"/>
              </w:rPr>
              <w:t>Week</w:t>
            </w:r>
          </w:p>
        </w:tc>
        <w:tc>
          <w:tcPr>
            <w:tcW w:type="dxa" w:w="4464"/>
            <w:shd w:fill="1A73E8"/>
            <w:tcMar>
              <w:top w:w="80" w:type="dxa"/>
              <w:start w:w="100" w:type="dxa"/>
              <w:bottom w:w="80" w:type="dxa"/>
              <w:end w:w="100" w:type="dxa"/>
            </w:tcMar>
            <w:vAlign w:val="center"/>
          </w:tcPr>
          <w:p>
            <w:pPr>
              <w:jc w:val="center"/>
            </w:pPr>
            <w:r>
              <w:rPr>
                <w:b/>
                <w:color w:val="FFFFFF"/>
                <w:sz w:val="16"/>
              </w:rPr>
              <w:t>Focus</w:t>
            </w:r>
          </w:p>
        </w:tc>
        <w:tc>
          <w:tcPr>
            <w:tcW w:type="dxa" w:w="4320"/>
            <w:shd w:fill="1A73E8"/>
            <w:tcMar>
              <w:top w:w="80" w:type="dxa"/>
              <w:start w:w="100" w:type="dxa"/>
              <w:bottom w:w="80" w:type="dxa"/>
              <w:end w:w="100" w:type="dxa"/>
            </w:tcMar>
            <w:vAlign w:val="center"/>
          </w:tcPr>
          <w:p>
            <w:pPr>
              <w:jc w:val="center"/>
            </w:pPr>
            <w:r>
              <w:rPr>
                <w:b/>
                <w:color w:val="FFFFFF"/>
                <w:sz w:val="16"/>
              </w:rPr>
              <w:t>Evidence</w:t>
            </w:r>
          </w:p>
        </w:tc>
      </w:tr>
      <w:tr>
        <w:trPr>
          <w:cantSplit/>
        </w:trPr>
        <w:tc>
          <w:tcPr>
            <w:tcW w:type="dxa" w:w="1008"/>
            <w:tcMar>
              <w:top w:w="80" w:type="dxa"/>
              <w:start w:w="100" w:type="dxa"/>
              <w:bottom w:w="80" w:type="dxa"/>
              <w:end w:w="100" w:type="dxa"/>
            </w:tcMar>
            <w:vAlign w:val="top"/>
          </w:tcPr>
          <w:p>
            <w:pPr>
              <w:spacing w:after="0"/>
            </w:pPr>
            <w:r>
              <w:rPr>
                <w:sz w:val="16"/>
              </w:rPr>
              <w:t>1</w:t>
            </w:r>
          </w:p>
        </w:tc>
        <w:tc>
          <w:tcPr>
            <w:tcW w:type="dxa" w:w="4464"/>
            <w:tcMar>
              <w:top w:w="80" w:type="dxa"/>
              <w:start w:w="100" w:type="dxa"/>
              <w:bottom w:w="80" w:type="dxa"/>
              <w:end w:w="100" w:type="dxa"/>
            </w:tcMar>
            <w:vAlign w:val="top"/>
          </w:tcPr>
          <w:p>
            <w:pPr>
              <w:spacing w:after="0"/>
            </w:pPr>
            <w:r>
              <w:rPr>
                <w:sz w:val="16"/>
              </w:rPr>
              <w:t>Cloud SQL/AlloyDB and Spanner selection, private access, failover, restore</w:t>
            </w:r>
          </w:p>
        </w:tc>
        <w:tc>
          <w:tcPr>
            <w:tcW w:type="dxa" w:w="4320"/>
            <w:tcMar>
              <w:top w:w="80" w:type="dxa"/>
              <w:start w:w="100" w:type="dxa"/>
              <w:bottom w:w="80" w:type="dxa"/>
              <w:end w:w="100" w:type="dxa"/>
            </w:tcMar>
            <w:vAlign w:val="top"/>
          </w:tcPr>
          <w:p>
            <w:pPr>
              <w:spacing w:after="0"/>
            </w:pPr>
            <w:r>
              <w:rPr>
                <w:sz w:val="16"/>
              </w:rPr>
              <w:t>Decision matrix, connection test, failover/restore timing</w:t>
            </w:r>
          </w:p>
        </w:tc>
      </w:tr>
      <w:tr>
        <w:trPr>
          <w:cantSplit/>
        </w:trPr>
        <w:tc>
          <w:tcPr>
            <w:tcW w:type="dxa" w:w="1008"/>
            <w:tcMar>
              <w:top w:w="80" w:type="dxa"/>
              <w:start w:w="100" w:type="dxa"/>
              <w:bottom w:w="80" w:type="dxa"/>
              <w:end w:w="100" w:type="dxa"/>
            </w:tcMar>
            <w:vAlign w:val="top"/>
          </w:tcPr>
          <w:p>
            <w:pPr>
              <w:spacing w:after="0"/>
            </w:pPr>
            <w:r>
              <w:rPr>
                <w:sz w:val="16"/>
              </w:rPr>
              <w:t>2</w:t>
            </w:r>
          </w:p>
        </w:tc>
        <w:tc>
          <w:tcPr>
            <w:tcW w:type="dxa" w:w="4464"/>
            <w:tcMar>
              <w:top w:w="80" w:type="dxa"/>
              <w:start w:w="100" w:type="dxa"/>
              <w:bottom w:w="80" w:type="dxa"/>
              <w:end w:w="100" w:type="dxa"/>
            </w:tcMar>
            <w:vAlign w:val="top"/>
          </w:tcPr>
          <w:p>
            <w:pPr>
              <w:spacing w:after="0"/>
            </w:pPr>
            <w:r>
              <w:rPr>
                <w:sz w:val="16"/>
              </w:rPr>
              <w:t>Firestore, Bigtable, Memorystore modeling and hotspot tests</w:t>
            </w:r>
          </w:p>
        </w:tc>
        <w:tc>
          <w:tcPr>
            <w:tcW w:type="dxa" w:w="4320"/>
            <w:tcMar>
              <w:top w:w="80" w:type="dxa"/>
              <w:start w:w="100" w:type="dxa"/>
              <w:bottom w:w="80" w:type="dxa"/>
              <w:end w:w="100" w:type="dxa"/>
            </w:tcMar>
            <w:vAlign w:val="top"/>
          </w:tcPr>
          <w:p>
            <w:pPr>
              <w:spacing w:after="0"/>
            </w:pPr>
            <w:r>
              <w:rPr>
                <w:sz w:val="16"/>
              </w:rPr>
              <w:t>Schema/key ADRs, rule tests, cache failure evidence</w:t>
            </w:r>
          </w:p>
        </w:tc>
      </w:tr>
      <w:tr>
        <w:trPr>
          <w:cantSplit/>
        </w:trPr>
        <w:tc>
          <w:tcPr>
            <w:tcW w:type="dxa" w:w="1008"/>
            <w:tcMar>
              <w:top w:w="80" w:type="dxa"/>
              <w:start w:w="100" w:type="dxa"/>
              <w:bottom w:w="80" w:type="dxa"/>
              <w:end w:w="100" w:type="dxa"/>
            </w:tcMar>
            <w:vAlign w:val="top"/>
          </w:tcPr>
          <w:p>
            <w:pPr>
              <w:spacing w:after="0"/>
            </w:pPr>
            <w:r>
              <w:rPr>
                <w:sz w:val="16"/>
              </w:rPr>
              <w:t>3</w:t>
            </w:r>
          </w:p>
        </w:tc>
        <w:tc>
          <w:tcPr>
            <w:tcW w:type="dxa" w:w="4464"/>
            <w:tcMar>
              <w:top w:w="80" w:type="dxa"/>
              <w:start w:w="100" w:type="dxa"/>
              <w:bottom w:w="80" w:type="dxa"/>
              <w:end w:w="100" w:type="dxa"/>
            </w:tcMar>
            <w:vAlign w:val="top"/>
          </w:tcPr>
          <w:p>
            <w:pPr>
              <w:spacing w:after="0"/>
            </w:pPr>
            <w:r>
              <w:rPr>
                <w:sz w:val="16"/>
              </w:rPr>
              <w:t>BigQuery and lakehouse optimization/governance</w:t>
            </w:r>
          </w:p>
        </w:tc>
        <w:tc>
          <w:tcPr>
            <w:tcW w:type="dxa" w:w="4320"/>
            <w:tcMar>
              <w:top w:w="80" w:type="dxa"/>
              <w:start w:w="100" w:type="dxa"/>
              <w:bottom w:w="80" w:type="dxa"/>
              <w:end w:w="100" w:type="dxa"/>
            </w:tcMar>
            <w:vAlign w:val="top"/>
          </w:tcPr>
          <w:p>
            <w:pPr>
              <w:spacing w:after="0"/>
            </w:pPr>
            <w:r>
              <w:rPr>
                <w:sz w:val="16"/>
              </w:rPr>
              <w:t>Query plans, bytes/cost delta, catalog/quality/lineage</w:t>
            </w:r>
          </w:p>
        </w:tc>
      </w:tr>
      <w:tr>
        <w:trPr>
          <w:cantSplit/>
        </w:trPr>
        <w:tc>
          <w:tcPr>
            <w:tcW w:type="dxa" w:w="1008"/>
            <w:tcMar>
              <w:top w:w="80" w:type="dxa"/>
              <w:start w:w="100" w:type="dxa"/>
              <w:bottom w:w="80" w:type="dxa"/>
              <w:end w:w="100" w:type="dxa"/>
            </w:tcMar>
            <w:vAlign w:val="top"/>
          </w:tcPr>
          <w:p>
            <w:pPr>
              <w:spacing w:after="0"/>
            </w:pPr>
            <w:r>
              <w:rPr>
                <w:sz w:val="16"/>
              </w:rPr>
              <w:t>4</w:t>
            </w:r>
          </w:p>
        </w:tc>
        <w:tc>
          <w:tcPr>
            <w:tcW w:type="dxa" w:w="4464"/>
            <w:tcMar>
              <w:top w:w="80" w:type="dxa"/>
              <w:start w:w="100" w:type="dxa"/>
              <w:bottom w:w="80" w:type="dxa"/>
              <w:end w:w="100" w:type="dxa"/>
            </w:tcMar>
            <w:vAlign w:val="top"/>
          </w:tcPr>
          <w:p>
            <w:pPr>
              <w:spacing w:after="0"/>
            </w:pPr>
            <w:r>
              <w:rPr>
                <w:sz w:val="16"/>
              </w:rPr>
              <w:t>Pub/Sub/Dataflow and managed Spark</w:t>
            </w:r>
          </w:p>
        </w:tc>
        <w:tc>
          <w:tcPr>
            <w:tcW w:type="dxa" w:w="4320"/>
            <w:tcMar>
              <w:top w:w="80" w:type="dxa"/>
              <w:start w:w="100" w:type="dxa"/>
              <w:bottom w:w="80" w:type="dxa"/>
              <w:end w:w="100" w:type="dxa"/>
            </w:tcMar>
            <w:vAlign w:val="top"/>
          </w:tcPr>
          <w:p>
            <w:pPr>
              <w:spacing w:after="0"/>
            </w:pPr>
            <w:r>
              <w:rPr>
                <w:sz w:val="16"/>
              </w:rPr>
              <w:t>Duplicate/late-event tests, Spark tuning comparison</w:t>
            </w:r>
          </w:p>
        </w:tc>
      </w:tr>
      <w:tr>
        <w:trPr>
          <w:cantSplit/>
        </w:trPr>
        <w:tc>
          <w:tcPr>
            <w:tcW w:type="dxa" w:w="1008"/>
            <w:tcMar>
              <w:top w:w="80" w:type="dxa"/>
              <w:start w:w="100" w:type="dxa"/>
              <w:bottom w:w="80" w:type="dxa"/>
              <w:end w:w="100" w:type="dxa"/>
            </w:tcMar>
            <w:vAlign w:val="top"/>
          </w:tcPr>
          <w:p>
            <w:pPr>
              <w:spacing w:after="0"/>
            </w:pPr>
            <w:r>
              <w:rPr>
                <w:sz w:val="16"/>
              </w:rPr>
              <w:t>5</w:t>
            </w:r>
          </w:p>
        </w:tc>
        <w:tc>
          <w:tcPr>
            <w:tcW w:type="dxa" w:w="4464"/>
            <w:tcMar>
              <w:top w:w="80" w:type="dxa"/>
              <w:start w:w="100" w:type="dxa"/>
              <w:bottom w:w="80" w:type="dxa"/>
              <w:end w:w="100" w:type="dxa"/>
            </w:tcMar>
            <w:vAlign w:val="top"/>
          </w:tcPr>
          <w:p>
            <w:pPr>
              <w:spacing w:after="0"/>
            </w:pPr>
            <w:r>
              <w:rPr>
                <w:sz w:val="16"/>
              </w:rPr>
              <w:t>DMS/Datastream/Storage Transfer rehearsal</w:t>
            </w:r>
          </w:p>
        </w:tc>
        <w:tc>
          <w:tcPr>
            <w:tcW w:type="dxa" w:w="4320"/>
            <w:tcMar>
              <w:top w:w="80" w:type="dxa"/>
              <w:start w:w="100" w:type="dxa"/>
              <w:bottom w:w="80" w:type="dxa"/>
              <w:end w:w="100" w:type="dxa"/>
            </w:tcMar>
            <w:vAlign w:val="top"/>
          </w:tcPr>
          <w:p>
            <w:pPr>
              <w:spacing w:after="0"/>
            </w:pPr>
            <w:r>
              <w:rPr>
                <w:sz w:val="16"/>
              </w:rPr>
              <w:t>Compatibility, lag, fidelity, cutover and rollback</w:t>
            </w:r>
          </w:p>
        </w:tc>
      </w:tr>
      <w:tr>
        <w:trPr>
          <w:cantSplit/>
        </w:trPr>
        <w:tc>
          <w:tcPr>
            <w:tcW w:type="dxa" w:w="1008"/>
            <w:tcMar>
              <w:top w:w="80" w:type="dxa"/>
              <w:start w:w="100" w:type="dxa"/>
              <w:bottom w:w="80" w:type="dxa"/>
              <w:end w:w="100" w:type="dxa"/>
            </w:tcMar>
            <w:vAlign w:val="top"/>
          </w:tcPr>
          <w:p>
            <w:pPr>
              <w:spacing w:after="0"/>
            </w:pPr>
            <w:r>
              <w:rPr>
                <w:sz w:val="16"/>
              </w:rPr>
              <w:t>6</w:t>
            </w:r>
          </w:p>
        </w:tc>
        <w:tc>
          <w:tcPr>
            <w:tcW w:type="dxa" w:w="4464"/>
            <w:tcMar>
              <w:top w:w="80" w:type="dxa"/>
              <w:start w:w="100" w:type="dxa"/>
              <w:bottom w:w="80" w:type="dxa"/>
              <w:end w:w="100" w:type="dxa"/>
            </w:tcMar>
            <w:vAlign w:val="top"/>
          </w:tcPr>
          <w:p>
            <w:pPr>
              <w:spacing w:after="0"/>
            </w:pPr>
            <w:r>
              <w:rPr>
                <w:sz w:val="16"/>
              </w:rPr>
              <w:t>Capstone security, game day, AI readiness, portfolio review</w:t>
            </w:r>
          </w:p>
        </w:tc>
        <w:tc>
          <w:tcPr>
            <w:tcW w:type="dxa" w:w="4320"/>
            <w:tcMar>
              <w:top w:w="80" w:type="dxa"/>
              <w:start w:w="100" w:type="dxa"/>
              <w:bottom w:w="80" w:type="dxa"/>
              <w:end w:w="100" w:type="dxa"/>
            </w:tcMar>
            <w:vAlign w:val="top"/>
          </w:tcPr>
          <w:p>
            <w:pPr>
              <w:spacing w:after="0"/>
            </w:pPr>
            <w:r>
              <w:rPr>
                <w:sz w:val="16"/>
              </w:rPr>
              <w:t>Threat model, SLOs, recovery evidence, executive summary</w:t>
            </w:r>
          </w:p>
        </w:tc>
      </w:tr>
    </w:tbl>
    <w:p>
      <w:pPr>
        <w:spacing w:after="20"/>
      </w:pPr>
    </w:p>
    <w:p>
      <w:pPr>
        <w:pStyle w:val="Heading1"/>
        <w:keepNext/>
      </w:pPr>
      <w:r>
        <w:t>Additional Enterprise Projects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880"/>
            <w:shd w:fill="1A73E8"/>
            <w:tcMar>
              <w:top w:w="80" w:type="dxa"/>
              <w:start w:w="100" w:type="dxa"/>
              <w:bottom w:w="80" w:type="dxa"/>
              <w:end w:w="100" w:type="dxa"/>
            </w:tcMar>
            <w:vAlign w:val="center"/>
          </w:tcPr>
          <w:p>
            <w:pPr>
              <w:jc w:val="center"/>
            </w:pPr>
            <w:r>
              <w:rPr>
                <w:b/>
                <w:color w:val="FFFFFF"/>
                <w:sz w:val="16"/>
              </w:rPr>
              <w:t>Project</w:t>
            </w:r>
          </w:p>
        </w:tc>
        <w:tc>
          <w:tcPr>
            <w:tcW w:type="dxa" w:w="6912"/>
            <w:shd w:fill="1A73E8"/>
            <w:tcMar>
              <w:top w:w="80" w:type="dxa"/>
              <w:start w:w="100" w:type="dxa"/>
              <w:bottom w:w="80" w:type="dxa"/>
              <w:end w:w="100" w:type="dxa"/>
            </w:tcMar>
            <w:vAlign w:val="center"/>
          </w:tcPr>
          <w:p>
            <w:pPr>
              <w:jc w:val="center"/>
            </w:pPr>
            <w:r>
              <w:rPr>
                <w:b/>
                <w:color w:val="FFFFFF"/>
                <w:sz w:val="16"/>
              </w:rPr>
              <w:t>Required Outcome</w:t>
            </w:r>
          </w:p>
        </w:tc>
      </w:tr>
      <w:tr>
        <w:trPr>
          <w:cantSplit/>
        </w:trPr>
        <w:tc>
          <w:tcPr>
            <w:tcW w:type="dxa" w:w="2880"/>
            <w:tcMar>
              <w:top w:w="80" w:type="dxa"/>
              <w:start w:w="100" w:type="dxa"/>
              <w:bottom w:w="80" w:type="dxa"/>
              <w:end w:w="100" w:type="dxa"/>
            </w:tcMar>
            <w:vAlign w:val="top"/>
          </w:tcPr>
          <w:p>
            <w:pPr>
              <w:spacing w:after="0"/>
            </w:pPr>
            <w:r>
              <w:rPr>
                <w:sz w:val="16"/>
              </w:rPr>
              <w:t>Global financial ledger prototype</w:t>
            </w:r>
          </w:p>
        </w:tc>
        <w:tc>
          <w:tcPr>
            <w:tcW w:type="dxa" w:w="6912"/>
            <w:tcMar>
              <w:top w:w="80" w:type="dxa"/>
              <w:start w:w="100" w:type="dxa"/>
              <w:bottom w:w="80" w:type="dxa"/>
              <w:end w:w="100" w:type="dxa"/>
            </w:tcMar>
            <w:vAlign w:val="top"/>
          </w:tcPr>
          <w:p>
            <w:pPr>
              <w:spacing w:after="0"/>
            </w:pPr>
            <w:r>
              <w:rPr>
                <w:sz w:val="16"/>
              </w:rPr>
              <w:t>Spanner with distributed keys, strong transactions, change stream, backup, and regional architecture review.</w:t>
            </w:r>
          </w:p>
        </w:tc>
      </w:tr>
      <w:tr>
        <w:trPr>
          <w:cantSplit/>
        </w:trPr>
        <w:tc>
          <w:tcPr>
            <w:tcW w:type="dxa" w:w="2880"/>
            <w:tcMar>
              <w:top w:w="80" w:type="dxa"/>
              <w:start w:w="100" w:type="dxa"/>
              <w:bottom w:w="80" w:type="dxa"/>
              <w:end w:w="100" w:type="dxa"/>
            </w:tcMar>
            <w:vAlign w:val="top"/>
          </w:tcPr>
          <w:p>
            <w:pPr>
              <w:spacing w:after="0"/>
            </w:pPr>
            <w:r>
              <w:rPr>
                <w:sz w:val="16"/>
              </w:rPr>
              <w:t>Real-time fraud feature platform</w:t>
            </w:r>
          </w:p>
        </w:tc>
        <w:tc>
          <w:tcPr>
            <w:tcW w:type="dxa" w:w="6912"/>
            <w:tcMar>
              <w:top w:w="80" w:type="dxa"/>
              <w:start w:w="100" w:type="dxa"/>
              <w:bottom w:w="80" w:type="dxa"/>
              <w:end w:w="100" w:type="dxa"/>
            </w:tcMar>
            <w:vAlign w:val="top"/>
          </w:tcPr>
          <w:p>
            <w:pPr>
              <w:spacing w:after="0"/>
            </w:pPr>
            <w:r>
              <w:rPr>
                <w:sz w:val="16"/>
              </w:rPr>
              <w:t>Pub/Sub, Dataflow, Bigtable/BigQuery, online cache, quality and replay controls.</w:t>
            </w:r>
          </w:p>
        </w:tc>
      </w:tr>
      <w:tr>
        <w:trPr>
          <w:cantSplit/>
        </w:trPr>
        <w:tc>
          <w:tcPr>
            <w:tcW w:type="dxa" w:w="2880"/>
            <w:tcMar>
              <w:top w:w="80" w:type="dxa"/>
              <w:start w:w="100" w:type="dxa"/>
              <w:bottom w:w="80" w:type="dxa"/>
              <w:end w:w="100" w:type="dxa"/>
            </w:tcMar>
            <w:vAlign w:val="top"/>
          </w:tcPr>
          <w:p>
            <w:pPr>
              <w:spacing w:after="0"/>
            </w:pPr>
            <w:r>
              <w:rPr>
                <w:sz w:val="16"/>
              </w:rPr>
              <w:t>Governed healthcare lakehouse simulation</w:t>
            </w:r>
          </w:p>
        </w:tc>
        <w:tc>
          <w:tcPr>
            <w:tcW w:type="dxa" w:w="6912"/>
            <w:tcMar>
              <w:top w:w="80" w:type="dxa"/>
              <w:start w:w="100" w:type="dxa"/>
              <w:bottom w:w="80" w:type="dxa"/>
              <w:end w:w="100" w:type="dxa"/>
            </w:tcMar>
            <w:vAlign w:val="top"/>
          </w:tcPr>
          <w:p>
            <w:pPr>
              <w:spacing w:after="0"/>
            </w:pPr>
            <w:r>
              <w:rPr>
                <w:sz w:val="16"/>
              </w:rPr>
              <w:t>Synthetic data, BigLake, Dataplex classification/lineage, row/column protection, deletion workflow.</w:t>
            </w:r>
          </w:p>
        </w:tc>
      </w:tr>
      <w:tr>
        <w:trPr>
          <w:cantSplit/>
        </w:trPr>
        <w:tc>
          <w:tcPr>
            <w:tcW w:type="dxa" w:w="2880"/>
            <w:tcMar>
              <w:top w:w="80" w:type="dxa"/>
              <w:start w:w="100" w:type="dxa"/>
              <w:bottom w:w="80" w:type="dxa"/>
              <w:end w:w="100" w:type="dxa"/>
            </w:tcMar>
            <w:vAlign w:val="top"/>
          </w:tcPr>
          <w:p>
            <w:pPr>
              <w:spacing w:after="0"/>
            </w:pPr>
            <w:r>
              <w:rPr>
                <w:sz w:val="16"/>
              </w:rPr>
              <w:t>Retail analytics modernization</w:t>
            </w:r>
          </w:p>
        </w:tc>
        <w:tc>
          <w:tcPr>
            <w:tcW w:type="dxa" w:w="6912"/>
            <w:tcMar>
              <w:top w:w="80" w:type="dxa"/>
              <w:start w:w="100" w:type="dxa"/>
              <w:bottom w:w="80" w:type="dxa"/>
              <w:end w:w="100" w:type="dxa"/>
            </w:tcMar>
            <w:vAlign w:val="top"/>
          </w:tcPr>
          <w:p>
            <w:pPr>
              <w:spacing w:after="0"/>
            </w:pPr>
            <w:r>
              <w:rPr>
                <w:sz w:val="16"/>
              </w:rPr>
              <w:t>Datastream CDC into BigQuery, curated marts, cost isolation, dashboard SLOs, rollback.</w:t>
            </w:r>
          </w:p>
        </w:tc>
      </w:tr>
      <w:tr>
        <w:trPr>
          <w:cantSplit/>
        </w:trPr>
        <w:tc>
          <w:tcPr>
            <w:tcW w:type="dxa" w:w="2880"/>
            <w:tcMar>
              <w:top w:w="80" w:type="dxa"/>
              <w:start w:w="100" w:type="dxa"/>
              <w:bottom w:w="80" w:type="dxa"/>
              <w:end w:w="100" w:type="dxa"/>
            </w:tcMar>
            <w:vAlign w:val="top"/>
          </w:tcPr>
          <w:p>
            <w:pPr>
              <w:spacing w:after="0"/>
            </w:pPr>
            <w:r>
              <w:rPr>
                <w:sz w:val="16"/>
              </w:rPr>
              <w:t>IoT telemetry platform</w:t>
            </w:r>
          </w:p>
        </w:tc>
        <w:tc>
          <w:tcPr>
            <w:tcW w:type="dxa" w:w="6912"/>
            <w:tcMar>
              <w:top w:w="80" w:type="dxa"/>
              <w:start w:w="100" w:type="dxa"/>
              <w:bottom w:w="80" w:type="dxa"/>
              <w:end w:w="100" w:type="dxa"/>
            </w:tcMar>
            <w:vAlign w:val="top"/>
          </w:tcPr>
          <w:p>
            <w:pPr>
              <w:spacing w:after="0"/>
            </w:pPr>
            <w:r>
              <w:rPr>
                <w:sz w:val="16"/>
              </w:rPr>
              <w:t>Bigtable time-series design, autoscaling, multi-cluster routing, Spark compaction, retention.</w:t>
            </w:r>
          </w:p>
        </w:tc>
      </w:tr>
      <w:tr>
        <w:trPr>
          <w:cantSplit/>
        </w:trPr>
        <w:tc>
          <w:tcPr>
            <w:tcW w:type="dxa" w:w="2880"/>
            <w:tcMar>
              <w:top w:w="80" w:type="dxa"/>
              <w:start w:w="100" w:type="dxa"/>
              <w:bottom w:w="80" w:type="dxa"/>
              <w:end w:w="100" w:type="dxa"/>
            </w:tcMar>
            <w:vAlign w:val="top"/>
          </w:tcPr>
          <w:p>
            <w:pPr>
              <w:spacing w:after="0"/>
            </w:pPr>
            <w:r>
              <w:rPr>
                <w:sz w:val="16"/>
              </w:rPr>
              <w:t>AI retrieval corpus factory</w:t>
            </w:r>
          </w:p>
        </w:tc>
        <w:tc>
          <w:tcPr>
            <w:tcW w:type="dxa" w:w="6912"/>
            <w:tcMar>
              <w:top w:w="80" w:type="dxa"/>
              <w:start w:w="100" w:type="dxa"/>
              <w:bottom w:w="80" w:type="dxa"/>
              <w:end w:w="100" w:type="dxa"/>
            </w:tcMar>
            <w:vAlign w:val="top"/>
          </w:tcPr>
          <w:p>
            <w:pPr>
              <w:spacing w:after="0"/>
            </w:pPr>
            <w:r>
              <w:rPr>
                <w:sz w:val="16"/>
              </w:rPr>
              <w:t>Approved documents, policy filtering, lineage, chunk/version metadata, evaluation and full rebuild.</w:t>
            </w:r>
          </w:p>
        </w:tc>
      </w:tr>
      <w:tr>
        <w:trPr>
          <w:cantSplit/>
        </w:trPr>
        <w:tc>
          <w:tcPr>
            <w:tcW w:type="dxa" w:w="2880"/>
            <w:tcMar>
              <w:top w:w="80" w:type="dxa"/>
              <w:start w:w="100" w:type="dxa"/>
              <w:bottom w:w="80" w:type="dxa"/>
              <w:end w:w="100" w:type="dxa"/>
            </w:tcMar>
            <w:vAlign w:val="top"/>
          </w:tcPr>
          <w:p>
            <w:pPr>
              <w:spacing w:after="0"/>
            </w:pPr>
            <w:r>
              <w:rPr>
                <w:sz w:val="16"/>
              </w:rPr>
              <w:t>Multi-cloud object migration</w:t>
            </w:r>
          </w:p>
        </w:tc>
        <w:tc>
          <w:tcPr>
            <w:tcW w:type="dxa" w:w="6912"/>
            <w:tcMar>
              <w:top w:w="80" w:type="dxa"/>
              <w:start w:w="100" w:type="dxa"/>
              <w:bottom w:w="80" w:type="dxa"/>
              <w:end w:w="100" w:type="dxa"/>
            </w:tcMar>
            <w:vAlign w:val="top"/>
          </w:tcPr>
          <w:p>
            <w:pPr>
              <w:spacing w:after="0"/>
            </w:pPr>
            <w:r>
              <w:rPr>
                <w:sz w:val="16"/>
              </w:rPr>
              <w:t>Storage Transfer Service with checksums, metadata, bandwidth window, reconciliation, and source retirement.</w:t>
            </w:r>
          </w:p>
        </w:tc>
      </w:tr>
      <w:tr>
        <w:trPr>
          <w:cantSplit/>
        </w:trPr>
        <w:tc>
          <w:tcPr>
            <w:tcW w:type="dxa" w:w="2880"/>
            <w:tcMar>
              <w:top w:w="80" w:type="dxa"/>
              <w:start w:w="100" w:type="dxa"/>
              <w:bottom w:w="80" w:type="dxa"/>
              <w:end w:w="100" w:type="dxa"/>
            </w:tcMar>
            <w:vAlign w:val="top"/>
          </w:tcPr>
          <w:p>
            <w:pPr>
              <w:spacing w:after="0"/>
            </w:pPr>
            <w:r>
              <w:rPr>
                <w:sz w:val="16"/>
              </w:rPr>
              <w:t>Database modernization assessment</w:t>
            </w:r>
          </w:p>
        </w:tc>
        <w:tc>
          <w:tcPr>
            <w:tcW w:type="dxa" w:w="6912"/>
            <w:tcMar>
              <w:top w:w="80" w:type="dxa"/>
              <w:start w:w="100" w:type="dxa"/>
              <w:bottom w:w="80" w:type="dxa"/>
              <w:end w:w="100" w:type="dxa"/>
            </w:tcMar>
            <w:vAlign w:val="top"/>
          </w:tcPr>
          <w:p>
            <w:pPr>
              <w:spacing w:after="0"/>
            </w:pPr>
            <w:r>
              <w:rPr>
                <w:sz w:val="16"/>
              </w:rPr>
              <w:t>Compare Cloud SQL, AlloyDB, Spanner, and Firestore against one application with quantified trade-offs.</w:t>
            </w:r>
          </w:p>
        </w:tc>
      </w:tr>
      <w:tr>
        <w:trPr>
          <w:cantSplit/>
        </w:trPr>
        <w:tc>
          <w:tcPr>
            <w:tcW w:type="dxa" w:w="2880"/>
            <w:tcMar>
              <w:top w:w="80" w:type="dxa"/>
              <w:start w:w="100" w:type="dxa"/>
              <w:bottom w:w="80" w:type="dxa"/>
              <w:end w:w="100" w:type="dxa"/>
            </w:tcMar>
            <w:vAlign w:val="top"/>
          </w:tcPr>
          <w:p>
            <w:pPr>
              <w:spacing w:after="0"/>
            </w:pPr>
            <w:r>
              <w:rPr>
                <w:sz w:val="16"/>
              </w:rPr>
              <w:t>Data incident response game day</w:t>
            </w:r>
          </w:p>
        </w:tc>
        <w:tc>
          <w:tcPr>
            <w:tcW w:type="dxa" w:w="6912"/>
            <w:tcMar>
              <w:top w:w="80" w:type="dxa"/>
              <w:start w:w="100" w:type="dxa"/>
              <w:bottom w:w="80" w:type="dxa"/>
              <w:end w:w="100" w:type="dxa"/>
            </w:tcMar>
            <w:vAlign w:val="top"/>
          </w:tcPr>
          <w:p>
            <w:pPr>
              <w:spacing w:after="0"/>
            </w:pPr>
            <w:r>
              <w:rPr>
                <w:sz w:val="16"/>
              </w:rPr>
              <w:t>Simulate leaked credentials, bad pipeline release, corrupted partition, and backup restoration.</w:t>
            </w:r>
          </w:p>
        </w:tc>
      </w:tr>
      <w:tr>
        <w:trPr>
          <w:cantSplit/>
        </w:trPr>
        <w:tc>
          <w:tcPr>
            <w:tcW w:type="dxa" w:w="2880"/>
            <w:tcMar>
              <w:top w:w="80" w:type="dxa"/>
              <w:start w:w="100" w:type="dxa"/>
              <w:bottom w:w="80" w:type="dxa"/>
              <w:end w:w="100" w:type="dxa"/>
            </w:tcMar>
            <w:vAlign w:val="top"/>
          </w:tcPr>
          <w:p>
            <w:pPr>
              <w:spacing w:after="0"/>
            </w:pPr>
            <w:r>
              <w:rPr>
                <w:sz w:val="16"/>
              </w:rPr>
              <w:t>FinOps data platform</w:t>
            </w:r>
          </w:p>
        </w:tc>
        <w:tc>
          <w:tcPr>
            <w:tcW w:type="dxa" w:w="6912"/>
            <w:tcMar>
              <w:top w:w="80" w:type="dxa"/>
              <w:start w:w="100" w:type="dxa"/>
              <w:bottom w:w="80" w:type="dxa"/>
              <w:end w:w="100" w:type="dxa"/>
            </w:tcMar>
            <w:vAlign w:val="top"/>
          </w:tcPr>
          <w:p>
            <w:pPr>
              <w:spacing w:after="0"/>
            </w:pPr>
            <w:r>
              <w:rPr>
                <w:sz w:val="16"/>
              </w:rPr>
              <w:t>BigQuery billing export, labels, reservation analysis, lifecycle savings, unit-cost dashboard.</w:t>
            </w:r>
          </w:p>
        </w:tc>
      </w:tr>
    </w:tbl>
    <w:p>
      <w:pPr>
        <w:spacing w:after="20"/>
      </w:pPr>
    </w:p>
    <w:p>
      <w:pPr>
        <w:pStyle w:val="Heading1"/>
        <w:keepNext/>
      </w:pPr>
      <w:r>
        <w:t>Senior Interview Drill Bank</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744"/>
            <w:shd w:fill="1A73E8"/>
            <w:tcMar>
              <w:top w:w="80" w:type="dxa"/>
              <w:start w:w="100" w:type="dxa"/>
              <w:bottom w:w="80" w:type="dxa"/>
              <w:end w:w="100" w:type="dxa"/>
            </w:tcMar>
            <w:vAlign w:val="center"/>
          </w:tcPr>
          <w:p>
            <w:pPr>
              <w:jc w:val="center"/>
            </w:pPr>
            <w:r>
              <w:rPr>
                <w:b/>
                <w:color w:val="FFFFFF"/>
                <w:sz w:val="16"/>
              </w:rPr>
              <w:t>Scenario</w:t>
            </w:r>
          </w:p>
        </w:tc>
        <w:tc>
          <w:tcPr>
            <w:tcW w:type="dxa" w:w="6048"/>
            <w:shd w:fill="1A73E8"/>
            <w:tcMar>
              <w:top w:w="80" w:type="dxa"/>
              <w:start w:w="100" w:type="dxa"/>
              <w:bottom w:w="80" w:type="dxa"/>
              <w:end w:w="100" w:type="dxa"/>
            </w:tcMar>
            <w:vAlign w:val="center"/>
          </w:tcPr>
          <w:p>
            <w:pPr>
              <w:jc w:val="center"/>
            </w:pPr>
            <w:r>
              <w:rPr>
                <w:b/>
                <w:color w:val="FFFFFF"/>
                <w:sz w:val="16"/>
              </w:rPr>
              <w:t>Strong Answer Direction</w:t>
            </w:r>
          </w:p>
        </w:tc>
      </w:tr>
      <w:tr>
        <w:trPr>
          <w:cantSplit/>
        </w:trPr>
        <w:tc>
          <w:tcPr>
            <w:tcW w:type="dxa" w:w="3744"/>
            <w:tcMar>
              <w:top w:w="80" w:type="dxa"/>
              <w:start w:w="100" w:type="dxa"/>
              <w:bottom w:w="80" w:type="dxa"/>
              <w:end w:w="100" w:type="dxa"/>
            </w:tcMar>
            <w:vAlign w:val="top"/>
          </w:tcPr>
          <w:p>
            <w:pPr>
              <w:spacing w:after="0"/>
            </w:pPr>
            <w:r>
              <w:rPr>
                <w:sz w:val="16"/>
              </w:rPr>
              <w:t>A Cloud SQL primary is healthy but the application times out after a traffic surge.</w:t>
            </w:r>
          </w:p>
        </w:tc>
        <w:tc>
          <w:tcPr>
            <w:tcW w:type="dxa" w:w="6048"/>
            <w:tcMar>
              <w:top w:w="80" w:type="dxa"/>
              <w:start w:w="100" w:type="dxa"/>
              <w:bottom w:w="80" w:type="dxa"/>
              <w:end w:w="100" w:type="dxa"/>
            </w:tcMar>
            <w:vAlign w:val="top"/>
          </w:tcPr>
          <w:p>
            <w:pPr>
              <w:spacing w:after="0"/>
            </w:pPr>
            <w:r>
              <w:rPr>
                <w:sz w:val="16"/>
              </w:rPr>
              <w:t>Investigate connection exhaustion and pool behavior before resizing; protect the database with bounded concurrency and backpressure.</w:t>
            </w:r>
          </w:p>
        </w:tc>
      </w:tr>
      <w:tr>
        <w:trPr>
          <w:cantSplit/>
        </w:trPr>
        <w:tc>
          <w:tcPr>
            <w:tcW w:type="dxa" w:w="3744"/>
            <w:tcMar>
              <w:top w:w="80" w:type="dxa"/>
              <w:start w:w="100" w:type="dxa"/>
              <w:bottom w:w="80" w:type="dxa"/>
              <w:end w:w="100" w:type="dxa"/>
            </w:tcMar>
            <w:vAlign w:val="top"/>
          </w:tcPr>
          <w:p>
            <w:pPr>
              <w:spacing w:after="0"/>
            </w:pPr>
            <w:r>
              <w:rPr>
                <w:sz w:val="16"/>
              </w:rPr>
              <w:t>Spanner CPU is normal overall but p99 latency rises.</w:t>
            </w:r>
          </w:p>
        </w:tc>
        <w:tc>
          <w:tcPr>
            <w:tcW w:type="dxa" w:w="6048"/>
            <w:tcMar>
              <w:top w:w="80" w:type="dxa"/>
              <w:start w:w="100" w:type="dxa"/>
              <w:bottom w:w="80" w:type="dxa"/>
              <w:end w:w="100" w:type="dxa"/>
            </w:tcMar>
            <w:vAlign w:val="top"/>
          </w:tcPr>
          <w:p>
            <w:pPr>
              <w:spacing w:after="0"/>
            </w:pPr>
            <w:r>
              <w:rPr>
                <w:sz w:val="16"/>
              </w:rPr>
              <w:t>Check hottest-node/key-range distribution, lock contention, query plans, client locality, and per-method metrics.</w:t>
            </w:r>
          </w:p>
        </w:tc>
      </w:tr>
      <w:tr>
        <w:trPr>
          <w:cantSplit/>
        </w:trPr>
        <w:tc>
          <w:tcPr>
            <w:tcW w:type="dxa" w:w="3744"/>
            <w:tcMar>
              <w:top w:w="80" w:type="dxa"/>
              <w:start w:w="100" w:type="dxa"/>
              <w:bottom w:w="80" w:type="dxa"/>
              <w:end w:w="100" w:type="dxa"/>
            </w:tcMar>
            <w:vAlign w:val="top"/>
          </w:tcPr>
          <w:p>
            <w:pPr>
              <w:spacing w:after="0"/>
            </w:pPr>
            <w:r>
              <w:rPr>
                <w:sz w:val="16"/>
              </w:rPr>
              <w:t>Firestore cost doubled with no user growth.</w:t>
            </w:r>
          </w:p>
        </w:tc>
        <w:tc>
          <w:tcPr>
            <w:tcW w:type="dxa" w:w="6048"/>
            <w:tcMar>
              <w:top w:w="80" w:type="dxa"/>
              <w:start w:w="100" w:type="dxa"/>
              <w:bottom w:w="80" w:type="dxa"/>
              <w:end w:w="100" w:type="dxa"/>
            </w:tcMar>
            <w:vAlign w:val="top"/>
          </w:tcPr>
          <w:p>
            <w:pPr>
              <w:spacing w:after="0"/>
            </w:pPr>
            <w:r>
              <w:rPr>
                <w:sz w:val="16"/>
              </w:rPr>
              <w:t>Inspect listener/query patterns, document reads, index fan-out, retries, and background scans.</w:t>
            </w:r>
          </w:p>
        </w:tc>
      </w:tr>
      <w:tr>
        <w:trPr>
          <w:cantSplit/>
        </w:trPr>
        <w:tc>
          <w:tcPr>
            <w:tcW w:type="dxa" w:w="3744"/>
            <w:tcMar>
              <w:top w:w="80" w:type="dxa"/>
              <w:start w:w="100" w:type="dxa"/>
              <w:bottom w:w="80" w:type="dxa"/>
              <w:end w:w="100" w:type="dxa"/>
            </w:tcMar>
            <w:vAlign w:val="top"/>
          </w:tcPr>
          <w:p>
            <w:pPr>
              <w:spacing w:after="0"/>
            </w:pPr>
            <w:r>
              <w:rPr>
                <w:sz w:val="16"/>
              </w:rPr>
              <w:t>Bigtable multi-cluster routing returns unexpected stale data.</w:t>
            </w:r>
          </w:p>
        </w:tc>
        <w:tc>
          <w:tcPr>
            <w:tcW w:type="dxa" w:w="6048"/>
            <w:tcMar>
              <w:top w:w="80" w:type="dxa"/>
              <w:start w:w="100" w:type="dxa"/>
              <w:bottom w:w="80" w:type="dxa"/>
              <w:end w:w="100" w:type="dxa"/>
            </w:tcMar>
            <w:vAlign w:val="top"/>
          </w:tcPr>
          <w:p>
            <w:pPr>
              <w:spacing w:after="0"/>
            </w:pPr>
            <w:r>
              <w:rPr>
                <w:sz w:val="16"/>
              </w:rPr>
              <w:t>Review application-profile consistency/routing choices and replication state; use single-cluster routing where semantics require it.</w:t>
            </w:r>
          </w:p>
        </w:tc>
      </w:tr>
      <w:tr>
        <w:trPr>
          <w:cantSplit/>
        </w:trPr>
        <w:tc>
          <w:tcPr>
            <w:tcW w:type="dxa" w:w="3744"/>
            <w:tcMar>
              <w:top w:w="80" w:type="dxa"/>
              <w:start w:w="100" w:type="dxa"/>
              <w:bottom w:w="80" w:type="dxa"/>
              <w:end w:w="100" w:type="dxa"/>
            </w:tcMar>
            <w:vAlign w:val="top"/>
          </w:tcPr>
          <w:p>
            <w:pPr>
              <w:spacing w:after="0"/>
            </w:pPr>
            <w:r>
              <w:rPr>
                <w:sz w:val="16"/>
              </w:rPr>
              <w:t>BigQuery daily spend spikes.</w:t>
            </w:r>
          </w:p>
        </w:tc>
        <w:tc>
          <w:tcPr>
            <w:tcW w:type="dxa" w:w="6048"/>
            <w:tcMar>
              <w:top w:w="80" w:type="dxa"/>
              <w:start w:w="100" w:type="dxa"/>
              <w:bottom w:w="80" w:type="dxa"/>
              <w:end w:w="100" w:type="dxa"/>
            </w:tcMar>
            <w:vAlign w:val="top"/>
          </w:tcPr>
          <w:p>
            <w:pPr>
              <w:spacing w:after="0"/>
            </w:pPr>
            <w:r>
              <w:rPr>
                <w:sz w:val="16"/>
              </w:rPr>
              <w:t>Use billing export, INFORMATION_SCHEMA jobs, labels, bytes processed, scheduled queries, and reservation/assignment changes to identify owner and cause.</w:t>
            </w:r>
          </w:p>
        </w:tc>
      </w:tr>
      <w:tr>
        <w:trPr>
          <w:cantSplit/>
        </w:trPr>
        <w:tc>
          <w:tcPr>
            <w:tcW w:type="dxa" w:w="3744"/>
            <w:tcMar>
              <w:top w:w="80" w:type="dxa"/>
              <w:start w:w="100" w:type="dxa"/>
              <w:bottom w:w="80" w:type="dxa"/>
              <w:end w:w="100" w:type="dxa"/>
            </w:tcMar>
            <w:vAlign w:val="top"/>
          </w:tcPr>
          <w:p>
            <w:pPr>
              <w:spacing w:after="0"/>
            </w:pPr>
            <w:r>
              <w:rPr>
                <w:sz w:val="16"/>
              </w:rPr>
              <w:t>A Dataflow job has low CPU and rising backlog.</w:t>
            </w:r>
          </w:p>
        </w:tc>
        <w:tc>
          <w:tcPr>
            <w:tcW w:type="dxa" w:w="6048"/>
            <w:tcMar>
              <w:top w:w="80" w:type="dxa"/>
              <w:start w:w="100" w:type="dxa"/>
              <w:bottom w:w="80" w:type="dxa"/>
              <w:end w:w="100" w:type="dxa"/>
            </w:tcMar>
            <w:vAlign w:val="top"/>
          </w:tcPr>
          <w:p>
            <w:pPr>
              <w:spacing w:after="0"/>
            </w:pPr>
            <w:r>
              <w:rPr>
                <w:sz w:val="16"/>
              </w:rPr>
              <w:t>Find sink bottleneck, key skew, external service limits, flow control, or fused stage blocking rather than adding workers blindly.</w:t>
            </w:r>
          </w:p>
        </w:tc>
      </w:tr>
      <w:tr>
        <w:trPr>
          <w:cantSplit/>
        </w:trPr>
        <w:tc>
          <w:tcPr>
            <w:tcW w:type="dxa" w:w="3744"/>
            <w:tcMar>
              <w:top w:w="80" w:type="dxa"/>
              <w:start w:w="100" w:type="dxa"/>
              <w:bottom w:w="80" w:type="dxa"/>
              <w:end w:w="100" w:type="dxa"/>
            </w:tcMar>
            <w:vAlign w:val="top"/>
          </w:tcPr>
          <w:p>
            <w:pPr>
              <w:spacing w:after="0"/>
            </w:pPr>
            <w:r>
              <w:rPr>
                <w:sz w:val="16"/>
              </w:rPr>
              <w:t>A Spark job is fast but creates 200,000 files.</w:t>
            </w:r>
          </w:p>
        </w:tc>
        <w:tc>
          <w:tcPr>
            <w:tcW w:type="dxa" w:w="6048"/>
            <w:tcMar>
              <w:top w:w="80" w:type="dxa"/>
              <w:start w:w="100" w:type="dxa"/>
              <w:bottom w:w="80" w:type="dxa"/>
              <w:end w:w="100" w:type="dxa"/>
            </w:tcMar>
            <w:vAlign w:val="top"/>
          </w:tcPr>
          <w:p>
            <w:pPr>
              <w:spacing w:after="0"/>
            </w:pPr>
            <w:r>
              <w:rPr>
                <w:sz w:val="16"/>
              </w:rPr>
              <w:t>Fix output partitioning and compaction; performance is not acceptable if downstream metadata and query cost explode.</w:t>
            </w:r>
          </w:p>
        </w:tc>
      </w:tr>
      <w:tr>
        <w:trPr>
          <w:cantSplit/>
        </w:trPr>
        <w:tc>
          <w:tcPr>
            <w:tcW w:type="dxa" w:w="3744"/>
            <w:tcMar>
              <w:top w:w="80" w:type="dxa"/>
              <w:start w:w="100" w:type="dxa"/>
              <w:bottom w:w="80" w:type="dxa"/>
              <w:end w:w="100" w:type="dxa"/>
            </w:tcMar>
            <w:vAlign w:val="top"/>
          </w:tcPr>
          <w:p>
            <w:pPr>
              <w:spacing w:after="0"/>
            </w:pPr>
            <w:r>
              <w:rPr>
                <w:sz w:val="16"/>
              </w:rPr>
              <w:t>Datastream target has duplicates.</w:t>
            </w:r>
          </w:p>
        </w:tc>
        <w:tc>
          <w:tcPr>
            <w:tcW w:type="dxa" w:w="6048"/>
            <w:tcMar>
              <w:top w:w="80" w:type="dxa"/>
              <w:start w:w="100" w:type="dxa"/>
              <w:bottom w:w="80" w:type="dxa"/>
              <w:end w:w="100" w:type="dxa"/>
            </w:tcMar>
            <w:vAlign w:val="top"/>
          </w:tcPr>
          <w:p>
            <w:pPr>
              <w:spacing w:after="0"/>
            </w:pPr>
            <w:r>
              <w:rPr>
                <w:sz w:val="16"/>
              </w:rPr>
              <w:t>This is compatible with at-least-once delivery; implement key/change-metadata based deduplication or MERGE.</w:t>
            </w:r>
          </w:p>
        </w:tc>
      </w:tr>
      <w:tr>
        <w:trPr>
          <w:cantSplit/>
        </w:trPr>
        <w:tc>
          <w:tcPr>
            <w:tcW w:type="dxa" w:w="3744"/>
            <w:tcMar>
              <w:top w:w="80" w:type="dxa"/>
              <w:start w:w="100" w:type="dxa"/>
              <w:bottom w:w="80" w:type="dxa"/>
              <w:end w:w="100" w:type="dxa"/>
            </w:tcMar>
            <w:vAlign w:val="top"/>
          </w:tcPr>
          <w:p>
            <w:pPr>
              <w:spacing w:after="0"/>
            </w:pPr>
            <w:r>
              <w:rPr>
                <w:sz w:val="16"/>
              </w:rPr>
              <w:t>A regional DR test fails because the KMS key is unavailable.</w:t>
            </w:r>
          </w:p>
        </w:tc>
        <w:tc>
          <w:tcPr>
            <w:tcW w:type="dxa" w:w="6048"/>
            <w:tcMar>
              <w:top w:w="80" w:type="dxa"/>
              <w:start w:w="100" w:type="dxa"/>
              <w:bottom w:w="80" w:type="dxa"/>
              <w:end w:w="100" w:type="dxa"/>
            </w:tcMar>
            <w:vAlign w:val="top"/>
          </w:tcPr>
          <w:p>
            <w:pPr>
              <w:spacing w:after="0"/>
            </w:pPr>
            <w:r>
              <w:rPr>
                <w:sz w:val="16"/>
              </w:rPr>
              <w:t>The control plane was not included in the dependency model; recover/replicate key strategy and retest end to end.</w:t>
            </w:r>
          </w:p>
        </w:tc>
      </w:tr>
      <w:tr>
        <w:trPr>
          <w:cantSplit/>
        </w:trPr>
        <w:tc>
          <w:tcPr>
            <w:tcW w:type="dxa" w:w="3744"/>
            <w:tcMar>
              <w:top w:w="80" w:type="dxa"/>
              <w:start w:w="100" w:type="dxa"/>
              <w:bottom w:w="80" w:type="dxa"/>
              <w:end w:w="100" w:type="dxa"/>
            </w:tcMar>
            <w:vAlign w:val="top"/>
          </w:tcPr>
          <w:p>
            <w:pPr>
              <w:spacing w:after="0"/>
            </w:pPr>
            <w:r>
              <w:rPr>
                <w:sz w:val="16"/>
              </w:rPr>
              <w:t>An AI index contains a deleted customer record.</w:t>
            </w:r>
          </w:p>
        </w:tc>
        <w:tc>
          <w:tcPr>
            <w:tcW w:type="dxa" w:w="6048"/>
            <w:tcMar>
              <w:top w:w="80" w:type="dxa"/>
              <w:start w:w="100" w:type="dxa"/>
              <w:bottom w:w="80" w:type="dxa"/>
              <w:end w:w="100" w:type="dxa"/>
            </w:tcMar>
            <w:vAlign w:val="top"/>
          </w:tcPr>
          <w:p>
            <w:pPr>
              <w:spacing w:after="0"/>
            </w:pPr>
            <w:r>
              <w:rPr>
                <w:sz w:val="16"/>
              </w:rPr>
              <w:t>Trace lineage, disable serving if required, delete/rebuild derived artifacts, verify absence, and improve deletion propagation tests.</w:t>
            </w:r>
          </w:p>
        </w:tc>
      </w:tr>
    </w:tbl>
    <w:p>
      <w:pPr>
        <w:spacing w:after="20"/>
      </w:pPr>
    </w:p>
    <w:p>
      <w:pPr>
        <w:pStyle w:val="Heading1"/>
        <w:keepNext/>
      </w:pPr>
      <w:r>
        <w:t>Command Reference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Area</w:t>
            </w:r>
          </w:p>
        </w:tc>
        <w:tc>
          <w:tcPr>
            <w:tcW w:type="dxa" w:w="7632"/>
            <w:shd w:fill="1A73E8"/>
            <w:tcMar>
              <w:top w:w="80" w:type="dxa"/>
              <w:start w:w="100" w:type="dxa"/>
              <w:bottom w:w="80" w:type="dxa"/>
              <w:end w:w="100" w:type="dxa"/>
            </w:tcMar>
            <w:vAlign w:val="center"/>
          </w:tcPr>
          <w:p>
            <w:pPr>
              <w:jc w:val="center"/>
            </w:pPr>
            <w:r>
              <w:rPr>
                <w:b/>
                <w:color w:val="FFFFFF"/>
                <w:sz w:val="16"/>
              </w:rPr>
              <w:t>Examples</w:t>
            </w:r>
          </w:p>
        </w:tc>
      </w:tr>
      <w:tr>
        <w:trPr>
          <w:cantSplit/>
        </w:trPr>
        <w:tc>
          <w:tcPr>
            <w:tcW w:type="dxa" w:w="2160"/>
            <w:tcMar>
              <w:top w:w="80" w:type="dxa"/>
              <w:start w:w="100" w:type="dxa"/>
              <w:bottom w:w="80" w:type="dxa"/>
              <w:end w:w="100" w:type="dxa"/>
            </w:tcMar>
            <w:vAlign w:val="top"/>
          </w:tcPr>
          <w:p>
            <w:pPr>
              <w:spacing w:after="0"/>
            </w:pPr>
            <w:r>
              <w:rPr>
                <w:sz w:val="16"/>
              </w:rPr>
              <w:t>Cloud SQL</w:t>
            </w:r>
          </w:p>
        </w:tc>
        <w:tc>
          <w:tcPr>
            <w:tcW w:type="dxa" w:w="7632"/>
            <w:tcMar>
              <w:top w:w="80" w:type="dxa"/>
              <w:start w:w="100" w:type="dxa"/>
              <w:bottom w:w="80" w:type="dxa"/>
              <w:end w:w="100" w:type="dxa"/>
            </w:tcMar>
            <w:vAlign w:val="top"/>
          </w:tcPr>
          <w:p>
            <w:pPr>
              <w:spacing w:after="0"/>
            </w:pPr>
            <w:r>
              <w:rPr>
                <w:sz w:val="16"/>
              </w:rPr>
              <w:t>gcloud sql instances list; gcloud sql operations list --instance=NAME</w:t>
            </w:r>
          </w:p>
        </w:tc>
      </w:tr>
      <w:tr>
        <w:trPr>
          <w:cantSplit/>
        </w:trPr>
        <w:tc>
          <w:tcPr>
            <w:tcW w:type="dxa" w:w="2160"/>
            <w:tcMar>
              <w:top w:w="80" w:type="dxa"/>
              <w:start w:w="100" w:type="dxa"/>
              <w:bottom w:w="80" w:type="dxa"/>
              <w:end w:w="100" w:type="dxa"/>
            </w:tcMar>
            <w:vAlign w:val="top"/>
          </w:tcPr>
          <w:p>
            <w:pPr>
              <w:spacing w:after="0"/>
            </w:pPr>
            <w:r>
              <w:rPr>
                <w:sz w:val="16"/>
              </w:rPr>
              <w:t>AlloyDB</w:t>
            </w:r>
          </w:p>
        </w:tc>
        <w:tc>
          <w:tcPr>
            <w:tcW w:type="dxa" w:w="7632"/>
            <w:tcMar>
              <w:top w:w="80" w:type="dxa"/>
              <w:start w:w="100" w:type="dxa"/>
              <w:bottom w:w="80" w:type="dxa"/>
              <w:end w:w="100" w:type="dxa"/>
            </w:tcMar>
            <w:vAlign w:val="top"/>
          </w:tcPr>
          <w:p>
            <w:pPr>
              <w:spacing w:after="0"/>
            </w:pPr>
            <w:r>
              <w:rPr>
                <w:sz w:val="16"/>
              </w:rPr>
              <w:t>gcloud alloydb clusters list --region=REGION; gcloud alloydb instances list --cluster=CLUSTER --region=REGION</w:t>
            </w:r>
          </w:p>
        </w:tc>
      </w:tr>
      <w:tr>
        <w:trPr>
          <w:cantSplit/>
        </w:trPr>
        <w:tc>
          <w:tcPr>
            <w:tcW w:type="dxa" w:w="2160"/>
            <w:tcMar>
              <w:top w:w="80" w:type="dxa"/>
              <w:start w:w="100" w:type="dxa"/>
              <w:bottom w:w="80" w:type="dxa"/>
              <w:end w:w="100" w:type="dxa"/>
            </w:tcMar>
            <w:vAlign w:val="top"/>
          </w:tcPr>
          <w:p>
            <w:pPr>
              <w:spacing w:after="0"/>
            </w:pPr>
            <w:r>
              <w:rPr>
                <w:sz w:val="16"/>
              </w:rPr>
              <w:t>Spanner</w:t>
            </w:r>
          </w:p>
        </w:tc>
        <w:tc>
          <w:tcPr>
            <w:tcW w:type="dxa" w:w="7632"/>
            <w:tcMar>
              <w:top w:w="80" w:type="dxa"/>
              <w:start w:w="100" w:type="dxa"/>
              <w:bottom w:w="80" w:type="dxa"/>
              <w:end w:w="100" w:type="dxa"/>
            </w:tcMar>
            <w:vAlign w:val="top"/>
          </w:tcPr>
          <w:p>
            <w:pPr>
              <w:spacing w:after="0"/>
            </w:pPr>
            <w:r>
              <w:rPr>
                <w:sz w:val="16"/>
              </w:rPr>
              <w:t>gcloud spanner instances list; gcloud spanner databases list --instance=INSTANCE</w:t>
            </w:r>
          </w:p>
        </w:tc>
      </w:tr>
      <w:tr>
        <w:trPr>
          <w:cantSplit/>
        </w:trPr>
        <w:tc>
          <w:tcPr>
            <w:tcW w:type="dxa" w:w="2160"/>
            <w:tcMar>
              <w:top w:w="80" w:type="dxa"/>
              <w:start w:w="100" w:type="dxa"/>
              <w:bottom w:w="80" w:type="dxa"/>
              <w:end w:w="100" w:type="dxa"/>
            </w:tcMar>
            <w:vAlign w:val="top"/>
          </w:tcPr>
          <w:p>
            <w:pPr>
              <w:spacing w:after="0"/>
            </w:pPr>
            <w:r>
              <w:rPr>
                <w:sz w:val="16"/>
              </w:rPr>
              <w:t>Firestore</w:t>
            </w:r>
          </w:p>
        </w:tc>
        <w:tc>
          <w:tcPr>
            <w:tcW w:type="dxa" w:w="7632"/>
            <w:tcMar>
              <w:top w:w="80" w:type="dxa"/>
              <w:start w:w="100" w:type="dxa"/>
              <w:bottom w:w="80" w:type="dxa"/>
              <w:end w:w="100" w:type="dxa"/>
            </w:tcMar>
            <w:vAlign w:val="top"/>
          </w:tcPr>
          <w:p>
            <w:pPr>
              <w:spacing w:after="0"/>
            </w:pPr>
            <w:r>
              <w:rPr>
                <w:sz w:val="16"/>
              </w:rPr>
              <w:t>gcloud firestore databases list; gcloud firestore indexes composite list</w:t>
            </w:r>
          </w:p>
        </w:tc>
      </w:tr>
      <w:tr>
        <w:trPr>
          <w:cantSplit/>
        </w:trPr>
        <w:tc>
          <w:tcPr>
            <w:tcW w:type="dxa" w:w="2160"/>
            <w:tcMar>
              <w:top w:w="80" w:type="dxa"/>
              <w:start w:w="100" w:type="dxa"/>
              <w:bottom w:w="80" w:type="dxa"/>
              <w:end w:w="100" w:type="dxa"/>
            </w:tcMar>
            <w:vAlign w:val="top"/>
          </w:tcPr>
          <w:p>
            <w:pPr>
              <w:spacing w:after="0"/>
            </w:pPr>
            <w:r>
              <w:rPr>
                <w:sz w:val="16"/>
              </w:rPr>
              <w:t>Bigtable</w:t>
            </w:r>
          </w:p>
        </w:tc>
        <w:tc>
          <w:tcPr>
            <w:tcW w:type="dxa" w:w="7632"/>
            <w:tcMar>
              <w:top w:w="80" w:type="dxa"/>
              <w:start w:w="100" w:type="dxa"/>
              <w:bottom w:w="80" w:type="dxa"/>
              <w:end w:w="100" w:type="dxa"/>
            </w:tcMar>
            <w:vAlign w:val="top"/>
          </w:tcPr>
          <w:p>
            <w:pPr>
              <w:spacing w:after="0"/>
            </w:pPr>
            <w:r>
              <w:rPr>
                <w:sz w:val="16"/>
              </w:rPr>
              <w:t>gcloud bigtable instances list; gcloud bigtable clusters list --instances=INSTANCE</w:t>
            </w:r>
          </w:p>
        </w:tc>
      </w:tr>
      <w:tr>
        <w:trPr>
          <w:cantSplit/>
        </w:trPr>
        <w:tc>
          <w:tcPr>
            <w:tcW w:type="dxa" w:w="2160"/>
            <w:tcMar>
              <w:top w:w="80" w:type="dxa"/>
              <w:start w:w="100" w:type="dxa"/>
              <w:bottom w:w="80" w:type="dxa"/>
              <w:end w:w="100" w:type="dxa"/>
            </w:tcMar>
            <w:vAlign w:val="top"/>
          </w:tcPr>
          <w:p>
            <w:pPr>
              <w:spacing w:after="0"/>
            </w:pPr>
            <w:r>
              <w:rPr>
                <w:sz w:val="16"/>
              </w:rPr>
              <w:t>Memorystore</w:t>
            </w:r>
          </w:p>
        </w:tc>
        <w:tc>
          <w:tcPr>
            <w:tcW w:type="dxa" w:w="7632"/>
            <w:tcMar>
              <w:top w:w="80" w:type="dxa"/>
              <w:start w:w="100" w:type="dxa"/>
              <w:bottom w:w="80" w:type="dxa"/>
              <w:end w:w="100" w:type="dxa"/>
            </w:tcMar>
            <w:vAlign w:val="top"/>
          </w:tcPr>
          <w:p>
            <w:pPr>
              <w:spacing w:after="0"/>
            </w:pPr>
            <w:r>
              <w:rPr>
                <w:sz w:val="16"/>
              </w:rPr>
              <w:t>gcloud redis instances list --region=REGION; gcloud redis clusters list --region=REGION</w:t>
            </w:r>
          </w:p>
        </w:tc>
      </w:tr>
      <w:tr>
        <w:trPr>
          <w:cantSplit/>
        </w:trPr>
        <w:tc>
          <w:tcPr>
            <w:tcW w:type="dxa" w:w="2160"/>
            <w:tcMar>
              <w:top w:w="80" w:type="dxa"/>
              <w:start w:w="100" w:type="dxa"/>
              <w:bottom w:w="80" w:type="dxa"/>
              <w:end w:w="100" w:type="dxa"/>
            </w:tcMar>
            <w:vAlign w:val="top"/>
          </w:tcPr>
          <w:p>
            <w:pPr>
              <w:spacing w:after="0"/>
            </w:pPr>
            <w:r>
              <w:rPr>
                <w:sz w:val="16"/>
              </w:rPr>
              <w:t>BigQuery</w:t>
            </w:r>
          </w:p>
        </w:tc>
        <w:tc>
          <w:tcPr>
            <w:tcW w:type="dxa" w:w="7632"/>
            <w:tcMar>
              <w:top w:w="80" w:type="dxa"/>
              <w:start w:w="100" w:type="dxa"/>
              <w:bottom w:w="80" w:type="dxa"/>
              <w:end w:w="100" w:type="dxa"/>
            </w:tcMar>
            <w:vAlign w:val="top"/>
          </w:tcPr>
          <w:p>
            <w:pPr>
              <w:spacing w:after="0"/>
            </w:pPr>
            <w:r>
              <w:rPr>
                <w:sz w:val="16"/>
              </w:rPr>
              <w:t>bq ls; bq show PROJECT:DATASET.TABLE; bq query --dry_run --use_legacy_sql=false SQL</w:t>
            </w:r>
          </w:p>
        </w:tc>
      </w:tr>
      <w:tr>
        <w:trPr>
          <w:cantSplit/>
        </w:trPr>
        <w:tc>
          <w:tcPr>
            <w:tcW w:type="dxa" w:w="2160"/>
            <w:tcMar>
              <w:top w:w="80" w:type="dxa"/>
              <w:start w:w="100" w:type="dxa"/>
              <w:bottom w:w="80" w:type="dxa"/>
              <w:end w:w="100" w:type="dxa"/>
            </w:tcMar>
            <w:vAlign w:val="top"/>
          </w:tcPr>
          <w:p>
            <w:pPr>
              <w:spacing w:after="0"/>
            </w:pPr>
            <w:r>
              <w:rPr>
                <w:sz w:val="16"/>
              </w:rPr>
              <w:t>Pub/Sub</w:t>
            </w:r>
          </w:p>
        </w:tc>
        <w:tc>
          <w:tcPr>
            <w:tcW w:type="dxa" w:w="7632"/>
            <w:tcMar>
              <w:top w:w="80" w:type="dxa"/>
              <w:start w:w="100" w:type="dxa"/>
              <w:bottom w:w="80" w:type="dxa"/>
              <w:end w:w="100" w:type="dxa"/>
            </w:tcMar>
            <w:vAlign w:val="top"/>
          </w:tcPr>
          <w:p>
            <w:pPr>
              <w:spacing w:after="0"/>
            </w:pPr>
            <w:r>
              <w:rPr>
                <w:sz w:val="16"/>
              </w:rPr>
              <w:t>gcloud pubsub topics list; gcloud pubsub subscriptions describe NAME</w:t>
            </w:r>
          </w:p>
        </w:tc>
      </w:tr>
      <w:tr>
        <w:trPr>
          <w:cantSplit/>
        </w:trPr>
        <w:tc>
          <w:tcPr>
            <w:tcW w:type="dxa" w:w="2160"/>
            <w:tcMar>
              <w:top w:w="80" w:type="dxa"/>
              <w:start w:w="100" w:type="dxa"/>
              <w:bottom w:w="80" w:type="dxa"/>
              <w:end w:w="100" w:type="dxa"/>
            </w:tcMar>
            <w:vAlign w:val="top"/>
          </w:tcPr>
          <w:p>
            <w:pPr>
              <w:spacing w:after="0"/>
            </w:pPr>
            <w:r>
              <w:rPr>
                <w:sz w:val="16"/>
              </w:rPr>
              <w:t>Dataflow</w:t>
            </w:r>
          </w:p>
        </w:tc>
        <w:tc>
          <w:tcPr>
            <w:tcW w:type="dxa" w:w="7632"/>
            <w:tcMar>
              <w:top w:w="80" w:type="dxa"/>
              <w:start w:w="100" w:type="dxa"/>
              <w:bottom w:w="80" w:type="dxa"/>
              <w:end w:w="100" w:type="dxa"/>
            </w:tcMar>
            <w:vAlign w:val="top"/>
          </w:tcPr>
          <w:p>
            <w:pPr>
              <w:spacing w:after="0"/>
            </w:pPr>
            <w:r>
              <w:rPr>
                <w:sz w:val="16"/>
              </w:rPr>
              <w:t>gcloud dataflow jobs list --region=REGION; gcloud dataflow jobs describe JOB --region=REGION</w:t>
            </w:r>
          </w:p>
        </w:tc>
      </w:tr>
      <w:tr>
        <w:trPr>
          <w:cantSplit/>
        </w:trPr>
        <w:tc>
          <w:tcPr>
            <w:tcW w:type="dxa" w:w="2160"/>
            <w:tcMar>
              <w:top w:w="80" w:type="dxa"/>
              <w:start w:w="100" w:type="dxa"/>
              <w:bottom w:w="80" w:type="dxa"/>
              <w:end w:w="100" w:type="dxa"/>
            </w:tcMar>
            <w:vAlign w:val="top"/>
          </w:tcPr>
          <w:p>
            <w:pPr>
              <w:spacing w:after="0"/>
            </w:pPr>
            <w:r>
              <w:rPr>
                <w:sz w:val="16"/>
              </w:rPr>
              <w:t>Managed Spark</w:t>
            </w:r>
          </w:p>
        </w:tc>
        <w:tc>
          <w:tcPr>
            <w:tcW w:type="dxa" w:w="7632"/>
            <w:tcMar>
              <w:top w:w="80" w:type="dxa"/>
              <w:start w:w="100" w:type="dxa"/>
              <w:bottom w:w="80" w:type="dxa"/>
              <w:end w:w="100" w:type="dxa"/>
            </w:tcMar>
            <w:vAlign w:val="top"/>
          </w:tcPr>
          <w:p>
            <w:pPr>
              <w:spacing w:after="0"/>
            </w:pPr>
            <w:r>
              <w:rPr>
                <w:sz w:val="16"/>
              </w:rPr>
              <w:t>gcloud dataproc batches list --region=REGION; gcloud dataproc batches describe ID --region=REGION</w:t>
            </w:r>
          </w:p>
        </w:tc>
      </w:tr>
      <w:tr>
        <w:trPr>
          <w:cantSplit/>
        </w:trPr>
        <w:tc>
          <w:tcPr>
            <w:tcW w:type="dxa" w:w="2160"/>
            <w:tcMar>
              <w:top w:w="80" w:type="dxa"/>
              <w:start w:w="100" w:type="dxa"/>
              <w:bottom w:w="80" w:type="dxa"/>
              <w:end w:w="100" w:type="dxa"/>
            </w:tcMar>
            <w:vAlign w:val="top"/>
          </w:tcPr>
          <w:p>
            <w:pPr>
              <w:spacing w:after="0"/>
            </w:pPr>
            <w:r>
              <w:rPr>
                <w:sz w:val="16"/>
              </w:rPr>
              <w:t>DMS</w:t>
            </w:r>
          </w:p>
        </w:tc>
        <w:tc>
          <w:tcPr>
            <w:tcW w:type="dxa" w:w="7632"/>
            <w:tcMar>
              <w:top w:w="80" w:type="dxa"/>
              <w:start w:w="100" w:type="dxa"/>
              <w:bottom w:w="80" w:type="dxa"/>
              <w:end w:w="100" w:type="dxa"/>
            </w:tcMar>
            <w:vAlign w:val="top"/>
          </w:tcPr>
          <w:p>
            <w:pPr>
              <w:spacing w:after="0"/>
            </w:pPr>
            <w:r>
              <w:rPr>
                <w:sz w:val="16"/>
              </w:rPr>
              <w:t>gcloud database-migration migration-jobs list --region=REGION</w:t>
            </w:r>
          </w:p>
        </w:tc>
      </w:tr>
      <w:tr>
        <w:trPr>
          <w:cantSplit/>
        </w:trPr>
        <w:tc>
          <w:tcPr>
            <w:tcW w:type="dxa" w:w="2160"/>
            <w:tcMar>
              <w:top w:w="80" w:type="dxa"/>
              <w:start w:w="100" w:type="dxa"/>
              <w:bottom w:w="80" w:type="dxa"/>
              <w:end w:w="100" w:type="dxa"/>
            </w:tcMar>
            <w:vAlign w:val="top"/>
          </w:tcPr>
          <w:p>
            <w:pPr>
              <w:spacing w:after="0"/>
            </w:pPr>
            <w:r>
              <w:rPr>
                <w:sz w:val="16"/>
              </w:rPr>
              <w:t>Datastream</w:t>
            </w:r>
          </w:p>
        </w:tc>
        <w:tc>
          <w:tcPr>
            <w:tcW w:type="dxa" w:w="7632"/>
            <w:tcMar>
              <w:top w:w="80" w:type="dxa"/>
              <w:start w:w="100" w:type="dxa"/>
              <w:bottom w:w="80" w:type="dxa"/>
              <w:end w:w="100" w:type="dxa"/>
            </w:tcMar>
            <w:vAlign w:val="top"/>
          </w:tcPr>
          <w:p>
            <w:pPr>
              <w:spacing w:after="0"/>
            </w:pPr>
            <w:r>
              <w:rPr>
                <w:sz w:val="16"/>
              </w:rPr>
              <w:t>gcloud datastream streams list --location=REGION</w:t>
            </w:r>
          </w:p>
        </w:tc>
      </w:tr>
      <w:tr>
        <w:trPr>
          <w:cantSplit/>
        </w:trPr>
        <w:tc>
          <w:tcPr>
            <w:tcW w:type="dxa" w:w="2160"/>
            <w:tcMar>
              <w:top w:w="80" w:type="dxa"/>
              <w:start w:w="100" w:type="dxa"/>
              <w:bottom w:w="80" w:type="dxa"/>
              <w:end w:w="100" w:type="dxa"/>
            </w:tcMar>
            <w:vAlign w:val="top"/>
          </w:tcPr>
          <w:p>
            <w:pPr>
              <w:spacing w:after="0"/>
            </w:pPr>
            <w:r>
              <w:rPr>
                <w:sz w:val="16"/>
              </w:rPr>
              <w:t>Storage Transfer</w:t>
            </w:r>
          </w:p>
        </w:tc>
        <w:tc>
          <w:tcPr>
            <w:tcW w:type="dxa" w:w="7632"/>
            <w:tcMar>
              <w:top w:w="80" w:type="dxa"/>
              <w:start w:w="100" w:type="dxa"/>
              <w:bottom w:w="80" w:type="dxa"/>
              <w:end w:w="100" w:type="dxa"/>
            </w:tcMar>
            <w:vAlign w:val="top"/>
          </w:tcPr>
          <w:p>
            <w:pPr>
              <w:spacing w:after="0"/>
            </w:pPr>
            <w:r>
              <w:rPr>
                <w:sz w:val="16"/>
              </w:rPr>
              <w:t>gcloud transfer jobs list --project=PROJECT_ID</w:t>
            </w:r>
          </w:p>
        </w:tc>
      </w:tr>
      <w:tr>
        <w:trPr>
          <w:cantSplit/>
        </w:trPr>
        <w:tc>
          <w:tcPr>
            <w:tcW w:type="dxa" w:w="2160"/>
            <w:tcMar>
              <w:top w:w="80" w:type="dxa"/>
              <w:start w:w="100" w:type="dxa"/>
              <w:bottom w:w="80" w:type="dxa"/>
              <w:end w:w="100" w:type="dxa"/>
            </w:tcMar>
            <w:vAlign w:val="top"/>
          </w:tcPr>
          <w:p>
            <w:pPr>
              <w:spacing w:after="0"/>
            </w:pPr>
            <w:r>
              <w:rPr>
                <w:sz w:val="16"/>
              </w:rPr>
              <w:t>Asset and cleanup</w:t>
            </w:r>
          </w:p>
        </w:tc>
        <w:tc>
          <w:tcPr>
            <w:tcW w:type="dxa" w:w="7632"/>
            <w:tcMar>
              <w:top w:w="80" w:type="dxa"/>
              <w:start w:w="100" w:type="dxa"/>
              <w:bottom w:w="80" w:type="dxa"/>
              <w:end w:w="100" w:type="dxa"/>
            </w:tcMar>
            <w:vAlign w:val="top"/>
          </w:tcPr>
          <w:p>
            <w:pPr>
              <w:spacing w:after="0"/>
            </w:pPr>
            <w:r>
              <w:rPr>
                <w:sz w:val="16"/>
              </w:rPr>
              <w:t>gcloud asset search-all-resources --scope=projects/PROJECT_ID</w:t>
            </w:r>
          </w:p>
        </w:tc>
      </w:tr>
    </w:tbl>
    <w:p>
      <w:pPr>
        <w:spacing w:after="20"/>
      </w:pPr>
    </w:p>
    <w:p>
      <w:pPr>
        <w:spacing w:after="120"/>
      </w:pPr>
      <w:r>
        <w:rPr>
          <w:i w:val="0"/>
        </w:rPr>
        <w:t>Command groups and flags evolve. Always confirm the active gcloud component and official command reference before production use. Run describe/list commands first, and verify project, region, identity, and deletion impact.</w:t>
      </w:r>
    </w:p>
    <w:p>
      <w:pPr>
        <w:pStyle w:val="Heading1"/>
        <w:keepNext/>
      </w:pPr>
      <w:r>
        <w:t>Production Readiness Checklist</w:t>
      </w:r>
    </w:p>
    <w:p>
      <w:pPr>
        <w:pStyle w:val="Heading2"/>
        <w:keepNext/>
      </w:pPr>
      <w:r>
        <w:t>Architecture</w:t>
      </w:r>
    </w:p>
    <w:p>
      <w:pPr>
        <w:pStyle w:val="ListBullet"/>
        <w:spacing w:after="60"/>
      </w:pPr>
      <w:r>
        <w:t>☐ Workload access patterns and consistency are documented.</w:t>
      </w:r>
    </w:p>
    <w:p>
      <w:pPr>
        <w:pStyle w:val="ListBullet"/>
        <w:spacing w:after="60"/>
      </w:pPr>
      <w:r>
        <w:t>☐ Service choice includes rejected alternatives and cost/failure trade-offs.</w:t>
      </w:r>
    </w:p>
    <w:p>
      <w:pPr>
        <w:pStyle w:val="ListBullet"/>
        <w:spacing w:after="60"/>
      </w:pPr>
      <w:r>
        <w:t>☐ Location, residency, network, and dependency boundaries are explicit.</w:t>
      </w:r>
    </w:p>
    <w:p>
      <w:pPr>
        <w:pStyle w:val="Heading2"/>
        <w:keepNext/>
      </w:pPr>
      <w:r>
        <w:t>Security</w:t>
      </w:r>
    </w:p>
    <w:p>
      <w:pPr>
        <w:pStyle w:val="ListBullet"/>
        <w:spacing w:after="60"/>
      </w:pPr>
      <w:r>
        <w:t>☐ Human and workload identities are separate and least-privileged.</w:t>
      </w:r>
    </w:p>
    <w:p>
      <w:pPr>
        <w:pStyle w:val="ListBullet"/>
        <w:spacing w:after="60"/>
      </w:pPr>
      <w:r>
        <w:t>☐ Private access and controlled egress are used where required.</w:t>
      </w:r>
    </w:p>
    <w:p>
      <w:pPr>
        <w:pStyle w:val="ListBullet"/>
        <w:spacing w:after="60"/>
      </w:pPr>
      <w:r>
        <w:t>☐ Classification, row/column controls, secrets, keys, perimeters, and audit are tested.</w:t>
      </w:r>
    </w:p>
    <w:p>
      <w:pPr>
        <w:pStyle w:val="Heading2"/>
        <w:keepNext/>
      </w:pPr>
      <w:r>
        <w:t>Reliability</w:t>
      </w:r>
    </w:p>
    <w:p>
      <w:pPr>
        <w:pStyle w:val="ListBullet"/>
        <w:spacing w:after="60"/>
      </w:pPr>
      <w:r>
        <w:t>☐ HA, read scaling, backup, PITR, replay, and DR responsibilities are distinct.</w:t>
      </w:r>
    </w:p>
    <w:p>
      <w:pPr>
        <w:pStyle w:val="ListBullet"/>
        <w:spacing w:after="60"/>
      </w:pPr>
      <w:r>
        <w:t>☐ Failover, restore, reconciliation, and regional dependency tests have evidence.</w:t>
      </w:r>
    </w:p>
    <w:p>
      <w:pPr>
        <w:pStyle w:val="ListBullet"/>
        <w:spacing w:after="60"/>
      </w:pPr>
      <w:r>
        <w:t>☐ Capacity includes failure-state headroom and quota planning.</w:t>
      </w:r>
    </w:p>
    <w:p>
      <w:pPr>
        <w:pStyle w:val="Heading2"/>
        <w:keepNext/>
      </w:pPr>
      <w:r>
        <w:t>Data Engineering</w:t>
      </w:r>
    </w:p>
    <w:p>
      <w:pPr>
        <w:pStyle w:val="ListBullet"/>
        <w:spacing w:after="60"/>
      </w:pPr>
      <w:r>
        <w:t>☐ Schemas, keys, partitions, indexes, windows, and file layout are validated with realistic load.</w:t>
      </w:r>
    </w:p>
    <w:p>
      <w:pPr>
        <w:pStyle w:val="ListBullet"/>
        <w:spacing w:after="60"/>
      </w:pPr>
      <w:r>
        <w:t>☐ Pipelines are idempotent, restartable, versioned, and observable.</w:t>
      </w:r>
    </w:p>
    <w:p>
      <w:pPr>
        <w:pStyle w:val="ListBullet"/>
        <w:spacing w:after="60"/>
      </w:pPr>
      <w:r>
        <w:t>☐ Quality, lineage, contracts, freshness, retention, and deletion are enforced.</w:t>
      </w:r>
    </w:p>
    <w:p>
      <w:pPr>
        <w:pStyle w:val="Heading2"/>
        <w:keepNext/>
      </w:pPr>
      <w:r>
        <w:t>Operations</w:t>
      </w:r>
    </w:p>
    <w:p>
      <w:pPr>
        <w:pStyle w:val="ListBullet"/>
        <w:spacing w:after="60"/>
      </w:pPr>
      <w:r>
        <w:t>☐ Dashboards and alerts connect to owners and runbooks.</w:t>
      </w:r>
    </w:p>
    <w:p>
      <w:pPr>
        <w:pStyle w:val="ListBullet"/>
        <w:spacing w:after="60"/>
      </w:pPr>
      <w:r>
        <w:t>☐ Changes use canary/rehearsal/rollback where possible.</w:t>
      </w:r>
    </w:p>
    <w:p>
      <w:pPr>
        <w:pStyle w:val="ListBullet"/>
        <w:spacing w:after="60"/>
      </w:pPr>
      <w:r>
        <w:t>☐ Cost allocation, budgets, labels, lifecycle, cleanup, and unit economics are reviewed.</w:t>
      </w:r>
    </w:p>
    <w:p>
      <w:pPr>
        <w:pStyle w:val="Heading2"/>
        <w:keepNext/>
      </w:pPr>
      <w:r>
        <w:t>AI Readiness</w:t>
      </w:r>
    </w:p>
    <w:p>
      <w:pPr>
        <w:pStyle w:val="ListBullet"/>
        <w:spacing w:after="60"/>
      </w:pPr>
      <w:r>
        <w:t>☐ Approved sources and purposes are documented.</w:t>
      </w:r>
    </w:p>
    <w:p>
      <w:pPr>
        <w:pStyle w:val="ListBullet"/>
        <w:spacing w:after="60"/>
      </w:pPr>
      <w:r>
        <w:t>☐ Sensitive/prohibited fields are excluded or protected.</w:t>
      </w:r>
    </w:p>
    <w:p>
      <w:pPr>
        <w:pStyle w:val="ListBullet"/>
        <w:spacing w:after="60"/>
      </w:pPr>
      <w:r>
        <w:t>☐ Feature/corpus provenance, version, evaluation, deletion, and rebuild are tested.</w:t>
      </w:r>
    </w:p>
    <w:p>
      <w:pPr>
        <w:pStyle w:val="Heading1"/>
        <w:keepNext/>
      </w:pPr>
      <w:r>
        <w:t>Glossary</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448"/>
            <w:shd w:fill="1A73E8"/>
            <w:tcMar>
              <w:top w:w="80" w:type="dxa"/>
              <w:start w:w="100" w:type="dxa"/>
              <w:bottom w:w="80" w:type="dxa"/>
              <w:end w:w="100" w:type="dxa"/>
            </w:tcMar>
            <w:vAlign w:val="center"/>
          </w:tcPr>
          <w:p>
            <w:pPr>
              <w:jc w:val="center"/>
            </w:pPr>
            <w:r>
              <w:rPr>
                <w:b/>
                <w:color w:val="FFFFFF"/>
                <w:sz w:val="16"/>
              </w:rPr>
              <w:t>Term</w:t>
            </w:r>
          </w:p>
        </w:tc>
        <w:tc>
          <w:tcPr>
            <w:tcW w:type="dxa" w:w="7344"/>
            <w:shd w:fill="1A73E8"/>
            <w:tcMar>
              <w:top w:w="80" w:type="dxa"/>
              <w:start w:w="100" w:type="dxa"/>
              <w:bottom w:w="80" w:type="dxa"/>
              <w:end w:w="100" w:type="dxa"/>
            </w:tcMar>
            <w:vAlign w:val="center"/>
          </w:tcPr>
          <w:p>
            <w:pPr>
              <w:jc w:val="center"/>
            </w:pPr>
            <w:r>
              <w:rPr>
                <w:b/>
                <w:color w:val="FFFFFF"/>
                <w:sz w:val="16"/>
              </w:rPr>
              <w:t>Definition</w:t>
            </w:r>
          </w:p>
        </w:tc>
      </w:tr>
      <w:tr>
        <w:trPr>
          <w:cantSplit/>
        </w:trPr>
        <w:tc>
          <w:tcPr>
            <w:tcW w:type="dxa" w:w="2448"/>
            <w:tcMar>
              <w:top w:w="80" w:type="dxa"/>
              <w:start w:w="100" w:type="dxa"/>
              <w:bottom w:w="80" w:type="dxa"/>
              <w:end w:w="100" w:type="dxa"/>
            </w:tcMar>
            <w:vAlign w:val="top"/>
          </w:tcPr>
          <w:p>
            <w:pPr>
              <w:spacing w:after="0"/>
            </w:pPr>
            <w:r>
              <w:rPr>
                <w:sz w:val="16"/>
              </w:rPr>
              <w:t>At-least-once delivery</w:t>
            </w:r>
          </w:p>
        </w:tc>
        <w:tc>
          <w:tcPr>
            <w:tcW w:type="dxa" w:w="7344"/>
            <w:tcMar>
              <w:top w:w="80" w:type="dxa"/>
              <w:start w:w="100" w:type="dxa"/>
              <w:bottom w:w="80" w:type="dxa"/>
              <w:end w:w="100" w:type="dxa"/>
            </w:tcMar>
            <w:vAlign w:val="top"/>
          </w:tcPr>
          <w:p>
            <w:pPr>
              <w:spacing w:after="0"/>
            </w:pPr>
            <w:r>
              <w:rPr>
                <w:sz w:val="16"/>
              </w:rPr>
              <w:t>A delivery model in which a message can be delivered more than once; consumers must be idempotent.</w:t>
            </w:r>
          </w:p>
        </w:tc>
      </w:tr>
      <w:tr>
        <w:trPr>
          <w:cantSplit/>
        </w:trPr>
        <w:tc>
          <w:tcPr>
            <w:tcW w:type="dxa" w:w="2448"/>
            <w:tcMar>
              <w:top w:w="80" w:type="dxa"/>
              <w:start w:w="100" w:type="dxa"/>
              <w:bottom w:w="80" w:type="dxa"/>
              <w:end w:w="100" w:type="dxa"/>
            </w:tcMar>
            <w:vAlign w:val="top"/>
          </w:tcPr>
          <w:p>
            <w:pPr>
              <w:spacing w:after="0"/>
            </w:pPr>
            <w:r>
              <w:rPr>
                <w:sz w:val="16"/>
              </w:rPr>
              <w:t>Change data capture (CDC)</w:t>
            </w:r>
          </w:p>
        </w:tc>
        <w:tc>
          <w:tcPr>
            <w:tcW w:type="dxa" w:w="7344"/>
            <w:tcMar>
              <w:top w:w="80" w:type="dxa"/>
              <w:start w:w="100" w:type="dxa"/>
              <w:bottom w:w="80" w:type="dxa"/>
              <w:end w:w="100" w:type="dxa"/>
            </w:tcMar>
            <w:vAlign w:val="top"/>
          </w:tcPr>
          <w:p>
            <w:pPr>
              <w:spacing w:after="0"/>
            </w:pPr>
            <w:r>
              <w:rPr>
                <w:sz w:val="16"/>
              </w:rPr>
              <w:t>Capturing inserts, updates, and deletes after an initial state to propagate changes.</w:t>
            </w:r>
          </w:p>
        </w:tc>
      </w:tr>
      <w:tr>
        <w:trPr>
          <w:cantSplit/>
        </w:trPr>
        <w:tc>
          <w:tcPr>
            <w:tcW w:type="dxa" w:w="2448"/>
            <w:tcMar>
              <w:top w:w="80" w:type="dxa"/>
              <w:start w:w="100" w:type="dxa"/>
              <w:bottom w:w="80" w:type="dxa"/>
              <w:end w:w="100" w:type="dxa"/>
            </w:tcMar>
            <w:vAlign w:val="top"/>
          </w:tcPr>
          <w:p>
            <w:pPr>
              <w:spacing w:after="0"/>
            </w:pPr>
            <w:r>
              <w:rPr>
                <w:sz w:val="16"/>
              </w:rPr>
              <w:t>Clustering</w:t>
            </w:r>
          </w:p>
        </w:tc>
        <w:tc>
          <w:tcPr>
            <w:tcW w:type="dxa" w:w="7344"/>
            <w:tcMar>
              <w:top w:w="80" w:type="dxa"/>
              <w:start w:w="100" w:type="dxa"/>
              <w:bottom w:w="80" w:type="dxa"/>
              <w:end w:w="100" w:type="dxa"/>
            </w:tcMar>
            <w:vAlign w:val="top"/>
          </w:tcPr>
          <w:p>
            <w:pPr>
              <w:spacing w:after="0"/>
            </w:pPr>
            <w:r>
              <w:rPr>
                <w:sz w:val="16"/>
              </w:rPr>
              <w:t>Organizing BigQuery storage blocks by selected columns to improve pruning.</w:t>
            </w:r>
          </w:p>
        </w:tc>
      </w:tr>
      <w:tr>
        <w:trPr>
          <w:cantSplit/>
        </w:trPr>
        <w:tc>
          <w:tcPr>
            <w:tcW w:type="dxa" w:w="2448"/>
            <w:tcMar>
              <w:top w:w="80" w:type="dxa"/>
              <w:start w:w="100" w:type="dxa"/>
              <w:bottom w:w="80" w:type="dxa"/>
              <w:end w:w="100" w:type="dxa"/>
            </w:tcMar>
            <w:vAlign w:val="top"/>
          </w:tcPr>
          <w:p>
            <w:pPr>
              <w:spacing w:after="0"/>
            </w:pPr>
            <w:r>
              <w:rPr>
                <w:sz w:val="16"/>
              </w:rPr>
              <w:t>Data contract</w:t>
            </w:r>
          </w:p>
        </w:tc>
        <w:tc>
          <w:tcPr>
            <w:tcW w:type="dxa" w:w="7344"/>
            <w:tcMar>
              <w:top w:w="80" w:type="dxa"/>
              <w:start w:w="100" w:type="dxa"/>
              <w:bottom w:w="80" w:type="dxa"/>
              <w:end w:w="100" w:type="dxa"/>
            </w:tcMar>
            <w:vAlign w:val="top"/>
          </w:tcPr>
          <w:p>
            <w:pPr>
              <w:spacing w:after="0"/>
            </w:pPr>
            <w:r>
              <w:rPr>
                <w:sz w:val="16"/>
              </w:rPr>
              <w:t>An owned agreement for schema, semantics, quality, freshness, and compatibility.</w:t>
            </w:r>
          </w:p>
        </w:tc>
      </w:tr>
      <w:tr>
        <w:trPr>
          <w:cantSplit/>
        </w:trPr>
        <w:tc>
          <w:tcPr>
            <w:tcW w:type="dxa" w:w="2448"/>
            <w:tcMar>
              <w:top w:w="80" w:type="dxa"/>
              <w:start w:w="100" w:type="dxa"/>
              <w:bottom w:w="80" w:type="dxa"/>
              <w:end w:w="100" w:type="dxa"/>
            </w:tcMar>
            <w:vAlign w:val="top"/>
          </w:tcPr>
          <w:p>
            <w:pPr>
              <w:spacing w:after="0"/>
            </w:pPr>
            <w:r>
              <w:rPr>
                <w:sz w:val="16"/>
              </w:rPr>
              <w:t>Data lineage</w:t>
            </w:r>
          </w:p>
        </w:tc>
        <w:tc>
          <w:tcPr>
            <w:tcW w:type="dxa" w:w="7344"/>
            <w:tcMar>
              <w:top w:w="80" w:type="dxa"/>
              <w:start w:w="100" w:type="dxa"/>
              <w:bottom w:w="80" w:type="dxa"/>
              <w:end w:w="100" w:type="dxa"/>
            </w:tcMar>
            <w:vAlign w:val="top"/>
          </w:tcPr>
          <w:p>
            <w:pPr>
              <w:spacing w:after="0"/>
            </w:pPr>
            <w:r>
              <w:rPr>
                <w:sz w:val="16"/>
              </w:rPr>
              <w:t>Traceability from sources through transformations to outputs and consumers.</w:t>
            </w:r>
          </w:p>
        </w:tc>
      </w:tr>
      <w:tr>
        <w:trPr>
          <w:cantSplit/>
        </w:trPr>
        <w:tc>
          <w:tcPr>
            <w:tcW w:type="dxa" w:w="2448"/>
            <w:tcMar>
              <w:top w:w="80" w:type="dxa"/>
              <w:start w:w="100" w:type="dxa"/>
              <w:bottom w:w="80" w:type="dxa"/>
              <w:end w:w="100" w:type="dxa"/>
            </w:tcMar>
            <w:vAlign w:val="top"/>
          </w:tcPr>
          <w:p>
            <w:pPr>
              <w:spacing w:after="0"/>
            </w:pPr>
            <w:r>
              <w:rPr>
                <w:sz w:val="16"/>
              </w:rPr>
              <w:t>External consistency</w:t>
            </w:r>
          </w:p>
        </w:tc>
        <w:tc>
          <w:tcPr>
            <w:tcW w:type="dxa" w:w="7344"/>
            <w:tcMar>
              <w:top w:w="80" w:type="dxa"/>
              <w:start w:w="100" w:type="dxa"/>
              <w:bottom w:w="80" w:type="dxa"/>
              <w:end w:w="100" w:type="dxa"/>
            </w:tcMar>
            <w:vAlign w:val="top"/>
          </w:tcPr>
          <w:p>
            <w:pPr>
              <w:spacing w:after="0"/>
            </w:pPr>
            <w:r>
              <w:rPr>
                <w:sz w:val="16"/>
              </w:rPr>
              <w:t>A transaction ordering guarantee consistent with real-time ordering, provided by Spanner.</w:t>
            </w:r>
          </w:p>
        </w:tc>
      </w:tr>
      <w:tr>
        <w:trPr>
          <w:cantSplit/>
        </w:trPr>
        <w:tc>
          <w:tcPr>
            <w:tcW w:type="dxa" w:w="2448"/>
            <w:tcMar>
              <w:top w:w="80" w:type="dxa"/>
              <w:start w:w="100" w:type="dxa"/>
              <w:bottom w:w="80" w:type="dxa"/>
              <w:end w:w="100" w:type="dxa"/>
            </w:tcMar>
            <w:vAlign w:val="top"/>
          </w:tcPr>
          <w:p>
            <w:pPr>
              <w:spacing w:after="0"/>
            </w:pPr>
            <w:r>
              <w:rPr>
                <w:sz w:val="16"/>
              </w:rPr>
              <w:t>Hotspot</w:t>
            </w:r>
          </w:p>
        </w:tc>
        <w:tc>
          <w:tcPr>
            <w:tcW w:type="dxa" w:w="7344"/>
            <w:tcMar>
              <w:top w:w="80" w:type="dxa"/>
              <w:start w:w="100" w:type="dxa"/>
              <w:bottom w:w="80" w:type="dxa"/>
              <w:end w:w="100" w:type="dxa"/>
            </w:tcMar>
            <w:vAlign w:val="top"/>
          </w:tcPr>
          <w:p>
            <w:pPr>
              <w:spacing w:after="0"/>
            </w:pPr>
            <w:r>
              <w:rPr>
                <w:sz w:val="16"/>
              </w:rPr>
              <w:t>A disproportionate concentration of traffic on one key range, document, partition, or resource.</w:t>
            </w:r>
          </w:p>
        </w:tc>
      </w:tr>
      <w:tr>
        <w:trPr>
          <w:cantSplit/>
        </w:trPr>
        <w:tc>
          <w:tcPr>
            <w:tcW w:type="dxa" w:w="2448"/>
            <w:tcMar>
              <w:top w:w="80" w:type="dxa"/>
              <w:start w:w="100" w:type="dxa"/>
              <w:bottom w:w="80" w:type="dxa"/>
              <w:end w:w="100" w:type="dxa"/>
            </w:tcMar>
            <w:vAlign w:val="top"/>
          </w:tcPr>
          <w:p>
            <w:pPr>
              <w:spacing w:after="0"/>
            </w:pPr>
            <w:r>
              <w:rPr>
                <w:sz w:val="16"/>
              </w:rPr>
              <w:t>Idempotency</w:t>
            </w:r>
          </w:p>
        </w:tc>
        <w:tc>
          <w:tcPr>
            <w:tcW w:type="dxa" w:w="7344"/>
            <w:tcMar>
              <w:top w:w="80" w:type="dxa"/>
              <w:start w:w="100" w:type="dxa"/>
              <w:bottom w:w="80" w:type="dxa"/>
              <w:end w:w="100" w:type="dxa"/>
            </w:tcMar>
            <w:vAlign w:val="top"/>
          </w:tcPr>
          <w:p>
            <w:pPr>
              <w:spacing w:after="0"/>
            </w:pPr>
            <w:r>
              <w:rPr>
                <w:sz w:val="16"/>
              </w:rPr>
              <w:t>The property that repeating an operation does not create additional unintended effects.</w:t>
            </w:r>
          </w:p>
        </w:tc>
      </w:tr>
      <w:tr>
        <w:trPr>
          <w:cantSplit/>
        </w:trPr>
        <w:tc>
          <w:tcPr>
            <w:tcW w:type="dxa" w:w="2448"/>
            <w:tcMar>
              <w:top w:w="80" w:type="dxa"/>
              <w:start w:w="100" w:type="dxa"/>
              <w:bottom w:w="80" w:type="dxa"/>
              <w:end w:w="100" w:type="dxa"/>
            </w:tcMar>
            <w:vAlign w:val="top"/>
          </w:tcPr>
          <w:p>
            <w:pPr>
              <w:spacing w:after="0"/>
            </w:pPr>
            <w:r>
              <w:rPr>
                <w:sz w:val="16"/>
              </w:rPr>
              <w:t>Lakehouse</w:t>
            </w:r>
          </w:p>
        </w:tc>
        <w:tc>
          <w:tcPr>
            <w:tcW w:type="dxa" w:w="7344"/>
            <w:tcMar>
              <w:top w:w="80" w:type="dxa"/>
              <w:start w:w="100" w:type="dxa"/>
              <w:bottom w:w="80" w:type="dxa"/>
              <w:end w:w="100" w:type="dxa"/>
            </w:tcMar>
            <w:vAlign w:val="top"/>
          </w:tcPr>
          <w:p>
            <w:pPr>
              <w:spacing w:after="0"/>
            </w:pPr>
            <w:r>
              <w:rPr>
                <w:sz w:val="16"/>
              </w:rPr>
              <w:t>An architecture combining object-storage openness with governed table and analytics capabilities.</w:t>
            </w:r>
          </w:p>
        </w:tc>
      </w:tr>
      <w:tr>
        <w:trPr>
          <w:cantSplit/>
        </w:trPr>
        <w:tc>
          <w:tcPr>
            <w:tcW w:type="dxa" w:w="2448"/>
            <w:tcMar>
              <w:top w:w="80" w:type="dxa"/>
              <w:start w:w="100" w:type="dxa"/>
              <w:bottom w:w="80" w:type="dxa"/>
              <w:end w:w="100" w:type="dxa"/>
            </w:tcMar>
            <w:vAlign w:val="top"/>
          </w:tcPr>
          <w:p>
            <w:pPr>
              <w:spacing w:after="0"/>
            </w:pPr>
            <w:r>
              <w:rPr>
                <w:sz w:val="16"/>
              </w:rPr>
              <w:t>PITR</w:t>
            </w:r>
          </w:p>
        </w:tc>
        <w:tc>
          <w:tcPr>
            <w:tcW w:type="dxa" w:w="7344"/>
            <w:tcMar>
              <w:top w:w="80" w:type="dxa"/>
              <w:start w:w="100" w:type="dxa"/>
              <w:bottom w:w="80" w:type="dxa"/>
              <w:end w:w="100" w:type="dxa"/>
            </w:tcMar>
            <w:vAlign w:val="top"/>
          </w:tcPr>
          <w:p>
            <w:pPr>
              <w:spacing w:after="0"/>
            </w:pPr>
            <w:r>
              <w:rPr>
                <w:sz w:val="16"/>
              </w:rPr>
              <w:t>Point-in-time recovery to a selected moment within the configured recovery window.</w:t>
            </w:r>
          </w:p>
        </w:tc>
      </w:tr>
      <w:tr>
        <w:trPr>
          <w:cantSplit/>
        </w:trPr>
        <w:tc>
          <w:tcPr>
            <w:tcW w:type="dxa" w:w="2448"/>
            <w:tcMar>
              <w:top w:w="80" w:type="dxa"/>
              <w:start w:w="100" w:type="dxa"/>
              <w:bottom w:w="80" w:type="dxa"/>
              <w:end w:w="100" w:type="dxa"/>
            </w:tcMar>
            <w:vAlign w:val="top"/>
          </w:tcPr>
          <w:p>
            <w:pPr>
              <w:spacing w:after="0"/>
            </w:pPr>
            <w:r>
              <w:rPr>
                <w:sz w:val="16"/>
              </w:rPr>
              <w:t>Policy tag</w:t>
            </w:r>
          </w:p>
        </w:tc>
        <w:tc>
          <w:tcPr>
            <w:tcW w:type="dxa" w:w="7344"/>
            <w:tcMar>
              <w:top w:w="80" w:type="dxa"/>
              <w:start w:w="100" w:type="dxa"/>
              <w:bottom w:w="80" w:type="dxa"/>
              <w:end w:w="100" w:type="dxa"/>
            </w:tcMar>
            <w:vAlign w:val="top"/>
          </w:tcPr>
          <w:p>
            <w:pPr>
              <w:spacing w:after="0"/>
            </w:pPr>
            <w:r>
              <w:rPr>
                <w:sz w:val="16"/>
              </w:rPr>
              <w:t>A classification/control mechanism used to protect sensitive columns and integrate governance.</w:t>
            </w:r>
          </w:p>
        </w:tc>
      </w:tr>
      <w:tr>
        <w:trPr>
          <w:cantSplit/>
        </w:trPr>
        <w:tc>
          <w:tcPr>
            <w:tcW w:type="dxa" w:w="2448"/>
            <w:tcMar>
              <w:top w:w="80" w:type="dxa"/>
              <w:start w:w="100" w:type="dxa"/>
              <w:bottom w:w="80" w:type="dxa"/>
              <w:end w:w="100" w:type="dxa"/>
            </w:tcMar>
            <w:vAlign w:val="top"/>
          </w:tcPr>
          <w:p>
            <w:pPr>
              <w:spacing w:after="0"/>
            </w:pPr>
            <w:r>
              <w:rPr>
                <w:sz w:val="16"/>
              </w:rPr>
              <w:t>Reservation</w:t>
            </w:r>
          </w:p>
        </w:tc>
        <w:tc>
          <w:tcPr>
            <w:tcW w:type="dxa" w:w="7344"/>
            <w:tcMar>
              <w:top w:w="80" w:type="dxa"/>
              <w:start w:w="100" w:type="dxa"/>
              <w:bottom w:w="80" w:type="dxa"/>
              <w:end w:w="100" w:type="dxa"/>
            </w:tcMar>
            <w:vAlign w:val="top"/>
          </w:tcPr>
          <w:p>
            <w:pPr>
              <w:spacing w:after="0"/>
            </w:pPr>
            <w:r>
              <w:rPr>
                <w:sz w:val="16"/>
              </w:rPr>
              <w:t>A BigQuery pool of slot capacity assigned to workloads.</w:t>
            </w:r>
          </w:p>
        </w:tc>
      </w:tr>
      <w:tr>
        <w:trPr>
          <w:cantSplit/>
        </w:trPr>
        <w:tc>
          <w:tcPr>
            <w:tcW w:type="dxa" w:w="2448"/>
            <w:tcMar>
              <w:top w:w="80" w:type="dxa"/>
              <w:start w:w="100" w:type="dxa"/>
              <w:bottom w:w="80" w:type="dxa"/>
              <w:end w:w="100" w:type="dxa"/>
            </w:tcMar>
            <w:vAlign w:val="top"/>
          </w:tcPr>
          <w:p>
            <w:pPr>
              <w:spacing w:after="0"/>
            </w:pPr>
            <w:r>
              <w:rPr>
                <w:sz w:val="16"/>
              </w:rPr>
              <w:t>Row key</w:t>
            </w:r>
          </w:p>
        </w:tc>
        <w:tc>
          <w:tcPr>
            <w:tcW w:type="dxa" w:w="7344"/>
            <w:tcMar>
              <w:top w:w="80" w:type="dxa"/>
              <w:start w:w="100" w:type="dxa"/>
              <w:bottom w:w="80" w:type="dxa"/>
              <w:end w:w="100" w:type="dxa"/>
            </w:tcMar>
            <w:vAlign w:val="top"/>
          </w:tcPr>
          <w:p>
            <w:pPr>
              <w:spacing w:after="0"/>
            </w:pPr>
            <w:r>
              <w:rPr>
                <w:sz w:val="16"/>
              </w:rPr>
              <w:t>The lexicographically ordered primary identifier that determines Bigtable distribution and scans.</w:t>
            </w:r>
          </w:p>
        </w:tc>
      </w:tr>
      <w:tr>
        <w:trPr>
          <w:cantSplit/>
        </w:trPr>
        <w:tc>
          <w:tcPr>
            <w:tcW w:type="dxa" w:w="2448"/>
            <w:tcMar>
              <w:top w:w="80" w:type="dxa"/>
              <w:start w:w="100" w:type="dxa"/>
              <w:bottom w:w="80" w:type="dxa"/>
              <w:end w:w="100" w:type="dxa"/>
            </w:tcMar>
            <w:vAlign w:val="top"/>
          </w:tcPr>
          <w:p>
            <w:pPr>
              <w:spacing w:after="0"/>
            </w:pPr>
            <w:r>
              <w:rPr>
                <w:sz w:val="16"/>
              </w:rPr>
              <w:t>Schema evolution</w:t>
            </w:r>
          </w:p>
        </w:tc>
        <w:tc>
          <w:tcPr>
            <w:tcW w:type="dxa" w:w="7344"/>
            <w:tcMar>
              <w:top w:w="80" w:type="dxa"/>
              <w:start w:w="100" w:type="dxa"/>
              <w:bottom w:w="80" w:type="dxa"/>
              <w:end w:w="100" w:type="dxa"/>
            </w:tcMar>
            <w:vAlign w:val="top"/>
          </w:tcPr>
          <w:p>
            <w:pPr>
              <w:spacing w:after="0"/>
            </w:pPr>
            <w:r>
              <w:rPr>
                <w:sz w:val="16"/>
              </w:rPr>
              <w:t>Controlled change of data structure while preserving compatible producers and consumers.</w:t>
            </w:r>
          </w:p>
        </w:tc>
      </w:tr>
      <w:tr>
        <w:trPr>
          <w:cantSplit/>
        </w:trPr>
        <w:tc>
          <w:tcPr>
            <w:tcW w:type="dxa" w:w="2448"/>
            <w:tcMar>
              <w:top w:w="80" w:type="dxa"/>
              <w:start w:w="100" w:type="dxa"/>
              <w:bottom w:w="80" w:type="dxa"/>
              <w:end w:w="100" w:type="dxa"/>
            </w:tcMar>
            <w:vAlign w:val="top"/>
          </w:tcPr>
          <w:p>
            <w:pPr>
              <w:spacing w:after="0"/>
            </w:pPr>
            <w:r>
              <w:rPr>
                <w:sz w:val="16"/>
              </w:rPr>
              <w:t>Slot</w:t>
            </w:r>
          </w:p>
        </w:tc>
        <w:tc>
          <w:tcPr>
            <w:tcW w:type="dxa" w:w="7344"/>
            <w:tcMar>
              <w:top w:w="80" w:type="dxa"/>
              <w:start w:w="100" w:type="dxa"/>
              <w:bottom w:w="80" w:type="dxa"/>
              <w:end w:w="100" w:type="dxa"/>
            </w:tcMar>
            <w:vAlign w:val="top"/>
          </w:tcPr>
          <w:p>
            <w:pPr>
              <w:spacing w:after="0"/>
            </w:pPr>
            <w:r>
              <w:rPr>
                <w:sz w:val="16"/>
              </w:rPr>
              <w:t>A unit of BigQuery computational capacity.</w:t>
            </w:r>
          </w:p>
        </w:tc>
      </w:tr>
      <w:tr>
        <w:trPr>
          <w:cantSplit/>
        </w:trPr>
        <w:tc>
          <w:tcPr>
            <w:tcW w:type="dxa" w:w="2448"/>
            <w:tcMar>
              <w:top w:w="80" w:type="dxa"/>
              <w:start w:w="100" w:type="dxa"/>
              <w:bottom w:w="80" w:type="dxa"/>
              <w:end w:w="100" w:type="dxa"/>
            </w:tcMar>
            <w:vAlign w:val="top"/>
          </w:tcPr>
          <w:p>
            <w:pPr>
              <w:spacing w:after="0"/>
            </w:pPr>
            <w:r>
              <w:rPr>
                <w:sz w:val="16"/>
              </w:rPr>
              <w:t>Watermark</w:t>
            </w:r>
          </w:p>
        </w:tc>
        <w:tc>
          <w:tcPr>
            <w:tcW w:type="dxa" w:w="7344"/>
            <w:tcMar>
              <w:top w:w="80" w:type="dxa"/>
              <w:start w:w="100" w:type="dxa"/>
              <w:bottom w:w="80" w:type="dxa"/>
              <w:end w:w="100" w:type="dxa"/>
            </w:tcMar>
            <w:vAlign w:val="top"/>
          </w:tcPr>
          <w:p>
            <w:pPr>
              <w:spacing w:after="0"/>
            </w:pPr>
            <w:r>
              <w:rPr>
                <w:sz w:val="16"/>
              </w:rPr>
              <w:t>A Beam estimate of progress through event time.</w:t>
            </w:r>
          </w:p>
        </w:tc>
      </w:tr>
      <w:tr>
        <w:trPr>
          <w:cantSplit/>
        </w:trPr>
        <w:tc>
          <w:tcPr>
            <w:tcW w:type="dxa" w:w="2448"/>
            <w:tcMar>
              <w:top w:w="80" w:type="dxa"/>
              <w:start w:w="100" w:type="dxa"/>
              <w:bottom w:w="80" w:type="dxa"/>
              <w:end w:w="100" w:type="dxa"/>
            </w:tcMar>
            <w:vAlign w:val="top"/>
          </w:tcPr>
          <w:p>
            <w:pPr>
              <w:spacing w:after="0"/>
            </w:pPr>
            <w:r>
              <w:rPr>
                <w:sz w:val="16"/>
              </w:rPr>
              <w:t>Window</w:t>
            </w:r>
          </w:p>
        </w:tc>
        <w:tc>
          <w:tcPr>
            <w:tcW w:type="dxa" w:w="7344"/>
            <w:tcMar>
              <w:top w:w="80" w:type="dxa"/>
              <w:start w:w="100" w:type="dxa"/>
              <w:bottom w:w="80" w:type="dxa"/>
              <w:end w:w="100" w:type="dxa"/>
            </w:tcMar>
            <w:vAlign w:val="top"/>
          </w:tcPr>
          <w:p>
            <w:pPr>
              <w:spacing w:after="0"/>
            </w:pPr>
            <w:r>
              <w:rPr>
                <w:sz w:val="16"/>
              </w:rPr>
              <w:t>A grouping of unbounded events for aggregation.</w:t>
            </w:r>
          </w:p>
        </w:tc>
      </w:tr>
      <w:tr>
        <w:trPr>
          <w:cantSplit/>
        </w:trPr>
        <w:tc>
          <w:tcPr>
            <w:tcW w:type="dxa" w:w="2448"/>
            <w:tcMar>
              <w:top w:w="80" w:type="dxa"/>
              <w:start w:w="100" w:type="dxa"/>
              <w:bottom w:w="80" w:type="dxa"/>
              <w:end w:w="100" w:type="dxa"/>
            </w:tcMar>
            <w:vAlign w:val="top"/>
          </w:tcPr>
          <w:p>
            <w:pPr>
              <w:spacing w:after="0"/>
            </w:pPr>
            <w:r>
              <w:rPr>
                <w:sz w:val="16"/>
              </w:rPr>
              <w:t>Workload Identity Federation</w:t>
            </w:r>
          </w:p>
        </w:tc>
        <w:tc>
          <w:tcPr>
            <w:tcW w:type="dxa" w:w="7344"/>
            <w:tcMar>
              <w:top w:w="80" w:type="dxa"/>
              <w:start w:w="100" w:type="dxa"/>
              <w:bottom w:w="80" w:type="dxa"/>
              <w:end w:w="100" w:type="dxa"/>
            </w:tcMar>
            <w:vAlign w:val="top"/>
          </w:tcPr>
          <w:p>
            <w:pPr>
              <w:spacing w:after="0"/>
            </w:pPr>
            <w:r>
              <w:rPr>
                <w:sz w:val="16"/>
              </w:rPr>
              <w:t>Short-lived access from external or workload identities without downloaded service-account keys.</w:t>
            </w:r>
          </w:p>
        </w:tc>
      </w:tr>
    </w:tbl>
    <w:p>
      <w:pPr>
        <w:spacing w:after="20"/>
      </w:pPr>
    </w:p>
    <w:p>
      <w:pPr>
        <w:pStyle w:val="Heading1"/>
        <w:keepNext/>
      </w:pPr>
      <w:r>
        <w:t>Official Documentation Index</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024"/>
            <w:shd w:fill="1A73E8"/>
            <w:tcMar>
              <w:top w:w="80" w:type="dxa"/>
              <w:start w:w="100" w:type="dxa"/>
              <w:bottom w:w="80" w:type="dxa"/>
              <w:end w:w="100" w:type="dxa"/>
            </w:tcMar>
            <w:vAlign w:val="center"/>
          </w:tcPr>
          <w:p>
            <w:pPr>
              <w:jc w:val="center"/>
            </w:pPr>
            <w:r>
              <w:rPr>
                <w:b/>
                <w:color w:val="FFFFFF"/>
                <w:sz w:val="16"/>
              </w:rPr>
              <w:t>Service</w:t>
            </w:r>
          </w:p>
        </w:tc>
        <w:tc>
          <w:tcPr>
            <w:tcW w:type="dxa" w:w="6768"/>
            <w:shd w:fill="1A73E8"/>
            <w:tcMar>
              <w:top w:w="80" w:type="dxa"/>
              <w:start w:w="100" w:type="dxa"/>
              <w:bottom w:w="80" w:type="dxa"/>
              <w:end w:w="100" w:type="dxa"/>
            </w:tcMar>
            <w:vAlign w:val="center"/>
          </w:tcPr>
          <w:p>
            <w:pPr>
              <w:jc w:val="center"/>
            </w:pPr>
            <w:r>
              <w:rPr>
                <w:b/>
                <w:color w:val="FFFFFF"/>
                <w:sz w:val="16"/>
              </w:rPr>
              <w:t>Official Documentation</w:t>
            </w:r>
          </w:p>
        </w:tc>
      </w:tr>
      <w:tr>
        <w:trPr>
          <w:cantSplit/>
        </w:trPr>
        <w:tc>
          <w:tcPr>
            <w:tcW w:type="dxa" w:w="3024"/>
            <w:tcMar>
              <w:top w:w="80" w:type="dxa"/>
              <w:start w:w="100" w:type="dxa"/>
              <w:bottom w:w="80" w:type="dxa"/>
              <w:end w:w="100" w:type="dxa"/>
            </w:tcMar>
            <w:vAlign w:val="top"/>
          </w:tcPr>
          <w:p>
            <w:pPr>
              <w:spacing w:after="0"/>
            </w:pPr>
            <w:r>
              <w:rPr>
                <w:sz w:val="16"/>
              </w:rPr>
              <w:t>Cloud SQL</w:t>
            </w:r>
          </w:p>
        </w:tc>
        <w:tc>
          <w:tcPr>
            <w:tcW w:type="dxa" w:w="6768"/>
            <w:tcMar>
              <w:top w:w="80" w:type="dxa"/>
              <w:start w:w="100" w:type="dxa"/>
              <w:bottom w:w="80" w:type="dxa"/>
              <w:end w:w="100" w:type="dxa"/>
            </w:tcMar>
            <w:vAlign w:val="top"/>
          </w:tcPr>
          <w:p>
            <w:pPr>
              <w:spacing w:after="0"/>
            </w:pPr>
            <w:r>
              <w:rPr>
                <w:sz w:val="16"/>
              </w:rPr>
              <w:t>https://docs.cloud.google.com/sql/docs</w:t>
            </w:r>
          </w:p>
        </w:tc>
      </w:tr>
      <w:tr>
        <w:trPr>
          <w:cantSplit/>
        </w:trPr>
        <w:tc>
          <w:tcPr>
            <w:tcW w:type="dxa" w:w="3024"/>
            <w:tcMar>
              <w:top w:w="80" w:type="dxa"/>
              <w:start w:w="100" w:type="dxa"/>
              <w:bottom w:w="80" w:type="dxa"/>
              <w:end w:w="100" w:type="dxa"/>
            </w:tcMar>
            <w:vAlign w:val="top"/>
          </w:tcPr>
          <w:p>
            <w:pPr>
              <w:spacing w:after="0"/>
            </w:pPr>
            <w:r>
              <w:rPr>
                <w:sz w:val="16"/>
              </w:rPr>
              <w:t>AlloyDB for PostgreSQL</w:t>
            </w:r>
          </w:p>
        </w:tc>
        <w:tc>
          <w:tcPr>
            <w:tcW w:type="dxa" w:w="6768"/>
            <w:tcMar>
              <w:top w:w="80" w:type="dxa"/>
              <w:start w:w="100" w:type="dxa"/>
              <w:bottom w:w="80" w:type="dxa"/>
              <w:end w:w="100" w:type="dxa"/>
            </w:tcMar>
            <w:vAlign w:val="top"/>
          </w:tcPr>
          <w:p>
            <w:pPr>
              <w:spacing w:after="0"/>
            </w:pPr>
            <w:r>
              <w:rPr>
                <w:sz w:val="16"/>
              </w:rPr>
              <w:t>https://docs.cloud.google.com/alloydb/docs</w:t>
            </w:r>
          </w:p>
        </w:tc>
      </w:tr>
      <w:tr>
        <w:trPr>
          <w:cantSplit/>
        </w:trPr>
        <w:tc>
          <w:tcPr>
            <w:tcW w:type="dxa" w:w="3024"/>
            <w:tcMar>
              <w:top w:w="80" w:type="dxa"/>
              <w:start w:w="100" w:type="dxa"/>
              <w:bottom w:w="80" w:type="dxa"/>
              <w:end w:w="100" w:type="dxa"/>
            </w:tcMar>
            <w:vAlign w:val="top"/>
          </w:tcPr>
          <w:p>
            <w:pPr>
              <w:spacing w:after="0"/>
            </w:pPr>
            <w:r>
              <w:rPr>
                <w:sz w:val="16"/>
              </w:rPr>
              <w:t>Spanner</w:t>
            </w:r>
          </w:p>
        </w:tc>
        <w:tc>
          <w:tcPr>
            <w:tcW w:type="dxa" w:w="6768"/>
            <w:tcMar>
              <w:top w:w="80" w:type="dxa"/>
              <w:start w:w="100" w:type="dxa"/>
              <w:bottom w:w="80" w:type="dxa"/>
              <w:end w:w="100" w:type="dxa"/>
            </w:tcMar>
            <w:vAlign w:val="top"/>
          </w:tcPr>
          <w:p>
            <w:pPr>
              <w:spacing w:after="0"/>
            </w:pPr>
            <w:r>
              <w:rPr>
                <w:sz w:val="16"/>
              </w:rPr>
              <w:t>https://docs.cloud.google.com/spanner/docs</w:t>
            </w:r>
          </w:p>
        </w:tc>
      </w:tr>
      <w:tr>
        <w:trPr>
          <w:cantSplit/>
        </w:trPr>
        <w:tc>
          <w:tcPr>
            <w:tcW w:type="dxa" w:w="3024"/>
            <w:tcMar>
              <w:top w:w="80" w:type="dxa"/>
              <w:start w:w="100" w:type="dxa"/>
              <w:bottom w:w="80" w:type="dxa"/>
              <w:end w:w="100" w:type="dxa"/>
            </w:tcMar>
            <w:vAlign w:val="top"/>
          </w:tcPr>
          <w:p>
            <w:pPr>
              <w:spacing w:after="0"/>
            </w:pPr>
            <w:r>
              <w:rPr>
                <w:sz w:val="16"/>
              </w:rPr>
              <w:t>Firestore</w:t>
            </w:r>
          </w:p>
        </w:tc>
        <w:tc>
          <w:tcPr>
            <w:tcW w:type="dxa" w:w="6768"/>
            <w:tcMar>
              <w:top w:w="80" w:type="dxa"/>
              <w:start w:w="100" w:type="dxa"/>
              <w:bottom w:w="80" w:type="dxa"/>
              <w:end w:w="100" w:type="dxa"/>
            </w:tcMar>
            <w:vAlign w:val="top"/>
          </w:tcPr>
          <w:p>
            <w:pPr>
              <w:spacing w:after="0"/>
            </w:pPr>
            <w:r>
              <w:rPr>
                <w:sz w:val="16"/>
              </w:rPr>
              <w:t>https://docs.cloud.google.com/firestore/docs</w:t>
            </w:r>
          </w:p>
        </w:tc>
      </w:tr>
      <w:tr>
        <w:trPr>
          <w:cantSplit/>
        </w:trPr>
        <w:tc>
          <w:tcPr>
            <w:tcW w:type="dxa" w:w="3024"/>
            <w:tcMar>
              <w:top w:w="80" w:type="dxa"/>
              <w:start w:w="100" w:type="dxa"/>
              <w:bottom w:w="80" w:type="dxa"/>
              <w:end w:w="100" w:type="dxa"/>
            </w:tcMar>
            <w:vAlign w:val="top"/>
          </w:tcPr>
          <w:p>
            <w:pPr>
              <w:spacing w:after="0"/>
            </w:pPr>
            <w:r>
              <w:rPr>
                <w:sz w:val="16"/>
              </w:rPr>
              <w:t>Bigtable</w:t>
            </w:r>
          </w:p>
        </w:tc>
        <w:tc>
          <w:tcPr>
            <w:tcW w:type="dxa" w:w="6768"/>
            <w:tcMar>
              <w:top w:w="80" w:type="dxa"/>
              <w:start w:w="100" w:type="dxa"/>
              <w:bottom w:w="80" w:type="dxa"/>
              <w:end w:w="100" w:type="dxa"/>
            </w:tcMar>
            <w:vAlign w:val="top"/>
          </w:tcPr>
          <w:p>
            <w:pPr>
              <w:spacing w:after="0"/>
            </w:pPr>
            <w:r>
              <w:rPr>
                <w:sz w:val="16"/>
              </w:rPr>
              <w:t>https://docs.cloud.google.com/bigtable/docs</w:t>
            </w:r>
          </w:p>
        </w:tc>
      </w:tr>
      <w:tr>
        <w:trPr>
          <w:cantSplit/>
        </w:trPr>
        <w:tc>
          <w:tcPr>
            <w:tcW w:type="dxa" w:w="3024"/>
            <w:tcMar>
              <w:top w:w="80" w:type="dxa"/>
              <w:start w:w="100" w:type="dxa"/>
              <w:bottom w:w="80" w:type="dxa"/>
              <w:end w:w="100" w:type="dxa"/>
            </w:tcMar>
            <w:vAlign w:val="top"/>
          </w:tcPr>
          <w:p>
            <w:pPr>
              <w:spacing w:after="0"/>
            </w:pPr>
            <w:r>
              <w:rPr>
                <w:sz w:val="16"/>
              </w:rPr>
              <w:t>Memorystore</w:t>
            </w:r>
          </w:p>
        </w:tc>
        <w:tc>
          <w:tcPr>
            <w:tcW w:type="dxa" w:w="6768"/>
            <w:tcMar>
              <w:top w:w="80" w:type="dxa"/>
              <w:start w:w="100" w:type="dxa"/>
              <w:bottom w:w="80" w:type="dxa"/>
              <w:end w:w="100" w:type="dxa"/>
            </w:tcMar>
            <w:vAlign w:val="top"/>
          </w:tcPr>
          <w:p>
            <w:pPr>
              <w:spacing w:after="0"/>
            </w:pPr>
            <w:r>
              <w:rPr>
                <w:sz w:val="16"/>
              </w:rPr>
              <w:t>https://docs.cloud.google.com/memorystore/docs</w:t>
            </w:r>
          </w:p>
        </w:tc>
      </w:tr>
      <w:tr>
        <w:trPr>
          <w:cantSplit/>
        </w:trPr>
        <w:tc>
          <w:tcPr>
            <w:tcW w:type="dxa" w:w="3024"/>
            <w:tcMar>
              <w:top w:w="80" w:type="dxa"/>
              <w:start w:w="100" w:type="dxa"/>
              <w:bottom w:w="80" w:type="dxa"/>
              <w:end w:w="100" w:type="dxa"/>
            </w:tcMar>
            <w:vAlign w:val="top"/>
          </w:tcPr>
          <w:p>
            <w:pPr>
              <w:spacing w:after="0"/>
            </w:pPr>
            <w:r>
              <w:rPr>
                <w:sz w:val="16"/>
              </w:rPr>
              <w:t>BigQuery</w:t>
            </w:r>
          </w:p>
        </w:tc>
        <w:tc>
          <w:tcPr>
            <w:tcW w:type="dxa" w:w="6768"/>
            <w:tcMar>
              <w:top w:w="80" w:type="dxa"/>
              <w:start w:w="100" w:type="dxa"/>
              <w:bottom w:w="80" w:type="dxa"/>
              <w:end w:w="100" w:type="dxa"/>
            </w:tcMar>
            <w:vAlign w:val="top"/>
          </w:tcPr>
          <w:p>
            <w:pPr>
              <w:spacing w:after="0"/>
            </w:pPr>
            <w:r>
              <w:rPr>
                <w:sz w:val="16"/>
              </w:rPr>
              <w:t>https://docs.cloud.google.com/bigquery/docs</w:t>
            </w:r>
          </w:p>
        </w:tc>
      </w:tr>
      <w:tr>
        <w:trPr>
          <w:cantSplit/>
        </w:trPr>
        <w:tc>
          <w:tcPr>
            <w:tcW w:type="dxa" w:w="3024"/>
            <w:tcMar>
              <w:top w:w="80" w:type="dxa"/>
              <w:start w:w="100" w:type="dxa"/>
              <w:bottom w:w="80" w:type="dxa"/>
              <w:end w:w="100" w:type="dxa"/>
            </w:tcMar>
            <w:vAlign w:val="top"/>
          </w:tcPr>
          <w:p>
            <w:pPr>
              <w:spacing w:after="0"/>
            </w:pPr>
            <w:r>
              <w:rPr>
                <w:sz w:val="16"/>
              </w:rPr>
              <w:t>BigLake</w:t>
            </w:r>
          </w:p>
        </w:tc>
        <w:tc>
          <w:tcPr>
            <w:tcW w:type="dxa" w:w="6768"/>
            <w:tcMar>
              <w:top w:w="80" w:type="dxa"/>
              <w:start w:w="100" w:type="dxa"/>
              <w:bottom w:w="80" w:type="dxa"/>
              <w:end w:w="100" w:type="dxa"/>
            </w:tcMar>
            <w:vAlign w:val="top"/>
          </w:tcPr>
          <w:p>
            <w:pPr>
              <w:spacing w:after="0"/>
            </w:pPr>
            <w:r>
              <w:rPr>
                <w:sz w:val="16"/>
              </w:rPr>
              <w:t>https://docs.cloud.google.com/biglake/docs</w:t>
            </w:r>
          </w:p>
        </w:tc>
      </w:tr>
      <w:tr>
        <w:trPr>
          <w:cantSplit/>
        </w:trPr>
        <w:tc>
          <w:tcPr>
            <w:tcW w:type="dxa" w:w="3024"/>
            <w:tcMar>
              <w:top w:w="80" w:type="dxa"/>
              <w:start w:w="100" w:type="dxa"/>
              <w:bottom w:w="80" w:type="dxa"/>
              <w:end w:w="100" w:type="dxa"/>
            </w:tcMar>
            <w:vAlign w:val="top"/>
          </w:tcPr>
          <w:p>
            <w:pPr>
              <w:spacing w:after="0"/>
            </w:pPr>
            <w:r>
              <w:rPr>
                <w:sz w:val="16"/>
              </w:rPr>
              <w:t>Dataplex Universal Catalog</w:t>
            </w:r>
          </w:p>
        </w:tc>
        <w:tc>
          <w:tcPr>
            <w:tcW w:type="dxa" w:w="6768"/>
            <w:tcMar>
              <w:top w:w="80" w:type="dxa"/>
              <w:start w:w="100" w:type="dxa"/>
              <w:bottom w:w="80" w:type="dxa"/>
              <w:end w:w="100" w:type="dxa"/>
            </w:tcMar>
            <w:vAlign w:val="top"/>
          </w:tcPr>
          <w:p>
            <w:pPr>
              <w:spacing w:after="0"/>
            </w:pPr>
            <w:r>
              <w:rPr>
                <w:sz w:val="16"/>
              </w:rPr>
              <w:t>https://docs.cloud.google.com/dataplex/docs</w:t>
            </w:r>
          </w:p>
        </w:tc>
      </w:tr>
      <w:tr>
        <w:trPr>
          <w:cantSplit/>
        </w:trPr>
        <w:tc>
          <w:tcPr>
            <w:tcW w:type="dxa" w:w="3024"/>
            <w:tcMar>
              <w:top w:w="80" w:type="dxa"/>
              <w:start w:w="100" w:type="dxa"/>
              <w:bottom w:w="80" w:type="dxa"/>
              <w:end w:w="100" w:type="dxa"/>
            </w:tcMar>
            <w:vAlign w:val="top"/>
          </w:tcPr>
          <w:p>
            <w:pPr>
              <w:spacing w:after="0"/>
            </w:pPr>
            <w:r>
              <w:rPr>
                <w:sz w:val="16"/>
              </w:rPr>
              <w:t>Pub/Sub</w:t>
            </w:r>
          </w:p>
        </w:tc>
        <w:tc>
          <w:tcPr>
            <w:tcW w:type="dxa" w:w="6768"/>
            <w:tcMar>
              <w:top w:w="80" w:type="dxa"/>
              <w:start w:w="100" w:type="dxa"/>
              <w:bottom w:w="80" w:type="dxa"/>
              <w:end w:w="100" w:type="dxa"/>
            </w:tcMar>
            <w:vAlign w:val="top"/>
          </w:tcPr>
          <w:p>
            <w:pPr>
              <w:spacing w:after="0"/>
            </w:pPr>
            <w:r>
              <w:rPr>
                <w:sz w:val="16"/>
              </w:rPr>
              <w:t>https://docs.cloud.google.com/pubsub/docs</w:t>
            </w:r>
          </w:p>
        </w:tc>
      </w:tr>
      <w:tr>
        <w:trPr>
          <w:cantSplit/>
        </w:trPr>
        <w:tc>
          <w:tcPr>
            <w:tcW w:type="dxa" w:w="3024"/>
            <w:tcMar>
              <w:top w:w="80" w:type="dxa"/>
              <w:start w:w="100" w:type="dxa"/>
              <w:bottom w:w="80" w:type="dxa"/>
              <w:end w:w="100" w:type="dxa"/>
            </w:tcMar>
            <w:vAlign w:val="top"/>
          </w:tcPr>
          <w:p>
            <w:pPr>
              <w:spacing w:after="0"/>
            </w:pPr>
            <w:r>
              <w:rPr>
                <w:sz w:val="16"/>
              </w:rPr>
              <w:t>Dataflow</w:t>
            </w:r>
          </w:p>
        </w:tc>
        <w:tc>
          <w:tcPr>
            <w:tcW w:type="dxa" w:w="6768"/>
            <w:tcMar>
              <w:top w:w="80" w:type="dxa"/>
              <w:start w:w="100" w:type="dxa"/>
              <w:bottom w:w="80" w:type="dxa"/>
              <w:end w:w="100" w:type="dxa"/>
            </w:tcMar>
            <w:vAlign w:val="top"/>
          </w:tcPr>
          <w:p>
            <w:pPr>
              <w:spacing w:after="0"/>
            </w:pPr>
            <w:r>
              <w:rPr>
                <w:sz w:val="16"/>
              </w:rPr>
              <w:t>https://docs.cloud.google.com/dataflow/docs</w:t>
            </w:r>
          </w:p>
        </w:tc>
      </w:tr>
      <w:tr>
        <w:trPr>
          <w:cantSplit/>
        </w:trPr>
        <w:tc>
          <w:tcPr>
            <w:tcW w:type="dxa" w:w="3024"/>
            <w:tcMar>
              <w:top w:w="80" w:type="dxa"/>
              <w:start w:w="100" w:type="dxa"/>
              <w:bottom w:w="80" w:type="dxa"/>
              <w:end w:w="100" w:type="dxa"/>
            </w:tcMar>
            <w:vAlign w:val="top"/>
          </w:tcPr>
          <w:p>
            <w:pPr>
              <w:spacing w:after="0"/>
            </w:pPr>
            <w:r>
              <w:rPr>
                <w:sz w:val="16"/>
              </w:rPr>
              <w:t>Managed Service for Apache Spark</w:t>
            </w:r>
          </w:p>
        </w:tc>
        <w:tc>
          <w:tcPr>
            <w:tcW w:type="dxa" w:w="6768"/>
            <w:tcMar>
              <w:top w:w="80" w:type="dxa"/>
              <w:start w:w="100" w:type="dxa"/>
              <w:bottom w:w="80" w:type="dxa"/>
              <w:end w:w="100" w:type="dxa"/>
            </w:tcMar>
            <w:vAlign w:val="top"/>
          </w:tcPr>
          <w:p>
            <w:pPr>
              <w:spacing w:after="0"/>
            </w:pPr>
            <w:r>
              <w:rPr>
                <w:sz w:val="16"/>
              </w:rPr>
              <w:t>https://docs.cloud.google.com/managed-spark/docs</w:t>
            </w:r>
          </w:p>
        </w:tc>
      </w:tr>
      <w:tr>
        <w:trPr>
          <w:cantSplit/>
        </w:trPr>
        <w:tc>
          <w:tcPr>
            <w:tcW w:type="dxa" w:w="3024"/>
            <w:tcMar>
              <w:top w:w="80" w:type="dxa"/>
              <w:start w:w="100" w:type="dxa"/>
              <w:bottom w:w="80" w:type="dxa"/>
              <w:end w:w="100" w:type="dxa"/>
            </w:tcMar>
            <w:vAlign w:val="top"/>
          </w:tcPr>
          <w:p>
            <w:pPr>
              <w:spacing w:after="0"/>
            </w:pPr>
            <w:r>
              <w:rPr>
                <w:sz w:val="16"/>
              </w:rPr>
              <w:t>Database Migration Service</w:t>
            </w:r>
          </w:p>
        </w:tc>
        <w:tc>
          <w:tcPr>
            <w:tcW w:type="dxa" w:w="6768"/>
            <w:tcMar>
              <w:top w:w="80" w:type="dxa"/>
              <w:start w:w="100" w:type="dxa"/>
              <w:bottom w:w="80" w:type="dxa"/>
              <w:end w:w="100" w:type="dxa"/>
            </w:tcMar>
            <w:vAlign w:val="top"/>
          </w:tcPr>
          <w:p>
            <w:pPr>
              <w:spacing w:after="0"/>
            </w:pPr>
            <w:r>
              <w:rPr>
                <w:sz w:val="16"/>
              </w:rPr>
              <w:t>https://docs.cloud.google.com/database-migration/docs</w:t>
            </w:r>
          </w:p>
        </w:tc>
      </w:tr>
      <w:tr>
        <w:trPr>
          <w:cantSplit/>
        </w:trPr>
        <w:tc>
          <w:tcPr>
            <w:tcW w:type="dxa" w:w="3024"/>
            <w:tcMar>
              <w:top w:w="80" w:type="dxa"/>
              <w:start w:w="100" w:type="dxa"/>
              <w:bottom w:w="80" w:type="dxa"/>
              <w:end w:w="100" w:type="dxa"/>
            </w:tcMar>
            <w:vAlign w:val="top"/>
          </w:tcPr>
          <w:p>
            <w:pPr>
              <w:spacing w:after="0"/>
            </w:pPr>
            <w:r>
              <w:rPr>
                <w:sz w:val="16"/>
              </w:rPr>
              <w:t>Datastream</w:t>
            </w:r>
          </w:p>
        </w:tc>
        <w:tc>
          <w:tcPr>
            <w:tcW w:type="dxa" w:w="6768"/>
            <w:tcMar>
              <w:top w:w="80" w:type="dxa"/>
              <w:start w:w="100" w:type="dxa"/>
              <w:bottom w:w="80" w:type="dxa"/>
              <w:end w:w="100" w:type="dxa"/>
            </w:tcMar>
            <w:vAlign w:val="top"/>
          </w:tcPr>
          <w:p>
            <w:pPr>
              <w:spacing w:after="0"/>
            </w:pPr>
            <w:r>
              <w:rPr>
                <w:sz w:val="16"/>
              </w:rPr>
              <w:t>https://docs.cloud.google.com/datastream/docs</w:t>
            </w:r>
          </w:p>
        </w:tc>
      </w:tr>
      <w:tr>
        <w:trPr>
          <w:cantSplit/>
        </w:trPr>
        <w:tc>
          <w:tcPr>
            <w:tcW w:type="dxa" w:w="3024"/>
            <w:tcMar>
              <w:top w:w="80" w:type="dxa"/>
              <w:start w:w="100" w:type="dxa"/>
              <w:bottom w:w="80" w:type="dxa"/>
              <w:end w:w="100" w:type="dxa"/>
            </w:tcMar>
            <w:vAlign w:val="top"/>
          </w:tcPr>
          <w:p>
            <w:pPr>
              <w:spacing w:after="0"/>
            </w:pPr>
            <w:r>
              <w:rPr>
                <w:sz w:val="16"/>
              </w:rPr>
              <w:t>Storage Transfer Service</w:t>
            </w:r>
          </w:p>
        </w:tc>
        <w:tc>
          <w:tcPr>
            <w:tcW w:type="dxa" w:w="6768"/>
            <w:tcMar>
              <w:top w:w="80" w:type="dxa"/>
              <w:start w:w="100" w:type="dxa"/>
              <w:bottom w:w="80" w:type="dxa"/>
              <w:end w:w="100" w:type="dxa"/>
            </w:tcMar>
            <w:vAlign w:val="top"/>
          </w:tcPr>
          <w:p>
            <w:pPr>
              <w:spacing w:after="0"/>
            </w:pPr>
            <w:r>
              <w:rPr>
                <w:sz w:val="16"/>
              </w:rPr>
              <w:t>https://docs.cloud.google.com/storage-transfer/docs</w:t>
            </w:r>
          </w:p>
        </w:tc>
      </w:tr>
      <w:tr>
        <w:trPr>
          <w:cantSplit/>
        </w:trPr>
        <w:tc>
          <w:tcPr>
            <w:tcW w:type="dxa" w:w="3024"/>
            <w:tcMar>
              <w:top w:w="80" w:type="dxa"/>
              <w:start w:w="100" w:type="dxa"/>
              <w:bottom w:w="80" w:type="dxa"/>
              <w:end w:w="100" w:type="dxa"/>
            </w:tcMar>
            <w:vAlign w:val="top"/>
          </w:tcPr>
          <w:p>
            <w:pPr>
              <w:spacing w:after="0"/>
            </w:pPr>
            <w:r>
              <w:rPr>
                <w:sz w:val="16"/>
              </w:rPr>
              <w:t>Cloud Architecture Center - Data</w:t>
            </w:r>
          </w:p>
        </w:tc>
        <w:tc>
          <w:tcPr>
            <w:tcW w:type="dxa" w:w="6768"/>
            <w:tcMar>
              <w:top w:w="80" w:type="dxa"/>
              <w:start w:w="100" w:type="dxa"/>
              <w:bottom w:w="80" w:type="dxa"/>
              <w:end w:w="100" w:type="dxa"/>
            </w:tcMar>
            <w:vAlign w:val="top"/>
          </w:tcPr>
          <w:p>
            <w:pPr>
              <w:spacing w:after="0"/>
            </w:pPr>
            <w:r>
              <w:rPr>
                <w:sz w:val="16"/>
              </w:rPr>
              <w:t>https://docs.cloud.google.com/architecture/data-analytics</w:t>
            </w:r>
          </w:p>
        </w:tc>
      </w:tr>
    </w:tbl>
    <w:p>
      <w:pPr>
        <w:spacing w:after="20"/>
      </w:pPr>
    </w:p>
    <w:p>
      <w:pPr>
        <w:spacing w:after="120"/>
      </w:pPr>
      <w:r>
        <w:rPr>
          <w:i w:val="0"/>
        </w:rPr>
        <w:t>Cloud services change continuously. Recheck editions, regions, limits, compatibility, deprecations, pricing, and command syntax against official documentation before production implementation.</w:t>
      </w:r>
    </w:p>
    <w:p>
      <w:pPr>
        <w:spacing w:before="240" w:after="240"/>
        <w:jc w:val="center"/>
      </w:pPr>
      <w:r>
        <w:rPr>
          <w:b/>
          <w:color w:val="174EA6"/>
          <w:sz w:val="22"/>
        </w:rPr>
        <w:t>END OF VOLUME 8C  |  NEXT: VOLUME 8D - GOOGLE CLOUD CONTAINERS, SERVERLESS, APIS, EVENTS, AND WORKFLOWS</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8C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4EA6"/>
        <w:sz w:val="16"/>
      </w:rPr>
      <w:t>DEVOPS MASTER COURSE  |  VOLUME 8C - GOOGLE CLOUD DATA PLATFORMS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10"/>
    </w:pPr>
    <w:rPr>
      <w:rFonts w:ascii="Aptos" w:hAnsi="Aptos"/>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8C: Google Cloud Data Platforms</dc:title>
  <dc:subject>Cloud SQL, AlloyDB, Spanner, Firestore, Bigtable, Memorystore, BigQuery, BigLake, Dataplex, Pub/Sub, Dataflow, Spark, migration, governance, and AI-ready data platforms</dc:subject>
  <dc:creator>DevOps Master Course</dc:creator>
  <cp:keywords>Google Cloud, GCP, Cloud SQL, AlloyDB, Spanner, Firestore, Bigtable, Memorystore, Valkey, BigQuery, BigLake, Dataplex, Pub/Sub, Dataflow, Managed Service for Apache Spark, Datastream, Database Migration Service</cp:keywords>
  <dc:description>2026 Edition</dc:description>
  <cp:lastModifiedBy/>
  <cp:revision>1</cp:revision>
  <dcterms:created xsi:type="dcterms:W3CDTF">2013-12-23T23:15:00Z</dcterms:created>
  <dcterms:modified xsi:type="dcterms:W3CDTF">2013-12-23T23:15:00Z</dcterms:modified>
  <cp:category/>
</cp:coreProperties>
</file>