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spacing w:after="160"/>
        <w:jc w:val="center"/>
      </w:pPr>
      <w:r>
        <w:rPr>
          <w:rFonts w:ascii="Aptos Display" w:hAnsi="Aptos Display"/>
          <w:b/>
          <w:color w:val="174EA6"/>
          <w:sz w:val="38"/>
        </w:rPr>
        <w:t>DEVOPS MASTER COURSE</w:t>
      </w:r>
    </w:p>
    <w:p>
      <w:pPr>
        <w:spacing w:after="200"/>
        <w:jc w:val="center"/>
      </w:pPr>
      <w:r>
        <w:rPr>
          <w:rFonts w:ascii="Aptos Display" w:hAnsi="Aptos Display"/>
          <w:b/>
          <w:color w:val="1A73E8"/>
          <w:sz w:val="50"/>
        </w:rPr>
        <w:t>Volume 8D</w:t>
      </w:r>
    </w:p>
    <w:p>
      <w:pPr>
        <w:spacing w:after="200"/>
        <w:jc w:val="center"/>
      </w:pPr>
      <w:r>
        <w:rPr>
          <w:rFonts w:ascii="Aptos Display" w:hAnsi="Aptos Display"/>
          <w:b/>
          <w:color w:val="174EA6"/>
          <w:sz w:val="50"/>
        </w:rPr>
        <w:t>Google Cloud Containers, Serverless, APIs, Events, and Workflows</w:t>
      </w:r>
    </w:p>
    <w:p>
      <w:pPr>
        <w:spacing w:after="600"/>
        <w:jc w:val="center"/>
      </w:pPr>
      <w:r>
        <w:rPr>
          <w:rFonts w:ascii="Aptos Display" w:hAnsi="Aptos Display"/>
          <w:b/>
          <w:color w:val="4285F4"/>
          <w:sz w:val="36"/>
        </w:rPr>
        <w:t>Chapters 31-40</w:t>
      </w:r>
    </w:p>
    <w:tbl>
      <w:tblPr>
        <w:tblW w:type="auto" w:w="0"/>
        <w:jc w:val="center"/>
        <w:tblLayout w:type="fixed"/>
        <w:tblLook w:firstColumn="1" w:firstRow="1" w:lastColumn="0" w:lastRow="0" w:noHBand="0" w:noVBand="1" w:val="04A0"/>
      </w:tblPr>
      <w:tblGrid>
        <w:gridCol w:w="10166"/>
      </w:tblGrid>
      <w:tr>
        <w:trPr>
          <w:tblHeader w:val="true"/>
          <w:tblHeader w:val="true"/>
        </w:trPr>
        <w:tc>
          <w:tcPr>
            <w:tcW w:type="dxa" w:w="10080"/>
            <w:shd w:fill="1A73E8"/>
            <w:tcMar>
              <w:top w:w="160" w:type="dxa"/>
              <w:start w:w="120" w:type="dxa"/>
              <w:bottom w:w="160" w:type="dxa"/>
              <w:end w:w="120" w:type="dxa"/>
            </w:tcMar>
          </w:tcPr>
          <w:p>
            <w:pPr>
              <w:jc w:val="center"/>
            </w:pPr>
            <w:r>
              <w:rPr>
                <w:b/>
                <w:color w:val="FFFFFF"/>
                <w:sz w:val="20"/>
              </w:rPr>
              <w:t>Artifact Registry • GKE • Cloud Run • Functions • API Management • Pub/Sub • Eventarc • Workflows • Tasks • Cloud-Native Capstone</w:t>
            </w:r>
          </w:p>
        </w:tc>
      </w:tr>
    </w:tbl>
    <w:p>
      <w:pPr>
        <w:spacing w:after="360"/>
        <w:jc w:val="center"/>
      </w:pPr>
      <w:r>
        <w:rPr>
          <w:rFonts w:ascii="Aptos Display" w:hAnsi="Aptos Display"/>
          <w:b w:val="0"/>
          <w:color w:val="505050"/>
          <w:sz w:val="22"/>
        </w:rPr>
        <w:t>2026 Edition</w:t>
      </w:r>
    </w:p>
    <w:p>
      <w:r>
        <w:br w:type="page"/>
      </w:r>
    </w:p>
    <w:p>
      <w:pPr>
        <w:pStyle w:val="Heading1"/>
        <w:keepNext/>
      </w:pPr>
      <w:r>
        <w:t>About This Part</w:t>
      </w:r>
    </w:p>
    <w:p>
      <w:pPr>
        <w:spacing w:after="120"/>
      </w:pPr>
      <w:r>
        <w:rPr>
          <w:i w:val="0"/>
        </w:rPr>
        <w:t>Volume 8D develops production judgment for containerized and event-driven application platforms on Google Cloud. The objective is not to deploy a sample and stop. It is to build a trustworthy software supply chain, select the right runtime, design identity and networking, control traffic and concurrency, engineer asynchronous delivery, and prove recovery under failure.</w:t>
      </w:r>
    </w:p>
    <w:p>
      <w:pPr>
        <w:spacing w:after="120"/>
      </w:pPr>
      <w:r>
        <w:rPr>
          <w:i w:val="0"/>
        </w:rPr>
        <w:t>The chapters progress from artifact integrity to Kubernetes, serverless containers, functions, APIs, messaging, event routing, and workflow orchestration. Each lab requires measurable evidence, least-privilege identities, controlled rollout, observability, failure testing, and cleanup.</w:t>
      </w:r>
    </w:p>
    <w:p>
      <w:pPr>
        <w:pStyle w:val="Heading1"/>
        <w:keepNext/>
      </w:pPr>
      <w:r>
        <w:t>Volume 8 Progress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864"/>
            <w:shd w:fill="1A73E8"/>
            <w:tcMar>
              <w:top w:w="80" w:type="dxa"/>
              <w:start w:w="100" w:type="dxa"/>
              <w:bottom w:w="80" w:type="dxa"/>
              <w:end w:w="100" w:type="dxa"/>
            </w:tcMar>
            <w:vAlign w:val="center"/>
          </w:tcPr>
          <w:p>
            <w:pPr>
              <w:jc w:val="center"/>
            </w:pPr>
            <w:r>
              <w:rPr>
                <w:b/>
                <w:color w:val="FFFFFF"/>
                <w:sz w:val="16"/>
              </w:rPr>
              <w:t>Part</w:t>
            </w:r>
          </w:p>
        </w:tc>
        <w:tc>
          <w:tcPr>
            <w:tcW w:type="dxa" w:w="6912"/>
            <w:shd w:fill="1A73E8"/>
            <w:tcMar>
              <w:top w:w="80" w:type="dxa"/>
              <w:start w:w="100" w:type="dxa"/>
              <w:bottom w:w="80" w:type="dxa"/>
              <w:end w:w="100" w:type="dxa"/>
            </w:tcMar>
            <w:vAlign w:val="center"/>
          </w:tcPr>
          <w:p>
            <w:pPr>
              <w:jc w:val="center"/>
            </w:pPr>
            <w:r>
              <w:rPr>
                <w:b/>
                <w:color w:val="FFFFFF"/>
                <w:sz w:val="16"/>
              </w:rPr>
              <w:t>Coverage</w:t>
            </w:r>
          </w:p>
        </w:tc>
        <w:tc>
          <w:tcPr>
            <w:tcW w:type="dxa" w:w="1584"/>
            <w:shd w:fill="1A73E8"/>
            <w:tcMar>
              <w:top w:w="80" w:type="dxa"/>
              <w:start w:w="100" w:type="dxa"/>
              <w:bottom w:w="80" w:type="dxa"/>
              <w:end w:w="100" w:type="dxa"/>
            </w:tcMar>
            <w:vAlign w:val="center"/>
          </w:tcPr>
          <w:p>
            <w:pPr>
              <w:jc w:val="center"/>
            </w:pPr>
            <w:r>
              <w:rPr>
                <w:b/>
                <w:color w:val="FFFFFF"/>
                <w:sz w:val="16"/>
              </w:rPr>
              <w:t>Status</w:t>
            </w:r>
          </w:p>
        </w:tc>
      </w:tr>
      <w:tr>
        <w:trPr>
          <w:cantSplit/>
        </w:trPr>
        <w:tc>
          <w:tcPr>
            <w:tcW w:type="dxa" w:w="864"/>
            <w:tcMar>
              <w:top w:w="80" w:type="dxa"/>
              <w:start w:w="100" w:type="dxa"/>
              <w:bottom w:w="80" w:type="dxa"/>
              <w:end w:w="100" w:type="dxa"/>
            </w:tcMar>
            <w:vAlign w:val="top"/>
          </w:tcPr>
          <w:p>
            <w:pPr>
              <w:spacing w:after="0"/>
            </w:pPr>
            <w:r>
              <w:rPr>
                <w:sz w:val="16"/>
              </w:rPr>
              <w:t>8A</w:t>
            </w:r>
          </w:p>
        </w:tc>
        <w:tc>
          <w:tcPr>
            <w:tcW w:type="dxa" w:w="6912"/>
            <w:tcMar>
              <w:top w:w="80" w:type="dxa"/>
              <w:start w:w="100" w:type="dxa"/>
              <w:bottom w:w="80" w:type="dxa"/>
              <w:end w:w="100" w:type="dxa"/>
            </w:tcMar>
            <w:vAlign w:val="top"/>
          </w:tcPr>
          <w:p>
            <w:pPr>
              <w:spacing w:after="0"/>
            </w:pPr>
            <w:r>
              <w:rPr>
                <w:sz w:val="16"/>
              </w:rPr>
              <w:t>Foundations: hierarchy, IAM, tools, compute, VPC, billing</w:t>
            </w:r>
          </w:p>
        </w:tc>
        <w:tc>
          <w:tcPr>
            <w:tcW w:type="dxa" w:w="1584"/>
            <w:tcMar>
              <w:top w:w="80" w:type="dxa"/>
              <w:start w:w="100" w:type="dxa"/>
              <w:bottom w:w="80" w:type="dxa"/>
              <w:end w:w="100" w:type="dxa"/>
            </w:tcMar>
            <w:vAlign w:val="top"/>
          </w:tcPr>
          <w:p>
            <w:pPr>
              <w:spacing w:after="0"/>
            </w:pPr>
            <w:r>
              <w:rPr>
                <w:sz w:val="16"/>
              </w:rPr>
              <w:t>Complete</w:t>
            </w:r>
          </w:p>
        </w:tc>
      </w:tr>
      <w:tr>
        <w:trPr>
          <w:cantSplit/>
        </w:trPr>
        <w:tc>
          <w:tcPr>
            <w:tcW w:type="dxa" w:w="864"/>
            <w:tcMar>
              <w:top w:w="80" w:type="dxa"/>
              <w:start w:w="100" w:type="dxa"/>
              <w:bottom w:w="80" w:type="dxa"/>
              <w:end w:w="100" w:type="dxa"/>
            </w:tcMar>
            <w:vAlign w:val="top"/>
          </w:tcPr>
          <w:p>
            <w:pPr>
              <w:spacing w:after="0"/>
            </w:pPr>
            <w:r>
              <w:rPr>
                <w:sz w:val="16"/>
              </w:rPr>
              <w:t>8B</w:t>
            </w:r>
          </w:p>
        </w:tc>
        <w:tc>
          <w:tcPr>
            <w:tcW w:type="dxa" w:w="6912"/>
            <w:tcMar>
              <w:top w:w="80" w:type="dxa"/>
              <w:start w:w="100" w:type="dxa"/>
              <w:bottom w:w="80" w:type="dxa"/>
              <w:end w:w="100" w:type="dxa"/>
            </w:tcMar>
            <w:vAlign w:val="top"/>
          </w:tcPr>
          <w:p>
            <w:pPr>
              <w:spacing w:after="0"/>
            </w:pPr>
            <w:r>
              <w:rPr>
                <w:sz w:val="16"/>
              </w:rPr>
              <w:t>Core infrastructure: fleets, networking, delivery, storage, connectivity, DR</w:t>
            </w:r>
          </w:p>
        </w:tc>
        <w:tc>
          <w:tcPr>
            <w:tcW w:type="dxa" w:w="1584"/>
            <w:tcMar>
              <w:top w:w="80" w:type="dxa"/>
              <w:start w:w="100" w:type="dxa"/>
              <w:bottom w:w="80" w:type="dxa"/>
              <w:end w:w="100" w:type="dxa"/>
            </w:tcMar>
            <w:vAlign w:val="top"/>
          </w:tcPr>
          <w:p>
            <w:pPr>
              <w:spacing w:after="0"/>
            </w:pPr>
            <w:r>
              <w:rPr>
                <w:sz w:val="16"/>
              </w:rPr>
              <w:t>Complete</w:t>
            </w:r>
          </w:p>
        </w:tc>
      </w:tr>
      <w:tr>
        <w:trPr>
          <w:cantSplit/>
        </w:trPr>
        <w:tc>
          <w:tcPr>
            <w:tcW w:type="dxa" w:w="864"/>
            <w:tcMar>
              <w:top w:w="80" w:type="dxa"/>
              <w:start w:w="100" w:type="dxa"/>
              <w:bottom w:w="80" w:type="dxa"/>
              <w:end w:w="100" w:type="dxa"/>
            </w:tcMar>
            <w:vAlign w:val="top"/>
          </w:tcPr>
          <w:p>
            <w:pPr>
              <w:spacing w:after="0"/>
            </w:pPr>
            <w:r>
              <w:rPr>
                <w:sz w:val="16"/>
              </w:rPr>
              <w:t>8C</w:t>
            </w:r>
          </w:p>
        </w:tc>
        <w:tc>
          <w:tcPr>
            <w:tcW w:type="dxa" w:w="6912"/>
            <w:tcMar>
              <w:top w:w="80" w:type="dxa"/>
              <w:start w:w="100" w:type="dxa"/>
              <w:bottom w:w="80" w:type="dxa"/>
              <w:end w:w="100" w:type="dxa"/>
            </w:tcMar>
            <w:vAlign w:val="top"/>
          </w:tcPr>
          <w:p>
            <w:pPr>
              <w:spacing w:after="0"/>
            </w:pPr>
            <w:r>
              <w:rPr>
                <w:sz w:val="16"/>
              </w:rPr>
              <w:t>Databases, analytics, data engineering, AI-ready platforms, migration</w:t>
            </w:r>
          </w:p>
        </w:tc>
        <w:tc>
          <w:tcPr>
            <w:tcW w:type="dxa" w:w="1584"/>
            <w:tcMar>
              <w:top w:w="80" w:type="dxa"/>
              <w:start w:w="100" w:type="dxa"/>
              <w:bottom w:w="80" w:type="dxa"/>
              <w:end w:w="100" w:type="dxa"/>
            </w:tcMar>
            <w:vAlign w:val="top"/>
          </w:tcPr>
          <w:p>
            <w:pPr>
              <w:spacing w:after="0"/>
            </w:pPr>
            <w:r>
              <w:rPr>
                <w:sz w:val="16"/>
              </w:rPr>
              <w:t>Complete</w:t>
            </w:r>
          </w:p>
        </w:tc>
      </w:tr>
      <w:tr>
        <w:trPr>
          <w:cantSplit/>
        </w:trPr>
        <w:tc>
          <w:tcPr>
            <w:tcW w:type="dxa" w:w="864"/>
            <w:tcMar>
              <w:top w:w="80" w:type="dxa"/>
              <w:start w:w="100" w:type="dxa"/>
              <w:bottom w:w="80" w:type="dxa"/>
              <w:end w:w="100" w:type="dxa"/>
            </w:tcMar>
            <w:vAlign w:val="top"/>
          </w:tcPr>
          <w:p>
            <w:pPr>
              <w:spacing w:after="0"/>
            </w:pPr>
            <w:r>
              <w:rPr>
                <w:sz w:val="16"/>
              </w:rPr>
              <w:t>8D</w:t>
            </w:r>
          </w:p>
        </w:tc>
        <w:tc>
          <w:tcPr>
            <w:tcW w:type="dxa" w:w="6912"/>
            <w:tcMar>
              <w:top w:w="80" w:type="dxa"/>
              <w:start w:w="100" w:type="dxa"/>
              <w:bottom w:w="80" w:type="dxa"/>
              <w:end w:w="100" w:type="dxa"/>
            </w:tcMar>
            <w:vAlign w:val="top"/>
          </w:tcPr>
          <w:p>
            <w:pPr>
              <w:spacing w:after="0"/>
            </w:pPr>
            <w:r>
              <w:rPr>
                <w:sz w:val="16"/>
              </w:rPr>
              <w:t>Containers, serverless, APIs, events, and workflows</w:t>
            </w:r>
          </w:p>
        </w:tc>
        <w:tc>
          <w:tcPr>
            <w:tcW w:type="dxa" w:w="1584"/>
            <w:tcMar>
              <w:top w:w="80" w:type="dxa"/>
              <w:start w:w="100" w:type="dxa"/>
              <w:bottom w:w="80" w:type="dxa"/>
              <w:end w:w="100" w:type="dxa"/>
            </w:tcMar>
            <w:vAlign w:val="top"/>
          </w:tcPr>
          <w:p>
            <w:pPr>
              <w:spacing w:after="0"/>
            </w:pPr>
            <w:r>
              <w:rPr>
                <w:sz w:val="16"/>
              </w:rPr>
              <w:t>This book</w:t>
            </w:r>
          </w:p>
        </w:tc>
      </w:tr>
      <w:tr>
        <w:trPr>
          <w:cantSplit/>
        </w:trPr>
        <w:tc>
          <w:tcPr>
            <w:tcW w:type="dxa" w:w="864"/>
            <w:tcMar>
              <w:top w:w="80" w:type="dxa"/>
              <w:start w:w="100" w:type="dxa"/>
              <w:bottom w:w="80" w:type="dxa"/>
              <w:end w:w="100" w:type="dxa"/>
            </w:tcMar>
            <w:vAlign w:val="top"/>
          </w:tcPr>
          <w:p>
            <w:pPr>
              <w:spacing w:after="0"/>
            </w:pPr>
            <w:r>
              <w:rPr>
                <w:sz w:val="16"/>
              </w:rPr>
              <w:t>8E</w:t>
            </w:r>
          </w:p>
        </w:tc>
        <w:tc>
          <w:tcPr>
            <w:tcW w:type="dxa" w:w="6912"/>
            <w:tcMar>
              <w:top w:w="80" w:type="dxa"/>
              <w:start w:w="100" w:type="dxa"/>
              <w:bottom w:w="80" w:type="dxa"/>
              <w:end w:w="100" w:type="dxa"/>
            </w:tcMar>
            <w:vAlign w:val="top"/>
          </w:tcPr>
          <w:p>
            <w:pPr>
              <w:spacing w:after="0"/>
            </w:pPr>
            <w:r>
              <w:rPr>
                <w:sz w:val="16"/>
              </w:rPr>
              <w:t>Terraform, CI/CD, observability, security, governance, FinOps</w:t>
            </w:r>
          </w:p>
        </w:tc>
        <w:tc>
          <w:tcPr>
            <w:tcW w:type="dxa" w:w="1584"/>
            <w:tcMar>
              <w:top w:w="80" w:type="dxa"/>
              <w:start w:w="100" w:type="dxa"/>
              <w:bottom w:w="80" w:type="dxa"/>
              <w:end w:w="100" w:type="dxa"/>
            </w:tcMar>
            <w:vAlign w:val="top"/>
          </w:tcPr>
          <w:p>
            <w:pPr>
              <w:spacing w:after="0"/>
            </w:pPr>
            <w:r>
              <w:rPr>
                <w:sz w:val="16"/>
              </w:rPr>
              <w:t>Next</w:t>
            </w:r>
          </w:p>
        </w:tc>
      </w:tr>
      <w:tr>
        <w:trPr>
          <w:cantSplit/>
        </w:trPr>
        <w:tc>
          <w:tcPr>
            <w:tcW w:type="dxa" w:w="864"/>
            <w:tcMar>
              <w:top w:w="80" w:type="dxa"/>
              <w:start w:w="100" w:type="dxa"/>
              <w:bottom w:w="80" w:type="dxa"/>
              <w:end w:w="100" w:type="dxa"/>
            </w:tcMar>
            <w:vAlign w:val="top"/>
          </w:tcPr>
          <w:p>
            <w:pPr>
              <w:spacing w:after="0"/>
            </w:pPr>
            <w:r>
              <w:rPr>
                <w:sz w:val="16"/>
              </w:rPr>
              <w:t>8F</w:t>
            </w:r>
          </w:p>
        </w:tc>
        <w:tc>
          <w:tcPr>
            <w:tcW w:type="dxa" w:w="6912"/>
            <w:tcMar>
              <w:top w:w="80" w:type="dxa"/>
              <w:start w:w="100" w:type="dxa"/>
              <w:bottom w:w="80" w:type="dxa"/>
              <w:end w:w="100" w:type="dxa"/>
            </w:tcMar>
            <w:vAlign w:val="top"/>
          </w:tcPr>
          <w:p>
            <w:pPr>
              <w:spacing w:after="0"/>
            </w:pPr>
            <w:r>
              <w:rPr>
                <w:sz w:val="16"/>
              </w:rPr>
              <w:t>Enterprise projects, incidents, certifications, interviews, final capstone</w:t>
            </w:r>
          </w:p>
        </w:tc>
        <w:tc>
          <w:tcPr>
            <w:tcW w:type="dxa" w:w="1584"/>
            <w:tcMar>
              <w:top w:w="80" w:type="dxa"/>
              <w:start w:w="100" w:type="dxa"/>
              <w:bottom w:w="80" w:type="dxa"/>
              <w:end w:w="100" w:type="dxa"/>
            </w:tcMar>
            <w:vAlign w:val="top"/>
          </w:tcPr>
          <w:p>
            <w:pPr>
              <w:spacing w:after="0"/>
            </w:pPr>
            <w:r>
              <w:rPr>
                <w:sz w:val="16"/>
              </w:rPr>
              <w:t>Planned</w:t>
            </w:r>
          </w:p>
        </w:tc>
      </w:tr>
    </w:tbl>
    <w:p>
      <w:pPr>
        <w:spacing w:after="20"/>
      </w:pPr>
    </w:p>
    <w:p>
      <w:pPr>
        <w:pStyle w:val="Heading1"/>
        <w:keepNext/>
      </w:pPr>
      <w:r>
        <w:t>Platform Safety and Cost Controls</w:t>
      </w:r>
    </w:p>
    <w:p>
      <w:pPr>
        <w:pStyle w:val="ListBullet"/>
        <w:spacing w:after="60"/>
      </w:pPr>
      <w:r>
        <w:t>Use an isolated project, budgets, quotas, small clusters, short-lived revisions, and explicit deletion steps. GKE nodes, load balancers, NAT, Artifact Registry storage, Apigee, and networking resources can continue charging after a lab ends.</w:t>
      </w:r>
    </w:p>
    <w:p>
      <w:pPr>
        <w:pStyle w:val="ListBullet"/>
        <w:spacing w:after="60"/>
      </w:pPr>
      <w:r>
        <w:t>Never download long-lived service-account keys for runtime workloads. Prefer Workload Identity Federation for GKE, attached service identities, and short-lived federation for CI/CD.</w:t>
      </w:r>
    </w:p>
    <w:p>
      <w:pPr>
        <w:pStyle w:val="ListBullet"/>
        <w:spacing w:after="60"/>
      </w:pPr>
      <w:r>
        <w:t>Use immutable image digests, vulnerability evidence, staged promotion, policy enforcement, and rollback. A successful image build is not evidence that an artifact is authorized or safe to run.</w:t>
      </w:r>
    </w:p>
    <w:p>
      <w:pPr>
        <w:pStyle w:val="ListBullet"/>
        <w:spacing w:after="60"/>
      </w:pPr>
      <w:r>
        <w:t>Assume at-least-once delivery unless a documented service guarantee and end-to-end design prove otherwise. Consumers must be idempotent and poison messages must be isolated.</w:t>
      </w:r>
    </w:p>
    <w:p>
      <w:pPr>
        <w:pStyle w:val="ListBullet"/>
        <w:spacing w:after="60"/>
      </w:pPr>
      <w:r>
        <w:t>Distinguish synchronous request paths, asynchronous queues, event routing, scheduled triggers, and durable orchestration. Selecting the wrong primitive creates reliability and cost problems.</w:t>
      </w:r>
    </w:p>
    <w:p>
      <w:pPr>
        <w:pStyle w:val="Heading1"/>
        <w:keepNext/>
      </w:pPr>
      <w:r>
        <w:t>Table of Contents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1152"/>
            <w:shd w:fill="1A73E8"/>
            <w:tcMar>
              <w:top w:w="80" w:type="dxa"/>
              <w:start w:w="100" w:type="dxa"/>
              <w:bottom w:w="80" w:type="dxa"/>
              <w:end w:w="100" w:type="dxa"/>
            </w:tcMar>
            <w:vAlign w:val="center"/>
          </w:tcPr>
          <w:p>
            <w:pPr>
              <w:jc w:val="center"/>
            </w:pPr>
            <w:r>
              <w:rPr>
                <w:b/>
                <w:color w:val="FFFFFF"/>
                <w:sz w:val="16"/>
              </w:rPr>
              <w:t>Chapter</w:t>
            </w:r>
          </w:p>
        </w:tc>
        <w:tc>
          <w:tcPr>
            <w:tcW w:type="dxa" w:w="8352"/>
            <w:shd w:fill="1A73E8"/>
            <w:tcMar>
              <w:top w:w="80" w:type="dxa"/>
              <w:start w:w="100" w:type="dxa"/>
              <w:bottom w:w="80" w:type="dxa"/>
              <w:end w:w="100" w:type="dxa"/>
            </w:tcMar>
            <w:vAlign w:val="center"/>
          </w:tcPr>
          <w:p>
            <w:pPr>
              <w:jc w:val="center"/>
            </w:pPr>
            <w:r>
              <w:rPr>
                <w:b/>
                <w:color w:val="FFFFFF"/>
                <w:sz w:val="16"/>
              </w:rPr>
              <w:t>Title</w:t>
            </w:r>
          </w:p>
        </w:tc>
      </w:tr>
      <w:tr>
        <w:trPr>
          <w:cantSplit/>
        </w:trPr>
        <w:tc>
          <w:tcPr>
            <w:tcW w:type="dxa" w:w="1152"/>
            <w:tcMar>
              <w:top w:w="80" w:type="dxa"/>
              <w:start w:w="100" w:type="dxa"/>
              <w:bottom w:w="80" w:type="dxa"/>
              <w:end w:w="100" w:type="dxa"/>
            </w:tcMar>
            <w:vAlign w:val="top"/>
          </w:tcPr>
          <w:p>
            <w:pPr>
              <w:spacing w:after="0"/>
            </w:pPr>
            <w:r>
              <w:rPr>
                <w:sz w:val="16"/>
              </w:rPr>
              <w:t>31</w:t>
            </w:r>
          </w:p>
        </w:tc>
        <w:tc>
          <w:tcPr>
            <w:tcW w:type="dxa" w:w="8352"/>
            <w:tcMar>
              <w:top w:w="80" w:type="dxa"/>
              <w:start w:w="100" w:type="dxa"/>
              <w:bottom w:w="80" w:type="dxa"/>
              <w:end w:w="100" w:type="dxa"/>
            </w:tcMar>
            <w:vAlign w:val="top"/>
          </w:tcPr>
          <w:p>
            <w:pPr>
              <w:spacing w:after="0"/>
            </w:pPr>
            <w:r>
              <w:rPr>
                <w:sz w:val="16"/>
              </w:rPr>
              <w:t>Artifact Registry and Container Supply-Chain Engineering</w:t>
            </w:r>
          </w:p>
        </w:tc>
      </w:tr>
      <w:tr>
        <w:trPr>
          <w:cantSplit/>
        </w:trPr>
        <w:tc>
          <w:tcPr>
            <w:tcW w:type="dxa" w:w="1152"/>
            <w:tcMar>
              <w:top w:w="80" w:type="dxa"/>
              <w:start w:w="100" w:type="dxa"/>
              <w:bottom w:w="80" w:type="dxa"/>
              <w:end w:w="100" w:type="dxa"/>
            </w:tcMar>
            <w:vAlign w:val="top"/>
          </w:tcPr>
          <w:p>
            <w:pPr>
              <w:spacing w:after="0"/>
            </w:pPr>
            <w:r>
              <w:rPr>
                <w:sz w:val="16"/>
              </w:rPr>
              <w:t>32</w:t>
            </w:r>
          </w:p>
        </w:tc>
        <w:tc>
          <w:tcPr>
            <w:tcW w:type="dxa" w:w="8352"/>
            <w:tcMar>
              <w:top w:w="80" w:type="dxa"/>
              <w:start w:w="100" w:type="dxa"/>
              <w:bottom w:w="80" w:type="dxa"/>
              <w:end w:w="100" w:type="dxa"/>
            </w:tcMar>
            <w:vAlign w:val="top"/>
          </w:tcPr>
          <w:p>
            <w:pPr>
              <w:spacing w:after="0"/>
            </w:pPr>
            <w:r>
              <w:rPr>
                <w:sz w:val="16"/>
              </w:rPr>
              <w:t>Google Kubernetes Engine Architecture and Cluster Design</w:t>
            </w:r>
          </w:p>
        </w:tc>
      </w:tr>
      <w:tr>
        <w:trPr>
          <w:cantSplit/>
        </w:trPr>
        <w:tc>
          <w:tcPr>
            <w:tcW w:type="dxa" w:w="1152"/>
            <w:tcMar>
              <w:top w:w="80" w:type="dxa"/>
              <w:start w:w="100" w:type="dxa"/>
              <w:bottom w:w="80" w:type="dxa"/>
              <w:end w:w="100" w:type="dxa"/>
            </w:tcMar>
            <w:vAlign w:val="top"/>
          </w:tcPr>
          <w:p>
            <w:pPr>
              <w:spacing w:after="0"/>
            </w:pPr>
            <w:r>
              <w:rPr>
                <w:sz w:val="16"/>
              </w:rPr>
              <w:t>33</w:t>
            </w:r>
          </w:p>
        </w:tc>
        <w:tc>
          <w:tcPr>
            <w:tcW w:type="dxa" w:w="8352"/>
            <w:tcMar>
              <w:top w:w="80" w:type="dxa"/>
              <w:start w:w="100" w:type="dxa"/>
              <w:bottom w:w="80" w:type="dxa"/>
              <w:end w:w="100" w:type="dxa"/>
            </w:tcMar>
            <w:vAlign w:val="top"/>
          </w:tcPr>
          <w:p>
            <w:pPr>
              <w:spacing w:after="0"/>
            </w:pPr>
            <w:r>
              <w:rPr>
                <w:sz w:val="16"/>
              </w:rPr>
              <w:t>GKE Production Operations, Networking, Scaling, and Fleets</w:t>
            </w:r>
          </w:p>
        </w:tc>
      </w:tr>
      <w:tr>
        <w:trPr>
          <w:cantSplit/>
        </w:trPr>
        <w:tc>
          <w:tcPr>
            <w:tcW w:type="dxa" w:w="1152"/>
            <w:tcMar>
              <w:top w:w="80" w:type="dxa"/>
              <w:start w:w="100" w:type="dxa"/>
              <w:bottom w:w="80" w:type="dxa"/>
              <w:end w:w="100" w:type="dxa"/>
            </w:tcMar>
            <w:vAlign w:val="top"/>
          </w:tcPr>
          <w:p>
            <w:pPr>
              <w:spacing w:after="0"/>
            </w:pPr>
            <w:r>
              <w:rPr>
                <w:sz w:val="16"/>
              </w:rPr>
              <w:t>34</w:t>
            </w:r>
          </w:p>
        </w:tc>
        <w:tc>
          <w:tcPr>
            <w:tcW w:type="dxa" w:w="8352"/>
            <w:tcMar>
              <w:top w:w="80" w:type="dxa"/>
              <w:start w:w="100" w:type="dxa"/>
              <w:bottom w:w="80" w:type="dxa"/>
              <w:end w:w="100" w:type="dxa"/>
            </w:tcMar>
            <w:vAlign w:val="top"/>
          </w:tcPr>
          <w:p>
            <w:pPr>
              <w:spacing w:after="0"/>
            </w:pPr>
            <w:r>
              <w:rPr>
                <w:sz w:val="16"/>
              </w:rPr>
              <w:t>Cloud Run Services, Jobs, and Worker Pools</w:t>
            </w:r>
          </w:p>
        </w:tc>
      </w:tr>
      <w:tr>
        <w:trPr>
          <w:cantSplit/>
        </w:trPr>
        <w:tc>
          <w:tcPr>
            <w:tcW w:type="dxa" w:w="1152"/>
            <w:tcMar>
              <w:top w:w="80" w:type="dxa"/>
              <w:start w:w="100" w:type="dxa"/>
              <w:bottom w:w="80" w:type="dxa"/>
              <w:end w:w="100" w:type="dxa"/>
            </w:tcMar>
            <w:vAlign w:val="top"/>
          </w:tcPr>
          <w:p>
            <w:pPr>
              <w:spacing w:after="0"/>
            </w:pPr>
            <w:r>
              <w:rPr>
                <w:sz w:val="16"/>
              </w:rPr>
              <w:t>35</w:t>
            </w:r>
          </w:p>
        </w:tc>
        <w:tc>
          <w:tcPr>
            <w:tcW w:type="dxa" w:w="8352"/>
            <w:tcMar>
              <w:top w:w="80" w:type="dxa"/>
              <w:start w:w="100" w:type="dxa"/>
              <w:bottom w:w="80" w:type="dxa"/>
              <w:end w:w="100" w:type="dxa"/>
            </w:tcMar>
            <w:vAlign w:val="top"/>
          </w:tcPr>
          <w:p>
            <w:pPr>
              <w:spacing w:after="0"/>
            </w:pPr>
            <w:r>
              <w:rPr>
                <w:sz w:val="16"/>
              </w:rPr>
              <w:t>Cloud Run Functions and Event-Driven Compute</w:t>
            </w:r>
          </w:p>
        </w:tc>
      </w:tr>
      <w:tr>
        <w:trPr>
          <w:cantSplit/>
        </w:trPr>
        <w:tc>
          <w:tcPr>
            <w:tcW w:type="dxa" w:w="1152"/>
            <w:tcMar>
              <w:top w:w="80" w:type="dxa"/>
              <w:start w:w="100" w:type="dxa"/>
              <w:bottom w:w="80" w:type="dxa"/>
              <w:end w:w="100" w:type="dxa"/>
            </w:tcMar>
            <w:vAlign w:val="top"/>
          </w:tcPr>
          <w:p>
            <w:pPr>
              <w:spacing w:after="0"/>
            </w:pPr>
            <w:r>
              <w:rPr>
                <w:sz w:val="16"/>
              </w:rPr>
              <w:t>36</w:t>
            </w:r>
          </w:p>
        </w:tc>
        <w:tc>
          <w:tcPr>
            <w:tcW w:type="dxa" w:w="8352"/>
            <w:tcMar>
              <w:top w:w="80" w:type="dxa"/>
              <w:start w:w="100" w:type="dxa"/>
              <w:bottom w:w="80" w:type="dxa"/>
              <w:end w:w="100" w:type="dxa"/>
            </w:tcMar>
            <w:vAlign w:val="top"/>
          </w:tcPr>
          <w:p>
            <w:pPr>
              <w:spacing w:after="0"/>
            </w:pPr>
            <w:r>
              <w:rPr>
                <w:sz w:val="16"/>
              </w:rPr>
              <w:t>API Gateway, Apigee, and API Platform Engineering</w:t>
            </w:r>
          </w:p>
        </w:tc>
      </w:tr>
      <w:tr>
        <w:trPr>
          <w:cantSplit/>
        </w:trPr>
        <w:tc>
          <w:tcPr>
            <w:tcW w:type="dxa" w:w="1152"/>
            <w:tcMar>
              <w:top w:w="80" w:type="dxa"/>
              <w:start w:w="100" w:type="dxa"/>
              <w:bottom w:w="80" w:type="dxa"/>
              <w:end w:w="100" w:type="dxa"/>
            </w:tcMar>
            <w:vAlign w:val="top"/>
          </w:tcPr>
          <w:p>
            <w:pPr>
              <w:spacing w:after="0"/>
            </w:pPr>
            <w:r>
              <w:rPr>
                <w:sz w:val="16"/>
              </w:rPr>
              <w:t>37</w:t>
            </w:r>
          </w:p>
        </w:tc>
        <w:tc>
          <w:tcPr>
            <w:tcW w:type="dxa" w:w="8352"/>
            <w:tcMar>
              <w:top w:w="80" w:type="dxa"/>
              <w:start w:w="100" w:type="dxa"/>
              <w:bottom w:w="80" w:type="dxa"/>
              <w:end w:w="100" w:type="dxa"/>
            </w:tcMar>
            <w:vAlign w:val="top"/>
          </w:tcPr>
          <w:p>
            <w:pPr>
              <w:spacing w:after="0"/>
            </w:pPr>
            <w:r>
              <w:rPr>
                <w:sz w:val="16"/>
              </w:rPr>
              <w:t>Pub/Sub Messaging and Delivery Engineering</w:t>
            </w:r>
          </w:p>
        </w:tc>
      </w:tr>
      <w:tr>
        <w:trPr>
          <w:cantSplit/>
        </w:trPr>
        <w:tc>
          <w:tcPr>
            <w:tcW w:type="dxa" w:w="1152"/>
            <w:tcMar>
              <w:top w:w="80" w:type="dxa"/>
              <w:start w:w="100" w:type="dxa"/>
              <w:bottom w:w="80" w:type="dxa"/>
              <w:end w:w="100" w:type="dxa"/>
            </w:tcMar>
            <w:vAlign w:val="top"/>
          </w:tcPr>
          <w:p>
            <w:pPr>
              <w:spacing w:after="0"/>
            </w:pPr>
            <w:r>
              <w:rPr>
                <w:sz w:val="16"/>
              </w:rPr>
              <w:t>38</w:t>
            </w:r>
          </w:p>
        </w:tc>
        <w:tc>
          <w:tcPr>
            <w:tcW w:type="dxa" w:w="8352"/>
            <w:tcMar>
              <w:top w:w="80" w:type="dxa"/>
              <w:start w:w="100" w:type="dxa"/>
              <w:bottom w:w="80" w:type="dxa"/>
              <w:end w:w="100" w:type="dxa"/>
            </w:tcMar>
            <w:vAlign w:val="top"/>
          </w:tcPr>
          <w:p>
            <w:pPr>
              <w:spacing w:after="0"/>
            </w:pPr>
            <w:r>
              <w:rPr>
                <w:sz w:val="16"/>
              </w:rPr>
              <w:t>Eventarc Event Routing and Event-Mesh Engineering</w:t>
            </w:r>
          </w:p>
        </w:tc>
      </w:tr>
      <w:tr>
        <w:trPr>
          <w:cantSplit/>
        </w:trPr>
        <w:tc>
          <w:tcPr>
            <w:tcW w:type="dxa" w:w="1152"/>
            <w:tcMar>
              <w:top w:w="80" w:type="dxa"/>
              <w:start w:w="100" w:type="dxa"/>
              <w:bottom w:w="80" w:type="dxa"/>
              <w:end w:w="100" w:type="dxa"/>
            </w:tcMar>
            <w:vAlign w:val="top"/>
          </w:tcPr>
          <w:p>
            <w:pPr>
              <w:spacing w:after="0"/>
            </w:pPr>
            <w:r>
              <w:rPr>
                <w:sz w:val="16"/>
              </w:rPr>
              <w:t>39</w:t>
            </w:r>
          </w:p>
        </w:tc>
        <w:tc>
          <w:tcPr>
            <w:tcW w:type="dxa" w:w="8352"/>
            <w:tcMar>
              <w:top w:w="80" w:type="dxa"/>
              <w:start w:w="100" w:type="dxa"/>
              <w:bottom w:w="80" w:type="dxa"/>
              <w:end w:w="100" w:type="dxa"/>
            </w:tcMar>
            <w:vAlign w:val="top"/>
          </w:tcPr>
          <w:p>
            <w:pPr>
              <w:spacing w:after="0"/>
            </w:pPr>
            <w:r>
              <w:rPr>
                <w:sz w:val="16"/>
              </w:rPr>
              <w:t>Workflows, Cloud Tasks, and Cloud Scheduler</w:t>
            </w:r>
          </w:p>
        </w:tc>
      </w:tr>
      <w:tr>
        <w:trPr>
          <w:cantSplit/>
        </w:trPr>
        <w:tc>
          <w:tcPr>
            <w:tcW w:type="dxa" w:w="1152"/>
            <w:tcMar>
              <w:top w:w="80" w:type="dxa"/>
              <w:start w:w="100" w:type="dxa"/>
              <w:bottom w:w="80" w:type="dxa"/>
              <w:end w:w="100" w:type="dxa"/>
            </w:tcMar>
            <w:vAlign w:val="top"/>
          </w:tcPr>
          <w:p>
            <w:pPr>
              <w:spacing w:after="0"/>
            </w:pPr>
            <w:r>
              <w:rPr>
                <w:sz w:val="16"/>
              </w:rPr>
              <w:t>40</w:t>
            </w:r>
          </w:p>
        </w:tc>
        <w:tc>
          <w:tcPr>
            <w:tcW w:type="dxa" w:w="8352"/>
            <w:tcMar>
              <w:top w:w="80" w:type="dxa"/>
              <w:start w:w="100" w:type="dxa"/>
              <w:bottom w:w="80" w:type="dxa"/>
              <w:end w:w="100" w:type="dxa"/>
            </w:tcMar>
            <w:vAlign w:val="top"/>
          </w:tcPr>
          <w:p>
            <w:pPr>
              <w:spacing w:after="0"/>
            </w:pPr>
            <w:r>
              <w:rPr>
                <w:sz w:val="16"/>
              </w:rPr>
              <w:t>Enterprise Cloud-Native Architecture and Capstone</w:t>
            </w:r>
          </w:p>
        </w:tc>
      </w:tr>
    </w:tbl>
    <w:p>
      <w:pPr>
        <w:spacing w:after="20"/>
      </w:pPr>
    </w:p>
    <w:p>
      <w:pPr>
        <w:pStyle w:val="Heading1"/>
        <w:keepNext/>
        <w:pageBreakBefore/>
      </w:pPr>
      <w:r>
        <w:t>Chapter 31 - Artifact Registry and Container Supply-Chain Engineering</w:t>
      </w:r>
    </w:p>
    <w:p>
      <w:pPr>
        <w:spacing w:after="120"/>
      </w:pPr>
      <w:r>
        <w:rPr>
          <w:i/>
          <w:color w:val="505050"/>
        </w:rPr>
        <w:t>Building immutable, attestable, and policy-controlled software delivery</w:t>
      </w:r>
    </w:p>
    <w:p>
      <w:pPr>
        <w:pStyle w:val="Heading2"/>
        <w:keepNext/>
      </w:pPr>
      <w:r>
        <w:t>Learning Objectives</w:t>
      </w:r>
    </w:p>
    <w:p>
      <w:pPr>
        <w:pStyle w:val="ListBullet"/>
        <w:spacing w:after="60"/>
      </w:pPr>
      <w:r>
        <w:t>Design Artifact Registry repositories, identities, retention, and regional placement.</w:t>
      </w:r>
    </w:p>
    <w:p>
      <w:pPr>
        <w:pStyle w:val="ListBullet"/>
        <w:spacing w:after="60"/>
      </w:pPr>
      <w:r>
        <w:t>Build and promote images by digest instead of mutable tags.</w:t>
      </w:r>
    </w:p>
    <w:p>
      <w:pPr>
        <w:pStyle w:val="ListBullet"/>
        <w:spacing w:after="60"/>
      </w:pPr>
      <w:r>
        <w:t>Integrate vulnerability scanning, provenance, SBOMs, signing, and Binary Authorization.</w:t>
      </w:r>
    </w:p>
    <w:p>
      <w:pPr>
        <w:pStyle w:val="ListBullet"/>
        <w:spacing w:after="60"/>
      </w:pPr>
      <w:r>
        <w:t>Operate artifact lifecycle, incident response, and rollback.</w:t>
      </w:r>
    </w:p>
    <w:p>
      <w:pPr>
        <w:pStyle w:val="Heading2"/>
        <w:keepNext/>
      </w:pPr>
      <w:r>
        <w:t>31.1 Repository Architecture and Trust Boundaries</w:t>
      </w:r>
    </w:p>
    <w:p>
      <w:pPr>
        <w:spacing w:after="120"/>
      </w:pPr>
      <w:r>
        <w:rPr>
          <w:i w:val="0"/>
        </w:rPr>
        <w:t>Artifact Registry stores container images and language packages in regional or multi-regional repositories. Repository boundaries should reflect ownership, environment, residency, promotion, and access. Avoid one global writeable repository shared by every team and environment.</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880"/>
            <w:shd w:fill="1A73E8"/>
            <w:tcMar>
              <w:top w:w="80" w:type="dxa"/>
              <w:start w:w="100" w:type="dxa"/>
              <w:bottom w:w="80" w:type="dxa"/>
              <w:end w:w="100" w:type="dxa"/>
            </w:tcMar>
            <w:vAlign w:val="center"/>
          </w:tcPr>
          <w:p>
            <w:pPr>
              <w:jc w:val="center"/>
            </w:pPr>
            <w:r>
              <w:rPr>
                <w:b/>
                <w:color w:val="FFFFFF"/>
                <w:sz w:val="16"/>
              </w:rPr>
              <w:t>Pattern</w:t>
            </w:r>
          </w:p>
        </w:tc>
        <w:tc>
          <w:tcPr>
            <w:tcW w:type="dxa" w:w="3168"/>
            <w:shd w:fill="1A73E8"/>
            <w:tcMar>
              <w:top w:w="80" w:type="dxa"/>
              <w:start w:w="100" w:type="dxa"/>
              <w:bottom w:w="80" w:type="dxa"/>
              <w:end w:w="100" w:type="dxa"/>
            </w:tcMar>
            <w:vAlign w:val="center"/>
          </w:tcPr>
          <w:p>
            <w:pPr>
              <w:jc w:val="center"/>
            </w:pPr>
            <w:r>
              <w:rPr>
                <w:b/>
                <w:color w:val="FFFFFF"/>
                <w:sz w:val="16"/>
              </w:rPr>
              <w:t>Strength</w:t>
            </w:r>
          </w:p>
        </w:tc>
        <w:tc>
          <w:tcPr>
            <w:tcW w:type="dxa" w:w="3744"/>
            <w:shd w:fill="1A73E8"/>
            <w:tcMar>
              <w:top w:w="80" w:type="dxa"/>
              <w:start w:w="100" w:type="dxa"/>
              <w:bottom w:w="80" w:type="dxa"/>
              <w:end w:w="100" w:type="dxa"/>
            </w:tcMar>
            <w:vAlign w:val="center"/>
          </w:tcPr>
          <w:p>
            <w:pPr>
              <w:jc w:val="center"/>
            </w:pPr>
            <w:r>
              <w:rPr>
                <w:b/>
                <w:color w:val="FFFFFF"/>
                <w:sz w:val="16"/>
              </w:rPr>
              <w:t>Risk/Control</w:t>
            </w:r>
          </w:p>
        </w:tc>
      </w:tr>
      <w:tr>
        <w:trPr>
          <w:cantSplit/>
        </w:trPr>
        <w:tc>
          <w:tcPr>
            <w:tcW w:type="dxa" w:w="2880"/>
            <w:tcMar>
              <w:top w:w="80" w:type="dxa"/>
              <w:start w:w="100" w:type="dxa"/>
              <w:bottom w:w="80" w:type="dxa"/>
              <w:end w:w="100" w:type="dxa"/>
            </w:tcMar>
            <w:vAlign w:val="top"/>
          </w:tcPr>
          <w:p>
            <w:pPr>
              <w:spacing w:after="0"/>
            </w:pPr>
            <w:r>
              <w:rPr>
                <w:sz w:val="16"/>
              </w:rPr>
              <w:t>Repository per environment</w:t>
            </w:r>
          </w:p>
        </w:tc>
        <w:tc>
          <w:tcPr>
            <w:tcW w:type="dxa" w:w="3168"/>
            <w:tcMar>
              <w:top w:w="80" w:type="dxa"/>
              <w:start w:w="100" w:type="dxa"/>
              <w:bottom w:w="80" w:type="dxa"/>
              <w:end w:w="100" w:type="dxa"/>
            </w:tcMar>
            <w:vAlign w:val="top"/>
          </w:tcPr>
          <w:p>
            <w:pPr>
              <w:spacing w:after="0"/>
            </w:pPr>
            <w:r>
              <w:rPr>
                <w:sz w:val="16"/>
              </w:rPr>
              <w:t>Clear promotion boundary</w:t>
            </w:r>
          </w:p>
        </w:tc>
        <w:tc>
          <w:tcPr>
            <w:tcW w:type="dxa" w:w="3744"/>
            <w:tcMar>
              <w:top w:w="80" w:type="dxa"/>
              <w:start w:w="100" w:type="dxa"/>
              <w:bottom w:w="80" w:type="dxa"/>
              <w:end w:w="100" w:type="dxa"/>
            </w:tcMar>
            <w:vAlign w:val="top"/>
          </w:tcPr>
          <w:p>
            <w:pPr>
              <w:spacing w:after="0"/>
            </w:pPr>
            <w:r>
              <w:rPr>
                <w:sz w:val="16"/>
              </w:rPr>
              <w:t>More administration; automate policy and retention</w:t>
            </w:r>
          </w:p>
        </w:tc>
      </w:tr>
      <w:tr>
        <w:trPr>
          <w:cantSplit/>
        </w:trPr>
        <w:tc>
          <w:tcPr>
            <w:tcW w:type="dxa" w:w="2880"/>
            <w:tcMar>
              <w:top w:w="80" w:type="dxa"/>
              <w:start w:w="100" w:type="dxa"/>
              <w:bottom w:w="80" w:type="dxa"/>
              <w:end w:w="100" w:type="dxa"/>
            </w:tcMar>
            <w:vAlign w:val="top"/>
          </w:tcPr>
          <w:p>
            <w:pPr>
              <w:spacing w:after="0"/>
            </w:pPr>
            <w:r>
              <w:rPr>
                <w:sz w:val="16"/>
              </w:rPr>
              <w:t>Repository per product/team</w:t>
            </w:r>
          </w:p>
        </w:tc>
        <w:tc>
          <w:tcPr>
            <w:tcW w:type="dxa" w:w="3168"/>
            <w:tcMar>
              <w:top w:w="80" w:type="dxa"/>
              <w:start w:w="100" w:type="dxa"/>
              <w:bottom w:w="80" w:type="dxa"/>
              <w:end w:w="100" w:type="dxa"/>
            </w:tcMar>
            <w:vAlign w:val="top"/>
          </w:tcPr>
          <w:p>
            <w:pPr>
              <w:spacing w:after="0"/>
            </w:pPr>
            <w:r>
              <w:rPr>
                <w:sz w:val="16"/>
              </w:rPr>
              <w:t>Strong ownership</w:t>
            </w:r>
          </w:p>
        </w:tc>
        <w:tc>
          <w:tcPr>
            <w:tcW w:type="dxa" w:w="3744"/>
            <w:tcMar>
              <w:top w:w="80" w:type="dxa"/>
              <w:start w:w="100" w:type="dxa"/>
              <w:bottom w:w="80" w:type="dxa"/>
              <w:end w:w="100" w:type="dxa"/>
            </w:tcMar>
            <w:vAlign w:val="top"/>
          </w:tcPr>
          <w:p>
            <w:pPr>
              <w:spacing w:after="0"/>
            </w:pPr>
            <w:r>
              <w:rPr>
                <w:sz w:val="16"/>
              </w:rPr>
              <w:t>Cross-team sharing requires deliberate IAM</w:t>
            </w:r>
          </w:p>
        </w:tc>
      </w:tr>
      <w:tr>
        <w:trPr>
          <w:cantSplit/>
        </w:trPr>
        <w:tc>
          <w:tcPr>
            <w:tcW w:type="dxa" w:w="2880"/>
            <w:tcMar>
              <w:top w:w="80" w:type="dxa"/>
              <w:start w:w="100" w:type="dxa"/>
              <w:bottom w:w="80" w:type="dxa"/>
              <w:end w:w="100" w:type="dxa"/>
            </w:tcMar>
            <w:vAlign w:val="top"/>
          </w:tcPr>
          <w:p>
            <w:pPr>
              <w:spacing w:after="0"/>
            </w:pPr>
            <w:r>
              <w:rPr>
                <w:sz w:val="16"/>
              </w:rPr>
              <w:t>Central build plus regional mirrors</w:t>
            </w:r>
          </w:p>
        </w:tc>
        <w:tc>
          <w:tcPr>
            <w:tcW w:type="dxa" w:w="3168"/>
            <w:tcMar>
              <w:top w:w="80" w:type="dxa"/>
              <w:start w:w="100" w:type="dxa"/>
              <w:bottom w:w="80" w:type="dxa"/>
              <w:end w:w="100" w:type="dxa"/>
            </w:tcMar>
            <w:vAlign w:val="top"/>
          </w:tcPr>
          <w:p>
            <w:pPr>
              <w:spacing w:after="0"/>
            </w:pPr>
            <w:r>
              <w:rPr>
                <w:sz w:val="16"/>
              </w:rPr>
              <w:t>Controlled source and locality</w:t>
            </w:r>
          </w:p>
        </w:tc>
        <w:tc>
          <w:tcPr>
            <w:tcW w:type="dxa" w:w="3744"/>
            <w:tcMar>
              <w:top w:w="80" w:type="dxa"/>
              <w:start w:w="100" w:type="dxa"/>
              <w:bottom w:w="80" w:type="dxa"/>
              <w:end w:w="100" w:type="dxa"/>
            </w:tcMar>
            <w:vAlign w:val="top"/>
          </w:tcPr>
          <w:p>
            <w:pPr>
              <w:spacing w:after="0"/>
            </w:pPr>
            <w:r>
              <w:rPr>
                <w:sz w:val="16"/>
              </w:rPr>
              <w:t>Replication/promotion evidence must be monitored</w:t>
            </w:r>
          </w:p>
        </w:tc>
      </w:tr>
      <w:tr>
        <w:trPr>
          <w:cantSplit/>
        </w:trPr>
        <w:tc>
          <w:tcPr>
            <w:tcW w:type="dxa" w:w="2880"/>
            <w:tcMar>
              <w:top w:w="80" w:type="dxa"/>
              <w:start w:w="100" w:type="dxa"/>
              <w:bottom w:w="80" w:type="dxa"/>
              <w:end w:w="100" w:type="dxa"/>
            </w:tcMar>
            <w:vAlign w:val="top"/>
          </w:tcPr>
          <w:p>
            <w:pPr>
              <w:spacing w:after="0"/>
            </w:pPr>
            <w:r>
              <w:rPr>
                <w:sz w:val="16"/>
              </w:rPr>
              <w:t>Single shared repository</w:t>
            </w:r>
          </w:p>
        </w:tc>
        <w:tc>
          <w:tcPr>
            <w:tcW w:type="dxa" w:w="3168"/>
            <w:tcMar>
              <w:top w:w="80" w:type="dxa"/>
              <w:start w:w="100" w:type="dxa"/>
              <w:bottom w:w="80" w:type="dxa"/>
              <w:end w:w="100" w:type="dxa"/>
            </w:tcMar>
            <w:vAlign w:val="top"/>
          </w:tcPr>
          <w:p>
            <w:pPr>
              <w:spacing w:after="0"/>
            </w:pPr>
            <w:r>
              <w:rPr>
                <w:sz w:val="16"/>
              </w:rPr>
              <w:t>Simple start</w:t>
            </w:r>
          </w:p>
        </w:tc>
        <w:tc>
          <w:tcPr>
            <w:tcW w:type="dxa" w:w="3744"/>
            <w:tcMar>
              <w:top w:w="80" w:type="dxa"/>
              <w:start w:w="100" w:type="dxa"/>
              <w:bottom w:w="80" w:type="dxa"/>
              <w:end w:w="100" w:type="dxa"/>
            </w:tcMar>
            <w:vAlign w:val="top"/>
          </w:tcPr>
          <w:p>
            <w:pPr>
              <w:spacing w:after="0"/>
            </w:pPr>
            <w:r>
              <w:rPr>
                <w:sz w:val="16"/>
              </w:rPr>
              <w:t>Broad permissions and tag collision; unsuitable for mature production</w:t>
            </w:r>
          </w:p>
        </w:tc>
      </w:tr>
    </w:tbl>
    <w:p>
      <w:pPr>
        <w:spacing w:after="20"/>
      </w:pPr>
    </w:p>
    <w:p>
      <w:pPr>
        <w:pStyle w:val="Heading2"/>
        <w:keepNext/>
      </w:pPr>
      <w:r>
        <w:t>31.2 Immutable Build and Promotion</w:t>
      </w:r>
    </w:p>
    <w:p>
      <w:pPr>
        <w:spacing w:after="120"/>
      </w:pPr>
      <w:r>
        <w:rPr>
          <w:i w:val="0"/>
        </w:rPr>
        <w:t>Tags are convenient human references but can move. Production deployment records should resolve to immutable digests. Build once, test once, and promote the same digest through environments. Rebuilding from the same source can produce different bytes because dependencies, base images, timestamps, and build systems change.</w:t>
      </w:r>
    </w:p>
    <w:p>
      <w:pPr>
        <w:pStyle w:val="ListBullet"/>
        <w:spacing w:after="60"/>
      </w:pPr>
      <w:r>
        <w:t>Pin base images and critical dependencies.</w:t>
      </w:r>
    </w:p>
    <w:p>
      <w:pPr>
        <w:pStyle w:val="ListBullet"/>
        <w:spacing w:after="60"/>
      </w:pPr>
      <w:r>
        <w:t>Record source revision, builder identity, build parameters, digest, test evidence, and approvals.</w:t>
      </w:r>
    </w:p>
    <w:p>
      <w:pPr>
        <w:pStyle w:val="ListBullet"/>
        <w:spacing w:after="60"/>
      </w:pPr>
      <w:r>
        <w:t>Separate build identity from deploy identity.</w:t>
      </w:r>
    </w:p>
    <w:p>
      <w:pPr>
        <w:pStyle w:val="ListBullet"/>
        <w:spacing w:after="60"/>
      </w:pPr>
      <w:r>
        <w:t>Require pull-only access for runtimes and restricted write access for trusted pipelines.</w:t>
      </w:r>
    </w:p>
    <w:p>
      <w:pPr>
        <w:pStyle w:val="CodeBlock"/>
        <w:keepLines/>
        <w:spacing w:after="120"/>
      </w:pPr>
      <w:r>
        <w:rPr>
          <w:rFonts w:ascii="Cascadia Mono" w:hAnsi="Cascadia Mono"/>
          <w:sz w:val="16"/>
        </w:rPr>
        <w:t>gcloud artifacts repositories list --location=REGION</w:t>
        <w:br/>
        <w:t>gcloud artifacts docker images list REGION-docker.pkg.dev/PROJECT/platform --include-tags</w:t>
        <w:br/>
        <w:t>docker pull REGION-docker.pkg.dev/PROJECT/platform/orders@sha256:DIGEST</w:t>
      </w:r>
    </w:p>
    <w:p>
      <w:pPr>
        <w:pStyle w:val="Heading2"/>
        <w:keepNext/>
      </w:pPr>
      <w:r>
        <w:t>31.3 Vulnerability, Provenance, and Policy</w:t>
      </w:r>
    </w:p>
    <w:p>
      <w:pPr>
        <w:spacing w:after="120"/>
      </w:pPr>
      <w:r>
        <w:rPr>
          <w:i w:val="0"/>
        </w:rPr>
        <w:t>Container Analysis and related security tooling can surface vulnerabilities and metadata. Supply-chain controls should combine scanning, provenance, software bill of materials, signatures or attestations, and deployment policy. Binary Authorization can prevent untrusted images from reaching GKE and supported deployment targets.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024"/>
            <w:shd w:fill="1A73E8"/>
            <w:tcMar>
              <w:top w:w="80" w:type="dxa"/>
              <w:start w:w="100" w:type="dxa"/>
              <w:bottom w:w="80" w:type="dxa"/>
              <w:end w:w="100" w:type="dxa"/>
            </w:tcMar>
            <w:vAlign w:val="center"/>
          </w:tcPr>
          <w:p>
            <w:pPr>
              <w:jc w:val="center"/>
            </w:pPr>
            <w:r>
              <w:rPr>
                <w:b/>
                <w:color w:val="FFFFFF"/>
                <w:sz w:val="16"/>
              </w:rPr>
              <w:t>Control</w:t>
            </w:r>
          </w:p>
        </w:tc>
        <w:tc>
          <w:tcPr>
            <w:tcW w:type="dxa" w:w="6768"/>
            <w:shd w:fill="1A73E8"/>
            <w:tcMar>
              <w:top w:w="80" w:type="dxa"/>
              <w:start w:w="100" w:type="dxa"/>
              <w:bottom w:w="80" w:type="dxa"/>
              <w:end w:w="100" w:type="dxa"/>
            </w:tcMar>
            <w:vAlign w:val="center"/>
          </w:tcPr>
          <w:p>
            <w:pPr>
              <w:jc w:val="center"/>
            </w:pPr>
            <w:r>
              <w:rPr>
                <w:b/>
                <w:color w:val="FFFFFF"/>
                <w:sz w:val="16"/>
              </w:rPr>
              <w:t>Question Answered</w:t>
            </w:r>
          </w:p>
        </w:tc>
      </w:tr>
      <w:tr>
        <w:trPr>
          <w:cantSplit/>
        </w:trPr>
        <w:tc>
          <w:tcPr>
            <w:tcW w:type="dxa" w:w="3024"/>
            <w:tcMar>
              <w:top w:w="80" w:type="dxa"/>
              <w:start w:w="100" w:type="dxa"/>
              <w:bottom w:w="80" w:type="dxa"/>
              <w:end w:w="100" w:type="dxa"/>
            </w:tcMar>
            <w:vAlign w:val="top"/>
          </w:tcPr>
          <w:p>
            <w:pPr>
              <w:spacing w:after="0"/>
            </w:pPr>
            <w:r>
              <w:rPr>
                <w:sz w:val="16"/>
              </w:rPr>
              <w:t>Vulnerability scan</w:t>
            </w:r>
          </w:p>
        </w:tc>
        <w:tc>
          <w:tcPr>
            <w:tcW w:type="dxa" w:w="6768"/>
            <w:tcMar>
              <w:top w:w="80" w:type="dxa"/>
              <w:start w:w="100" w:type="dxa"/>
              <w:bottom w:w="80" w:type="dxa"/>
              <w:end w:w="100" w:type="dxa"/>
            </w:tcMar>
            <w:vAlign w:val="top"/>
          </w:tcPr>
          <w:p>
            <w:pPr>
              <w:spacing w:after="0"/>
            </w:pPr>
            <w:r>
              <w:rPr>
                <w:sz w:val="16"/>
              </w:rPr>
              <w:t>What known vulnerable components exist?</w:t>
            </w:r>
          </w:p>
        </w:tc>
      </w:tr>
      <w:tr>
        <w:trPr>
          <w:cantSplit/>
        </w:trPr>
        <w:tc>
          <w:tcPr>
            <w:tcW w:type="dxa" w:w="3024"/>
            <w:tcMar>
              <w:top w:w="80" w:type="dxa"/>
              <w:start w:w="100" w:type="dxa"/>
              <w:bottom w:w="80" w:type="dxa"/>
              <w:end w:w="100" w:type="dxa"/>
            </w:tcMar>
            <w:vAlign w:val="top"/>
          </w:tcPr>
          <w:p>
            <w:pPr>
              <w:spacing w:after="0"/>
            </w:pPr>
            <w:r>
              <w:rPr>
                <w:sz w:val="16"/>
              </w:rPr>
              <w:t>SBOM</w:t>
            </w:r>
          </w:p>
        </w:tc>
        <w:tc>
          <w:tcPr>
            <w:tcW w:type="dxa" w:w="6768"/>
            <w:tcMar>
              <w:top w:w="80" w:type="dxa"/>
              <w:start w:w="100" w:type="dxa"/>
              <w:bottom w:w="80" w:type="dxa"/>
              <w:end w:w="100" w:type="dxa"/>
            </w:tcMar>
            <w:vAlign w:val="top"/>
          </w:tcPr>
          <w:p>
            <w:pPr>
              <w:spacing w:after="0"/>
            </w:pPr>
            <w:r>
              <w:rPr>
                <w:sz w:val="16"/>
              </w:rPr>
              <w:t>What components and versions are included?</w:t>
            </w:r>
          </w:p>
        </w:tc>
      </w:tr>
      <w:tr>
        <w:trPr>
          <w:cantSplit/>
        </w:trPr>
        <w:tc>
          <w:tcPr>
            <w:tcW w:type="dxa" w:w="3024"/>
            <w:tcMar>
              <w:top w:w="80" w:type="dxa"/>
              <w:start w:w="100" w:type="dxa"/>
              <w:bottom w:w="80" w:type="dxa"/>
              <w:end w:w="100" w:type="dxa"/>
            </w:tcMar>
            <w:vAlign w:val="top"/>
          </w:tcPr>
          <w:p>
            <w:pPr>
              <w:spacing w:after="0"/>
            </w:pPr>
            <w:r>
              <w:rPr>
                <w:sz w:val="16"/>
              </w:rPr>
              <w:t>Provenance/attestation</w:t>
            </w:r>
          </w:p>
        </w:tc>
        <w:tc>
          <w:tcPr>
            <w:tcW w:type="dxa" w:w="6768"/>
            <w:tcMar>
              <w:top w:w="80" w:type="dxa"/>
              <w:start w:w="100" w:type="dxa"/>
              <w:bottom w:w="80" w:type="dxa"/>
              <w:end w:w="100" w:type="dxa"/>
            </w:tcMar>
            <w:vAlign w:val="top"/>
          </w:tcPr>
          <w:p>
            <w:pPr>
              <w:spacing w:after="0"/>
            </w:pPr>
            <w:r>
              <w:rPr>
                <w:sz w:val="16"/>
              </w:rPr>
              <w:t>Who built this artifact from which source and process?</w:t>
            </w:r>
          </w:p>
        </w:tc>
      </w:tr>
      <w:tr>
        <w:trPr>
          <w:cantSplit/>
        </w:trPr>
        <w:tc>
          <w:tcPr>
            <w:tcW w:type="dxa" w:w="3024"/>
            <w:tcMar>
              <w:top w:w="80" w:type="dxa"/>
              <w:start w:w="100" w:type="dxa"/>
              <w:bottom w:w="80" w:type="dxa"/>
              <w:end w:w="100" w:type="dxa"/>
            </w:tcMar>
            <w:vAlign w:val="top"/>
          </w:tcPr>
          <w:p>
            <w:pPr>
              <w:spacing w:after="0"/>
            </w:pPr>
            <w:r>
              <w:rPr>
                <w:sz w:val="16"/>
              </w:rPr>
              <w:t>Signature</w:t>
            </w:r>
          </w:p>
        </w:tc>
        <w:tc>
          <w:tcPr>
            <w:tcW w:type="dxa" w:w="6768"/>
            <w:tcMar>
              <w:top w:w="80" w:type="dxa"/>
              <w:start w:w="100" w:type="dxa"/>
              <w:bottom w:w="80" w:type="dxa"/>
              <w:end w:w="100" w:type="dxa"/>
            </w:tcMar>
            <w:vAlign w:val="top"/>
          </w:tcPr>
          <w:p>
            <w:pPr>
              <w:spacing w:after="0"/>
            </w:pPr>
            <w:r>
              <w:rPr>
                <w:sz w:val="16"/>
              </w:rPr>
              <w:t>Has an approved identity signed this digest?</w:t>
            </w:r>
          </w:p>
        </w:tc>
      </w:tr>
      <w:tr>
        <w:trPr>
          <w:cantSplit/>
        </w:trPr>
        <w:tc>
          <w:tcPr>
            <w:tcW w:type="dxa" w:w="3024"/>
            <w:tcMar>
              <w:top w:w="80" w:type="dxa"/>
              <w:start w:w="100" w:type="dxa"/>
              <w:bottom w:w="80" w:type="dxa"/>
              <w:end w:w="100" w:type="dxa"/>
            </w:tcMar>
            <w:vAlign w:val="top"/>
          </w:tcPr>
          <w:p>
            <w:pPr>
              <w:spacing w:after="0"/>
            </w:pPr>
            <w:r>
              <w:rPr>
                <w:sz w:val="16"/>
              </w:rPr>
              <w:t>Binary Authorization</w:t>
            </w:r>
          </w:p>
        </w:tc>
        <w:tc>
          <w:tcPr>
            <w:tcW w:type="dxa" w:w="6768"/>
            <w:tcMar>
              <w:top w:w="80" w:type="dxa"/>
              <w:start w:w="100" w:type="dxa"/>
              <w:bottom w:w="80" w:type="dxa"/>
              <w:end w:w="100" w:type="dxa"/>
            </w:tcMar>
            <w:vAlign w:val="top"/>
          </w:tcPr>
          <w:p>
            <w:pPr>
              <w:spacing w:after="0"/>
            </w:pPr>
            <w:r>
              <w:rPr>
                <w:sz w:val="16"/>
              </w:rPr>
              <w:t>Is this artifact permitted to deploy here?</w:t>
            </w:r>
          </w:p>
        </w:tc>
      </w:tr>
      <w:tr>
        <w:trPr>
          <w:cantSplit/>
        </w:trPr>
        <w:tc>
          <w:tcPr>
            <w:tcW w:type="dxa" w:w="3024"/>
            <w:tcMar>
              <w:top w:w="80" w:type="dxa"/>
              <w:start w:w="100" w:type="dxa"/>
              <w:bottom w:w="80" w:type="dxa"/>
              <w:end w:w="100" w:type="dxa"/>
            </w:tcMar>
            <w:vAlign w:val="top"/>
          </w:tcPr>
          <w:p>
            <w:pPr>
              <w:spacing w:after="0"/>
            </w:pPr>
            <w:r>
              <w:rPr>
                <w:sz w:val="16"/>
              </w:rPr>
              <w:t>Admission policy</w:t>
            </w:r>
          </w:p>
        </w:tc>
        <w:tc>
          <w:tcPr>
            <w:tcW w:type="dxa" w:w="6768"/>
            <w:tcMar>
              <w:top w:w="80" w:type="dxa"/>
              <w:start w:w="100" w:type="dxa"/>
              <w:bottom w:w="80" w:type="dxa"/>
              <w:end w:w="100" w:type="dxa"/>
            </w:tcMar>
            <w:vAlign w:val="top"/>
          </w:tcPr>
          <w:p>
            <w:pPr>
              <w:spacing w:after="0"/>
            </w:pPr>
            <w:r>
              <w:rPr>
                <w:sz w:val="16"/>
              </w:rPr>
              <w:t>Does the workload meet platform runtime requirements?</w:t>
            </w:r>
          </w:p>
        </w:tc>
      </w:tr>
    </w:tbl>
    <w:p>
      <w:pPr>
        <w:spacing w:after="20"/>
      </w:pPr>
    </w:p>
    <w:p>
      <w:pPr>
        <w:pStyle w:val="Heading2"/>
        <w:keepNext/>
      </w:pPr>
      <w:r>
        <w:t>31.4 Lifecycle and Incident Response</w:t>
      </w:r>
    </w:p>
    <w:p>
      <w:pPr>
        <w:spacing w:after="120"/>
      </w:pPr>
      <w:r>
        <w:rPr>
          <w:i w:val="0"/>
        </w:rPr>
        <w:t>Retention policies, cleanup rules, tag immutability conventions, and access logs prevent repositories from becoming uncontrolled archives. During a supply-chain incident, identify affected digests, stop promotion, revoke compromised identities, deny deployment, roll back to a known-good digest, rebuild from trusted inputs, and preserve evidence.</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Image pulls fail in runtime</w:t>
            </w:r>
          </w:p>
        </w:tc>
        <w:tc>
          <w:tcPr>
            <w:tcW w:type="dxa" w:w="2592"/>
            <w:tcMar>
              <w:top w:w="80" w:type="dxa"/>
              <w:start w:w="100" w:type="dxa"/>
              <w:bottom w:w="80" w:type="dxa"/>
              <w:end w:w="100" w:type="dxa"/>
            </w:tcMar>
            <w:vAlign w:val="top"/>
          </w:tcPr>
          <w:p>
            <w:pPr>
              <w:spacing w:after="0"/>
            </w:pPr>
            <w:r>
              <w:rPr>
                <w:sz w:val="16"/>
              </w:rPr>
              <w:t>Repository IAM, VPC/perimeter restriction, or wrong image path</w:t>
            </w:r>
          </w:p>
        </w:tc>
        <w:tc>
          <w:tcPr>
            <w:tcW w:type="dxa" w:w="5328"/>
            <w:tcMar>
              <w:top w:w="80" w:type="dxa"/>
              <w:start w:w="100" w:type="dxa"/>
              <w:bottom w:w="80" w:type="dxa"/>
              <w:end w:w="100" w:type="dxa"/>
            </w:tcMar>
            <w:vAlign w:val="top"/>
          </w:tcPr>
          <w:p>
            <w:pPr>
              <w:spacing w:after="0"/>
            </w:pPr>
            <w:r>
              <w:rPr>
                <w:sz w:val="16"/>
              </w:rPr>
              <w:t>Check workload identity, repository location, digest, audit logs, and network/perimeter policy.</w:t>
            </w:r>
          </w:p>
        </w:tc>
      </w:tr>
      <w:tr>
        <w:trPr>
          <w:cantSplit/>
        </w:trPr>
        <w:tc>
          <w:tcPr>
            <w:tcW w:type="dxa" w:w="2160"/>
            <w:tcMar>
              <w:top w:w="80" w:type="dxa"/>
              <w:start w:w="100" w:type="dxa"/>
              <w:bottom w:w="80" w:type="dxa"/>
              <w:end w:w="100" w:type="dxa"/>
            </w:tcMar>
            <w:vAlign w:val="top"/>
          </w:tcPr>
          <w:p>
            <w:pPr>
              <w:spacing w:after="0"/>
            </w:pPr>
            <w:r>
              <w:rPr>
                <w:sz w:val="16"/>
              </w:rPr>
              <w:t>Scan shows old critical CVE after rebuild</w:t>
            </w:r>
          </w:p>
        </w:tc>
        <w:tc>
          <w:tcPr>
            <w:tcW w:type="dxa" w:w="2592"/>
            <w:tcMar>
              <w:top w:w="80" w:type="dxa"/>
              <w:start w:w="100" w:type="dxa"/>
              <w:bottom w:w="80" w:type="dxa"/>
              <w:end w:w="100" w:type="dxa"/>
            </w:tcMar>
            <w:vAlign w:val="top"/>
          </w:tcPr>
          <w:p>
            <w:pPr>
              <w:spacing w:after="0"/>
            </w:pPr>
            <w:r>
              <w:rPr>
                <w:sz w:val="16"/>
              </w:rPr>
              <w:t>Base layer remains vulnerable or cached</w:t>
            </w:r>
          </w:p>
        </w:tc>
        <w:tc>
          <w:tcPr>
            <w:tcW w:type="dxa" w:w="5328"/>
            <w:tcMar>
              <w:top w:w="80" w:type="dxa"/>
              <w:start w:w="100" w:type="dxa"/>
              <w:bottom w:w="80" w:type="dxa"/>
              <w:end w:w="100" w:type="dxa"/>
            </w:tcMar>
            <w:vAlign w:val="top"/>
          </w:tcPr>
          <w:p>
            <w:pPr>
              <w:spacing w:after="0"/>
            </w:pPr>
            <w:r>
              <w:rPr>
                <w:sz w:val="16"/>
              </w:rPr>
              <w:t>Inspect SBOM/layers and builder cache; update pinned base and rebuild with provenance.</w:t>
            </w:r>
          </w:p>
        </w:tc>
      </w:tr>
      <w:tr>
        <w:trPr>
          <w:cantSplit/>
        </w:trPr>
        <w:tc>
          <w:tcPr>
            <w:tcW w:type="dxa" w:w="2160"/>
            <w:tcMar>
              <w:top w:w="80" w:type="dxa"/>
              <w:start w:w="100" w:type="dxa"/>
              <w:bottom w:w="80" w:type="dxa"/>
              <w:end w:w="100" w:type="dxa"/>
            </w:tcMar>
            <w:vAlign w:val="top"/>
          </w:tcPr>
          <w:p>
            <w:pPr>
              <w:spacing w:after="0"/>
            </w:pPr>
            <w:r>
              <w:rPr>
                <w:sz w:val="16"/>
              </w:rPr>
              <w:t>Binary Authorization blocks release</w:t>
            </w:r>
          </w:p>
        </w:tc>
        <w:tc>
          <w:tcPr>
            <w:tcW w:type="dxa" w:w="2592"/>
            <w:tcMar>
              <w:top w:w="80" w:type="dxa"/>
              <w:start w:w="100" w:type="dxa"/>
              <w:bottom w:w="80" w:type="dxa"/>
              <w:end w:w="100" w:type="dxa"/>
            </w:tcMar>
            <w:vAlign w:val="top"/>
          </w:tcPr>
          <w:p>
            <w:pPr>
              <w:spacing w:after="0"/>
            </w:pPr>
            <w:r>
              <w:rPr>
                <w:sz w:val="16"/>
              </w:rPr>
              <w:t>Missing/invalid attestation or policy mismatch</w:t>
            </w:r>
          </w:p>
        </w:tc>
        <w:tc>
          <w:tcPr>
            <w:tcW w:type="dxa" w:w="5328"/>
            <w:tcMar>
              <w:top w:w="80" w:type="dxa"/>
              <w:start w:w="100" w:type="dxa"/>
              <w:bottom w:w="80" w:type="dxa"/>
              <w:end w:w="100" w:type="dxa"/>
            </w:tcMar>
            <w:vAlign w:val="top"/>
          </w:tcPr>
          <w:p>
            <w:pPr>
              <w:spacing w:after="0"/>
            </w:pPr>
            <w:r>
              <w:rPr>
                <w:sz w:val="16"/>
              </w:rPr>
              <w:t>Inspect policy and attestor identity; create evidence through the trusted pipeline, never bypass casually.</w:t>
            </w:r>
          </w:p>
        </w:tc>
      </w:tr>
      <w:tr>
        <w:trPr>
          <w:cantSplit/>
        </w:trPr>
        <w:tc>
          <w:tcPr>
            <w:tcW w:type="dxa" w:w="2160"/>
            <w:tcMar>
              <w:top w:w="80" w:type="dxa"/>
              <w:start w:w="100" w:type="dxa"/>
              <w:bottom w:w="80" w:type="dxa"/>
              <w:end w:w="100" w:type="dxa"/>
            </w:tcMar>
            <w:vAlign w:val="top"/>
          </w:tcPr>
          <w:p>
            <w:pPr>
              <w:spacing w:after="0"/>
            </w:pPr>
            <w:r>
              <w:rPr>
                <w:sz w:val="16"/>
              </w:rPr>
              <w:t>Storage cost grows continuously</w:t>
            </w:r>
          </w:p>
        </w:tc>
        <w:tc>
          <w:tcPr>
            <w:tcW w:type="dxa" w:w="2592"/>
            <w:tcMar>
              <w:top w:w="80" w:type="dxa"/>
              <w:start w:w="100" w:type="dxa"/>
              <w:bottom w:w="80" w:type="dxa"/>
              <w:end w:w="100" w:type="dxa"/>
            </w:tcMar>
            <w:vAlign w:val="top"/>
          </w:tcPr>
          <w:p>
            <w:pPr>
              <w:spacing w:after="0"/>
            </w:pPr>
            <w:r>
              <w:rPr>
                <w:sz w:val="16"/>
              </w:rPr>
              <w:t>No cleanup or duplicated tags/artifacts</w:t>
            </w:r>
          </w:p>
        </w:tc>
        <w:tc>
          <w:tcPr>
            <w:tcW w:type="dxa" w:w="5328"/>
            <w:tcMar>
              <w:top w:w="80" w:type="dxa"/>
              <w:start w:w="100" w:type="dxa"/>
              <w:bottom w:w="80" w:type="dxa"/>
              <w:end w:w="100" w:type="dxa"/>
            </w:tcMar>
            <w:vAlign w:val="top"/>
          </w:tcPr>
          <w:p>
            <w:pPr>
              <w:spacing w:after="0"/>
            </w:pPr>
            <w:r>
              <w:rPr>
                <w:sz w:val="16"/>
              </w:rPr>
              <w:t>Measure repository bytes and age; enforce retention while preserving regulated release evidence.</w:t>
            </w:r>
          </w:p>
        </w:tc>
      </w:tr>
    </w:tbl>
    <w:p>
      <w:pPr>
        <w:spacing w:after="20"/>
      </w:pPr>
    </w:p>
    <w:p>
      <w:pPr>
        <w:pStyle w:val="Heading2"/>
        <w:keepNext/>
      </w:pPr>
      <w:r>
        <w:t>Hands-on Lab 31: Build a Policy-Controlled Image Promotion Path</w:t>
      </w:r>
    </w:p>
    <w:p>
      <w:pPr>
        <w:pStyle w:val="Heading3"/>
        <w:keepNext/>
      </w:pPr>
      <w:r>
        <w:t>Prerequisites</w:t>
      </w:r>
    </w:p>
    <w:p>
      <w:pPr>
        <w:pStyle w:val="ListBullet"/>
        <w:spacing w:after="60"/>
      </w:pPr>
      <w:r>
        <w:t>Artifact Registry, Cloud Build or another trusted builder, a small test runtime, and permissions for repository and policy configuration.</w:t>
      </w:r>
    </w:p>
    <w:p>
      <w:pPr>
        <w:pStyle w:val="Heading3"/>
        <w:keepNext/>
      </w:pPr>
      <w:r>
        <w:t>Implementation</w:t>
      </w:r>
    </w:p>
    <w:p>
      <w:pPr>
        <w:spacing w:after="60"/>
        <w:ind w:left="360" w:hanging="259"/>
      </w:pPr>
      <w:r>
        <w:rPr>
          <w:b/>
        </w:rPr>
        <w:t xml:space="preserve">1. </w:t>
      </w:r>
      <w:r>
        <w:t>Create separate development and production repositories with least-privilege writer and reader roles.</w:t>
      </w:r>
    </w:p>
    <w:p>
      <w:pPr>
        <w:spacing w:after="60"/>
        <w:ind w:left="360" w:hanging="259"/>
      </w:pPr>
      <w:r>
        <w:rPr>
          <w:b/>
        </w:rPr>
        <w:t xml:space="preserve">2. </w:t>
      </w:r>
      <w:r>
        <w:t>Build a small application from a pinned base image and record source revision and digest.</w:t>
      </w:r>
    </w:p>
    <w:p>
      <w:pPr>
        <w:spacing w:after="60"/>
        <w:ind w:left="360" w:hanging="259"/>
      </w:pPr>
      <w:r>
        <w:rPr>
          <w:b/>
        </w:rPr>
        <w:t xml:space="preserve">3. </w:t>
      </w:r>
      <w:r>
        <w:t>Generate vulnerability and SBOM evidence; classify findings by exploitability and runtime exposure.</w:t>
      </w:r>
    </w:p>
    <w:p>
      <w:pPr>
        <w:spacing w:after="60"/>
        <w:ind w:left="360" w:hanging="259"/>
      </w:pPr>
      <w:r>
        <w:rPr>
          <w:b/>
        </w:rPr>
        <w:t xml:space="preserve">4. </w:t>
      </w:r>
      <w:r>
        <w:t>Promote the exact digest to production without rebuilding it.</w:t>
      </w:r>
    </w:p>
    <w:p>
      <w:pPr>
        <w:spacing w:after="60"/>
        <w:ind w:left="360" w:hanging="259"/>
      </w:pPr>
      <w:r>
        <w:rPr>
          <w:b/>
        </w:rPr>
        <w:t xml:space="preserve">5. </w:t>
      </w:r>
      <w:r>
        <w:t>Create an attestation or signing step and configure a policy that rejects an unsigned test image.</w:t>
      </w:r>
    </w:p>
    <w:p>
      <w:pPr>
        <w:spacing w:after="60"/>
        <w:ind w:left="360" w:hanging="259"/>
      </w:pPr>
      <w:r>
        <w:rPr>
          <w:b/>
        </w:rPr>
        <w:t xml:space="preserve">6. </w:t>
      </w:r>
      <w:r>
        <w:t>Deploy the approved digest and demonstrate rollback to the prior digest.</w:t>
      </w:r>
    </w:p>
    <w:p>
      <w:pPr>
        <w:spacing w:after="60"/>
        <w:ind w:left="360" w:hanging="259"/>
      </w:pPr>
      <w:r>
        <w:rPr>
          <w:b/>
        </w:rPr>
        <w:t xml:space="preserve">7. </w:t>
      </w:r>
      <w:r>
        <w:t>Configure cleanup rules and export audit evidence.</w:t>
      </w:r>
    </w:p>
    <w:p>
      <w:pPr>
        <w:pStyle w:val="Heading3"/>
        <w:keepNext/>
      </w:pPr>
      <w:r>
        <w:t>Validation Evidence</w:t>
      </w:r>
    </w:p>
    <w:p>
      <w:pPr>
        <w:pStyle w:val="ListBullet"/>
        <w:spacing w:after="60"/>
      </w:pPr>
      <w:r>
        <w:t>The same digest is traceable across build, test, promotion, and deployment.</w:t>
      </w:r>
    </w:p>
    <w:p>
      <w:pPr>
        <w:pStyle w:val="ListBullet"/>
        <w:spacing w:after="60"/>
      </w:pPr>
      <w:r>
        <w:t>An unapproved artifact is denied while an approved artifact deploys.</w:t>
      </w:r>
    </w:p>
    <w:p>
      <w:pPr>
        <w:pStyle w:val="ListBullet"/>
        <w:spacing w:after="60"/>
      </w:pPr>
      <w:r>
        <w:t>Runtime identity can pull but cannot overwrite images.</w:t>
      </w:r>
    </w:p>
    <w:p>
      <w:pPr>
        <w:pStyle w:val="ListBullet"/>
        <w:spacing w:after="60"/>
      </w:pPr>
      <w:r>
        <w:t>Rollback and repository cleanup are proven.</w:t>
      </w:r>
    </w:p>
    <w:p>
      <w:pPr>
        <w:pStyle w:val="Heading3"/>
        <w:keepNext/>
      </w:pPr>
      <w:r>
        <w:t>Cleanup</w:t>
      </w:r>
    </w:p>
    <w:p>
      <w:pPr>
        <w:pStyle w:val="ListBullet"/>
        <w:spacing w:after="60"/>
      </w:pPr>
      <w:r>
        <w:t>Delete test images, repositories if dedicated, policy objects, service accounts, builds, and runtime resources.</w:t>
      </w:r>
    </w:p>
    <w:p>
      <w:pPr>
        <w:pStyle w:val="Heading2"/>
        <w:keepNext/>
      </w:pPr>
      <w:r>
        <w:t>Interview Questions and Model Answers</w:t>
      </w:r>
    </w:p>
    <w:p>
      <w:pPr>
        <w:spacing w:after="40"/>
      </w:pPr>
      <w:r>
        <w:rPr>
          <w:b/>
        </w:rPr>
        <w:t>1. Why deploy by digest?</w:t>
      </w:r>
    </w:p>
    <w:p>
      <w:pPr>
        <w:spacing w:after="120"/>
        <w:ind w:left="216"/>
      </w:pPr>
      <w:r>
        <w:t>A digest identifies immutable content; a tag can be moved and does not by itself prove which bytes were deployed.</w:t>
      </w:r>
    </w:p>
    <w:p>
      <w:pPr>
        <w:spacing w:after="40"/>
      </w:pPr>
      <w:r>
        <w:rPr>
          <w:b/>
        </w:rPr>
        <w:t>2. Does a vulnerability scan prove an image is safe?</w:t>
      </w:r>
    </w:p>
    <w:p>
      <w:pPr>
        <w:spacing w:after="120"/>
        <w:ind w:left="216"/>
      </w:pPr>
      <w:r>
        <w:t>No. It covers known findings in scanned components and must be combined with provenance, configuration, exposure analysis, and policy.</w:t>
      </w:r>
    </w:p>
    <w:p>
      <w:pPr>
        <w:spacing w:after="40"/>
      </w:pPr>
      <w:r>
        <w:rPr>
          <w:b/>
        </w:rPr>
        <w:t>3. What is Binary Authorization?</w:t>
      </w:r>
    </w:p>
    <w:p>
      <w:pPr>
        <w:spacing w:after="120"/>
        <w:ind w:left="216"/>
      </w:pPr>
      <w:r>
        <w:t>A deploy-time policy control that evaluates attestations and rules before allowing an image to run.</w:t>
      </w:r>
    </w:p>
    <w:p>
      <w:pPr>
        <w:spacing w:after="40"/>
      </w:pPr>
      <w:r>
        <w:rPr>
          <w:b/>
        </w:rPr>
        <w:t>4. Why separate build and deploy identities?</w:t>
      </w:r>
    </w:p>
    <w:p>
      <w:pPr>
        <w:spacing w:after="120"/>
        <w:ind w:left="216"/>
      </w:pPr>
      <w:r>
        <w:t>It limits blast radius and prevents one compromised identity from both creating and releasing artifacts.</w:t>
      </w:r>
    </w:p>
    <w:p>
      <w:pPr>
        <w:pStyle w:val="Heading2"/>
        <w:keepNext/>
      </w:pPr>
      <w:r>
        <w:t>Chapter Summary</w:t>
      </w:r>
    </w:p>
    <w:p>
      <w:pPr>
        <w:pStyle w:val="ListBullet"/>
        <w:spacing w:after="60"/>
      </w:pPr>
      <w:r>
        <w:t>Artifact integrity begins before deployment.</w:t>
      </w:r>
    </w:p>
    <w:p>
      <w:pPr>
        <w:pStyle w:val="ListBullet"/>
        <w:spacing w:after="60"/>
      </w:pPr>
      <w:r>
        <w:t>Build once and promote immutable digests.</w:t>
      </w:r>
    </w:p>
    <w:p>
      <w:pPr>
        <w:pStyle w:val="ListBullet"/>
        <w:spacing w:after="60"/>
      </w:pPr>
      <w:r>
        <w:t>Scanning, provenance, signing, and policy answer different trust questions.</w:t>
      </w:r>
    </w:p>
    <w:p>
      <w:pPr>
        <w:pStyle w:val="ListBullet"/>
        <w:spacing w:after="60"/>
      </w:pPr>
      <w:r>
        <w:t>Repository lifecycle and incident response require operational ownership.</w:t>
      </w:r>
    </w:p>
    <w:p>
      <w:pPr>
        <w:pStyle w:val="Heading1"/>
        <w:keepNext/>
        <w:pageBreakBefore/>
      </w:pPr>
      <w:r>
        <w:t>Chapter 32 - Google Kubernetes Engine Architecture and Cluster Design</w:t>
      </w:r>
    </w:p>
    <w:p>
      <w:pPr>
        <w:spacing w:after="120"/>
      </w:pPr>
      <w:r>
        <w:rPr>
          <w:i/>
          <w:color w:val="505050"/>
        </w:rPr>
        <w:t>Selecting GKE modes, designing cluster boundaries, and securing workload identity</w:t>
      </w:r>
    </w:p>
    <w:p>
      <w:pPr>
        <w:pStyle w:val="Heading2"/>
        <w:keepNext/>
      </w:pPr>
      <w:r>
        <w:t>Learning Objectives</w:t>
      </w:r>
    </w:p>
    <w:p>
      <w:pPr>
        <w:pStyle w:val="ListBullet"/>
        <w:spacing w:after="60"/>
      </w:pPr>
      <w:r>
        <w:t>Compare GKE Autopilot and Standard operating models.</w:t>
      </w:r>
    </w:p>
    <w:p>
      <w:pPr>
        <w:pStyle w:val="ListBullet"/>
        <w:spacing w:after="60"/>
      </w:pPr>
      <w:r>
        <w:t>Design cluster, project, region, release-channel, and tenancy boundaries.</w:t>
      </w:r>
    </w:p>
    <w:p>
      <w:pPr>
        <w:pStyle w:val="ListBullet"/>
        <w:spacing w:after="60"/>
      </w:pPr>
      <w:r>
        <w:t>Use Workload Identity Federation for GKE and least-privilege Kubernetes authorization.</w:t>
      </w:r>
    </w:p>
    <w:p>
      <w:pPr>
        <w:pStyle w:val="ListBullet"/>
        <w:spacing w:after="60"/>
      </w:pPr>
      <w:r>
        <w:t>Plan node, control-plane, upgrade, and availability architecture.</w:t>
      </w:r>
    </w:p>
    <w:p>
      <w:pPr>
        <w:pStyle w:val="Heading2"/>
        <w:keepNext/>
      </w:pPr>
      <w:r>
        <w:t>32.1 Autopilot and Standard</w:t>
      </w:r>
    </w:p>
    <w:p>
      <w:pPr>
        <w:spacing w:after="120"/>
      </w:pPr>
      <w:r>
        <w:rPr>
          <w:i w:val="0"/>
        </w:rPr>
        <w:t>GKE Autopilot is a mode where Google manages node infrastructure configuration, scaling, security defaults, and many operational settings. Standard provides deeper control of nodes, system configuration, and specialized workloads. Modern GKE also allows selected Autopilot-mode workloads in Standard clusters through ComputeClasses, but platform teams should adopt such features only after compatibility and lifecycle review.</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448"/>
            <w:shd w:fill="1A73E8"/>
            <w:tcMar>
              <w:top w:w="80" w:type="dxa"/>
              <w:start w:w="100" w:type="dxa"/>
              <w:bottom w:w="80" w:type="dxa"/>
              <w:end w:w="100" w:type="dxa"/>
            </w:tcMar>
            <w:vAlign w:val="center"/>
          </w:tcPr>
          <w:p>
            <w:pPr>
              <w:jc w:val="center"/>
            </w:pPr>
            <w:r>
              <w:rPr>
                <w:b/>
                <w:color w:val="FFFFFF"/>
                <w:sz w:val="16"/>
              </w:rPr>
              <w:t>Decision Area</w:t>
            </w:r>
          </w:p>
        </w:tc>
        <w:tc>
          <w:tcPr>
            <w:tcW w:type="dxa" w:w="3600"/>
            <w:shd w:fill="1A73E8"/>
            <w:tcMar>
              <w:top w:w="80" w:type="dxa"/>
              <w:start w:w="100" w:type="dxa"/>
              <w:bottom w:w="80" w:type="dxa"/>
              <w:end w:w="100" w:type="dxa"/>
            </w:tcMar>
            <w:vAlign w:val="center"/>
          </w:tcPr>
          <w:p>
            <w:pPr>
              <w:jc w:val="center"/>
            </w:pPr>
            <w:r>
              <w:rPr>
                <w:b/>
                <w:color w:val="FFFFFF"/>
                <w:sz w:val="16"/>
              </w:rPr>
              <w:t>Autopilot</w:t>
            </w:r>
          </w:p>
        </w:tc>
        <w:tc>
          <w:tcPr>
            <w:tcW w:type="dxa" w:w="3600"/>
            <w:shd w:fill="1A73E8"/>
            <w:tcMar>
              <w:top w:w="80" w:type="dxa"/>
              <w:start w:w="100" w:type="dxa"/>
              <w:bottom w:w="80" w:type="dxa"/>
              <w:end w:w="100" w:type="dxa"/>
            </w:tcMar>
            <w:vAlign w:val="center"/>
          </w:tcPr>
          <w:p>
            <w:pPr>
              <w:jc w:val="center"/>
            </w:pPr>
            <w:r>
              <w:rPr>
                <w:b/>
                <w:color w:val="FFFFFF"/>
                <w:sz w:val="16"/>
              </w:rPr>
              <w:t>Standard</w:t>
            </w:r>
          </w:p>
        </w:tc>
      </w:tr>
      <w:tr>
        <w:trPr>
          <w:cantSplit/>
        </w:trPr>
        <w:tc>
          <w:tcPr>
            <w:tcW w:type="dxa" w:w="2448"/>
            <w:tcMar>
              <w:top w:w="80" w:type="dxa"/>
              <w:start w:w="100" w:type="dxa"/>
              <w:bottom w:w="80" w:type="dxa"/>
              <w:end w:w="100" w:type="dxa"/>
            </w:tcMar>
            <w:vAlign w:val="top"/>
          </w:tcPr>
          <w:p>
            <w:pPr>
              <w:spacing w:after="0"/>
            </w:pPr>
            <w:r>
              <w:rPr>
                <w:sz w:val="16"/>
              </w:rPr>
              <w:t>Node operations</w:t>
            </w:r>
          </w:p>
        </w:tc>
        <w:tc>
          <w:tcPr>
            <w:tcW w:type="dxa" w:w="3600"/>
            <w:tcMar>
              <w:top w:w="80" w:type="dxa"/>
              <w:start w:w="100" w:type="dxa"/>
              <w:bottom w:w="80" w:type="dxa"/>
              <w:end w:w="100" w:type="dxa"/>
            </w:tcMar>
            <w:vAlign w:val="top"/>
          </w:tcPr>
          <w:p>
            <w:pPr>
              <w:spacing w:after="0"/>
            </w:pPr>
            <w:r>
              <w:rPr>
                <w:sz w:val="16"/>
              </w:rPr>
              <w:t>Google-managed</w:t>
            </w:r>
          </w:p>
        </w:tc>
        <w:tc>
          <w:tcPr>
            <w:tcW w:type="dxa" w:w="3600"/>
            <w:tcMar>
              <w:top w:w="80" w:type="dxa"/>
              <w:start w:w="100" w:type="dxa"/>
              <w:bottom w:w="80" w:type="dxa"/>
              <w:end w:w="100" w:type="dxa"/>
            </w:tcMar>
            <w:vAlign w:val="top"/>
          </w:tcPr>
          <w:p>
            <w:pPr>
              <w:spacing w:after="0"/>
            </w:pPr>
            <w:r>
              <w:rPr>
                <w:sz w:val="16"/>
              </w:rPr>
              <w:t>Platform-managed node pools and configuration</w:t>
            </w:r>
          </w:p>
        </w:tc>
      </w:tr>
      <w:tr>
        <w:trPr>
          <w:cantSplit/>
        </w:trPr>
        <w:tc>
          <w:tcPr>
            <w:tcW w:type="dxa" w:w="2448"/>
            <w:tcMar>
              <w:top w:w="80" w:type="dxa"/>
              <w:start w:w="100" w:type="dxa"/>
              <w:bottom w:w="80" w:type="dxa"/>
              <w:end w:w="100" w:type="dxa"/>
            </w:tcMar>
            <w:vAlign w:val="top"/>
          </w:tcPr>
          <w:p>
            <w:pPr>
              <w:spacing w:after="0"/>
            </w:pPr>
            <w:r>
              <w:rPr>
                <w:sz w:val="16"/>
              </w:rPr>
              <w:t>Security defaults</w:t>
            </w:r>
          </w:p>
        </w:tc>
        <w:tc>
          <w:tcPr>
            <w:tcW w:type="dxa" w:w="3600"/>
            <w:tcMar>
              <w:top w:w="80" w:type="dxa"/>
              <w:start w:w="100" w:type="dxa"/>
              <w:bottom w:w="80" w:type="dxa"/>
              <w:end w:w="100" w:type="dxa"/>
            </w:tcMar>
            <w:vAlign w:val="top"/>
          </w:tcPr>
          <w:p>
            <w:pPr>
              <w:spacing w:after="0"/>
            </w:pPr>
            <w:r>
              <w:rPr>
                <w:sz w:val="16"/>
              </w:rPr>
              <w:t>Stronger managed baseline</w:t>
            </w:r>
          </w:p>
        </w:tc>
        <w:tc>
          <w:tcPr>
            <w:tcW w:type="dxa" w:w="3600"/>
            <w:tcMar>
              <w:top w:w="80" w:type="dxa"/>
              <w:start w:w="100" w:type="dxa"/>
              <w:bottom w:w="80" w:type="dxa"/>
              <w:end w:w="100" w:type="dxa"/>
            </w:tcMar>
            <w:vAlign w:val="top"/>
          </w:tcPr>
          <w:p>
            <w:pPr>
              <w:spacing w:after="0"/>
            </w:pPr>
            <w:r>
              <w:rPr>
                <w:sz w:val="16"/>
              </w:rPr>
              <w:t>More flexibility and more responsibility</w:t>
            </w:r>
          </w:p>
        </w:tc>
      </w:tr>
      <w:tr>
        <w:trPr>
          <w:cantSplit/>
        </w:trPr>
        <w:tc>
          <w:tcPr>
            <w:tcW w:type="dxa" w:w="2448"/>
            <w:tcMar>
              <w:top w:w="80" w:type="dxa"/>
              <w:start w:w="100" w:type="dxa"/>
              <w:bottom w:w="80" w:type="dxa"/>
              <w:end w:w="100" w:type="dxa"/>
            </w:tcMar>
            <w:vAlign w:val="top"/>
          </w:tcPr>
          <w:p>
            <w:pPr>
              <w:spacing w:after="0"/>
            </w:pPr>
            <w:r>
              <w:rPr>
                <w:sz w:val="16"/>
              </w:rPr>
              <w:t>Specialized hardware/config</w:t>
            </w:r>
          </w:p>
        </w:tc>
        <w:tc>
          <w:tcPr>
            <w:tcW w:type="dxa" w:w="3600"/>
            <w:tcMar>
              <w:top w:w="80" w:type="dxa"/>
              <w:start w:w="100" w:type="dxa"/>
              <w:bottom w:w="80" w:type="dxa"/>
              <w:end w:w="100" w:type="dxa"/>
            </w:tcMar>
            <w:vAlign w:val="top"/>
          </w:tcPr>
          <w:p>
            <w:pPr>
              <w:spacing w:after="0"/>
            </w:pPr>
            <w:r>
              <w:rPr>
                <w:sz w:val="16"/>
              </w:rPr>
              <w:t>Supported set with managed constraints</w:t>
            </w:r>
          </w:p>
        </w:tc>
        <w:tc>
          <w:tcPr>
            <w:tcW w:type="dxa" w:w="3600"/>
            <w:tcMar>
              <w:top w:w="80" w:type="dxa"/>
              <w:start w:w="100" w:type="dxa"/>
              <w:bottom w:w="80" w:type="dxa"/>
              <w:end w:w="100" w:type="dxa"/>
            </w:tcMar>
            <w:vAlign w:val="top"/>
          </w:tcPr>
          <w:p>
            <w:pPr>
              <w:spacing w:after="0"/>
            </w:pPr>
            <w:r>
              <w:rPr>
                <w:sz w:val="16"/>
              </w:rPr>
              <w:t>Broad control for GPUs, local SSD, daemon workloads, custom settings</w:t>
            </w:r>
          </w:p>
        </w:tc>
      </w:tr>
      <w:tr>
        <w:trPr>
          <w:cantSplit/>
        </w:trPr>
        <w:tc>
          <w:tcPr>
            <w:tcW w:type="dxa" w:w="2448"/>
            <w:tcMar>
              <w:top w:w="80" w:type="dxa"/>
              <w:start w:w="100" w:type="dxa"/>
              <w:bottom w:w="80" w:type="dxa"/>
              <w:end w:w="100" w:type="dxa"/>
            </w:tcMar>
            <w:vAlign w:val="top"/>
          </w:tcPr>
          <w:p>
            <w:pPr>
              <w:spacing w:after="0"/>
            </w:pPr>
            <w:r>
              <w:rPr>
                <w:sz w:val="16"/>
              </w:rPr>
              <w:t>Cost model</w:t>
            </w:r>
          </w:p>
        </w:tc>
        <w:tc>
          <w:tcPr>
            <w:tcW w:type="dxa" w:w="3600"/>
            <w:tcMar>
              <w:top w:w="80" w:type="dxa"/>
              <w:start w:w="100" w:type="dxa"/>
              <w:bottom w:w="80" w:type="dxa"/>
              <w:end w:w="100" w:type="dxa"/>
            </w:tcMar>
            <w:vAlign w:val="top"/>
          </w:tcPr>
          <w:p>
            <w:pPr>
              <w:spacing w:after="0"/>
            </w:pPr>
            <w:r>
              <w:rPr>
                <w:sz w:val="16"/>
              </w:rPr>
              <w:t>Workload resource based for most pods</w:t>
            </w:r>
          </w:p>
        </w:tc>
        <w:tc>
          <w:tcPr>
            <w:tcW w:type="dxa" w:w="3600"/>
            <w:tcMar>
              <w:top w:w="80" w:type="dxa"/>
              <w:start w:w="100" w:type="dxa"/>
              <w:bottom w:w="80" w:type="dxa"/>
              <w:end w:w="100" w:type="dxa"/>
            </w:tcMar>
            <w:vAlign w:val="top"/>
          </w:tcPr>
          <w:p>
            <w:pPr>
              <w:spacing w:after="0"/>
            </w:pPr>
            <w:r>
              <w:rPr>
                <w:sz w:val="16"/>
              </w:rPr>
              <w:t>Node capacity plus cluster operations</w:t>
            </w:r>
          </w:p>
        </w:tc>
      </w:tr>
      <w:tr>
        <w:trPr>
          <w:cantSplit/>
        </w:trPr>
        <w:tc>
          <w:tcPr>
            <w:tcW w:type="dxa" w:w="2448"/>
            <w:tcMar>
              <w:top w:w="80" w:type="dxa"/>
              <w:start w:w="100" w:type="dxa"/>
              <w:bottom w:w="80" w:type="dxa"/>
              <w:end w:w="100" w:type="dxa"/>
            </w:tcMar>
            <w:vAlign w:val="top"/>
          </w:tcPr>
          <w:p>
            <w:pPr>
              <w:spacing w:after="0"/>
            </w:pPr>
            <w:r>
              <w:rPr>
                <w:sz w:val="16"/>
              </w:rPr>
              <w:t>Best fit</w:t>
            </w:r>
          </w:p>
        </w:tc>
        <w:tc>
          <w:tcPr>
            <w:tcW w:type="dxa" w:w="3600"/>
            <w:tcMar>
              <w:top w:w="80" w:type="dxa"/>
              <w:start w:w="100" w:type="dxa"/>
              <w:bottom w:w="80" w:type="dxa"/>
              <w:end w:w="100" w:type="dxa"/>
            </w:tcMar>
            <w:vAlign w:val="top"/>
          </w:tcPr>
          <w:p>
            <w:pPr>
              <w:spacing w:after="0"/>
            </w:pPr>
            <w:r>
              <w:rPr>
                <w:sz w:val="16"/>
              </w:rPr>
              <w:t>Most application workloads and small platform teams</w:t>
            </w:r>
          </w:p>
        </w:tc>
        <w:tc>
          <w:tcPr>
            <w:tcW w:type="dxa" w:w="3600"/>
            <w:tcMar>
              <w:top w:w="80" w:type="dxa"/>
              <w:start w:w="100" w:type="dxa"/>
              <w:bottom w:w="80" w:type="dxa"/>
              <w:end w:w="100" w:type="dxa"/>
            </w:tcMar>
            <w:vAlign w:val="top"/>
          </w:tcPr>
          <w:p>
            <w:pPr>
              <w:spacing w:after="0"/>
            </w:pPr>
            <w:r>
              <w:rPr>
                <w:sz w:val="16"/>
              </w:rPr>
              <w:t>Specialized or deeply customized platform requirements</w:t>
            </w:r>
          </w:p>
        </w:tc>
      </w:tr>
    </w:tbl>
    <w:p>
      <w:pPr>
        <w:spacing w:after="20"/>
      </w:pPr>
    </w:p>
    <w:p>
      <w:pPr>
        <w:pStyle w:val="Heading2"/>
        <w:keepNext/>
      </w:pPr>
      <w:r>
        <w:t>32.2 Cluster and Tenancy Boundaries</w:t>
      </w:r>
    </w:p>
    <w:p>
      <w:pPr>
        <w:spacing w:after="120"/>
      </w:pPr>
      <w:r>
        <w:rPr>
          <w:i w:val="0"/>
        </w:rPr>
        <w:t>A cluster is a security, availability, quota, upgrade, and blast-radius boundary. Separate clusters when workloads require incompatible trust, lifecycle, networking, compliance, or operational ownership. Namespaces improve organization and policy but do not automatically provide hard multi-tenancy.</w:t>
      </w:r>
    </w:p>
    <w:p>
      <w:pPr>
        <w:pStyle w:val="ListBullet"/>
        <w:spacing w:after="60"/>
      </w:pPr>
      <w:r>
        <w:t>Prefer regional clusters for production availability where cost and service support allow.</w:t>
      </w:r>
    </w:p>
    <w:p>
      <w:pPr>
        <w:pStyle w:val="ListBullet"/>
        <w:spacing w:after="60"/>
      </w:pPr>
      <w:r>
        <w:t>Use separate projects and folders to reinforce billing, IAM, quota, and policy boundaries.</w:t>
      </w:r>
    </w:p>
    <w:p>
      <w:pPr>
        <w:pStyle w:val="ListBullet"/>
        <w:spacing w:after="60"/>
      </w:pPr>
      <w:r>
        <w:t>Choose release channels and maintenance windows deliberately.</w:t>
      </w:r>
    </w:p>
    <w:p>
      <w:pPr>
        <w:pStyle w:val="ListBullet"/>
        <w:spacing w:after="60"/>
      </w:pPr>
      <w:r>
        <w:t>Document which teams own cluster, namespaces, platform add-ons, and application resources.</w:t>
      </w:r>
    </w:p>
    <w:p>
      <w:pPr>
        <w:pStyle w:val="Heading2"/>
        <w:keepNext/>
      </w:pPr>
      <w:r>
        <w:t>32.3 Identity and Authorization</w:t>
      </w:r>
    </w:p>
    <w:p>
      <w:pPr>
        <w:spacing w:after="120"/>
      </w:pPr>
      <w:r>
        <w:rPr>
          <w:i w:val="0"/>
        </w:rPr>
        <w:t>Workload Identity Federation for GKE is the recommended way for workloads to access Google Cloud APIs without downloaded service-account keys. Autopilot enables it by default; Standard requires cluster and node-pool configuration. Kubernetes RBAC controls Kubernetes API actions, while Google Cloud IAM controls Google Cloud resources. Both must be least-privileged.</w:t>
      </w:r>
    </w:p>
    <w:p>
      <w:pPr>
        <w:pStyle w:val="CodeBlock"/>
        <w:keepLines/>
        <w:spacing w:after="120"/>
      </w:pPr>
      <w:r>
        <w:rPr>
          <w:rFonts w:ascii="Cascadia Mono" w:hAnsi="Cascadia Mono"/>
          <w:sz w:val="16"/>
        </w:rPr>
        <w:t>gcloud container clusters describe CLUSTER --region=REGION --format='yaml(autopilot,releaseChannel,workloadIdentityConfig,privateClusterConfig)'</w:t>
        <w:br/>
        <w:t>kubectl auth can-i list secrets --as=system:serviceaccount:orders:orders-api</w:t>
      </w:r>
    </w:p>
    <w:p>
      <w:pPr>
        <w:pStyle w:val="Heading2"/>
        <w:keepNext/>
      </w:pPr>
      <w:r>
        <w:t>32.4 Availability and Upgrade Design</w:t>
      </w:r>
    </w:p>
    <w:p>
      <w:pPr>
        <w:spacing w:after="120"/>
      </w:pPr>
      <w:r>
        <w:rPr>
          <w:i w:val="0"/>
        </w:rPr>
        <w:t>Control-plane availability does not guarantee application availability. Applications need topology spread, multiple replicas, PodDisruptionBudgets, readiness probes, graceful termination, suitable storage, and dependency resilience. Release channels, surge upgrades, maintenance exclusions, and version-skew rules must be integrated with application testing.</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Pods cannot call Google API</w:t>
            </w:r>
          </w:p>
        </w:tc>
        <w:tc>
          <w:tcPr>
            <w:tcW w:type="dxa" w:w="2592"/>
            <w:tcMar>
              <w:top w:w="80" w:type="dxa"/>
              <w:start w:w="100" w:type="dxa"/>
              <w:bottom w:w="80" w:type="dxa"/>
              <w:end w:w="100" w:type="dxa"/>
            </w:tcMar>
            <w:vAlign w:val="top"/>
          </w:tcPr>
          <w:p>
            <w:pPr>
              <w:spacing w:after="0"/>
            </w:pPr>
            <w:r>
              <w:rPr>
                <w:sz w:val="16"/>
              </w:rPr>
              <w:t>Workload identity binding, IAM role, audience, or metadata issue</w:t>
            </w:r>
          </w:p>
        </w:tc>
        <w:tc>
          <w:tcPr>
            <w:tcW w:type="dxa" w:w="5328"/>
            <w:tcMar>
              <w:top w:w="80" w:type="dxa"/>
              <w:start w:w="100" w:type="dxa"/>
              <w:bottom w:w="80" w:type="dxa"/>
              <w:end w:w="100" w:type="dxa"/>
            </w:tcMar>
            <w:vAlign w:val="top"/>
          </w:tcPr>
          <w:p>
            <w:pPr>
              <w:spacing w:after="0"/>
            </w:pPr>
            <w:r>
              <w:rPr>
                <w:sz w:val="16"/>
              </w:rPr>
              <w:t>Inspect Kubernetes service account annotation/principal, token, IAM policy, and workload logs.</w:t>
            </w:r>
          </w:p>
        </w:tc>
      </w:tr>
      <w:tr>
        <w:trPr>
          <w:cantSplit/>
        </w:trPr>
        <w:tc>
          <w:tcPr>
            <w:tcW w:type="dxa" w:w="2160"/>
            <w:tcMar>
              <w:top w:w="80" w:type="dxa"/>
              <w:start w:w="100" w:type="dxa"/>
              <w:bottom w:w="80" w:type="dxa"/>
              <w:end w:w="100" w:type="dxa"/>
            </w:tcMar>
            <w:vAlign w:val="top"/>
          </w:tcPr>
          <w:p>
            <w:pPr>
              <w:spacing w:after="0"/>
            </w:pPr>
            <w:r>
              <w:rPr>
                <w:sz w:val="16"/>
              </w:rPr>
              <w:t>Cluster upgrade disrupts service</w:t>
            </w:r>
          </w:p>
        </w:tc>
        <w:tc>
          <w:tcPr>
            <w:tcW w:type="dxa" w:w="2592"/>
            <w:tcMar>
              <w:top w:w="80" w:type="dxa"/>
              <w:start w:w="100" w:type="dxa"/>
              <w:bottom w:w="80" w:type="dxa"/>
              <w:end w:w="100" w:type="dxa"/>
            </w:tcMar>
            <w:vAlign w:val="top"/>
          </w:tcPr>
          <w:p>
            <w:pPr>
              <w:spacing w:after="0"/>
            </w:pPr>
            <w:r>
              <w:rPr>
                <w:sz w:val="16"/>
              </w:rPr>
              <w:t>Single replica, strict PDB, slow termination, or no surge capacity</w:t>
            </w:r>
          </w:p>
        </w:tc>
        <w:tc>
          <w:tcPr>
            <w:tcW w:type="dxa" w:w="5328"/>
            <w:tcMar>
              <w:top w:w="80" w:type="dxa"/>
              <w:start w:w="100" w:type="dxa"/>
              <w:bottom w:w="80" w:type="dxa"/>
              <w:end w:w="100" w:type="dxa"/>
            </w:tcMar>
            <w:vAlign w:val="top"/>
          </w:tcPr>
          <w:p>
            <w:pPr>
              <w:spacing w:after="0"/>
            </w:pPr>
            <w:r>
              <w:rPr>
                <w:sz w:val="16"/>
              </w:rPr>
              <w:t>Review eviction events, PDB, topology, readiness, and node-pool upgrade settings.</w:t>
            </w:r>
          </w:p>
        </w:tc>
      </w:tr>
      <w:tr>
        <w:trPr>
          <w:cantSplit/>
        </w:trPr>
        <w:tc>
          <w:tcPr>
            <w:tcW w:type="dxa" w:w="2160"/>
            <w:tcMar>
              <w:top w:w="80" w:type="dxa"/>
              <w:start w:w="100" w:type="dxa"/>
              <w:bottom w:w="80" w:type="dxa"/>
              <w:end w:w="100" w:type="dxa"/>
            </w:tcMar>
            <w:vAlign w:val="top"/>
          </w:tcPr>
          <w:p>
            <w:pPr>
              <w:spacing w:after="0"/>
            </w:pPr>
            <w:r>
              <w:rPr>
                <w:sz w:val="16"/>
              </w:rPr>
              <w:t>Autopilot rejects workload</w:t>
            </w:r>
          </w:p>
        </w:tc>
        <w:tc>
          <w:tcPr>
            <w:tcW w:type="dxa" w:w="2592"/>
            <w:tcMar>
              <w:top w:w="80" w:type="dxa"/>
              <w:start w:w="100" w:type="dxa"/>
              <w:bottom w:w="80" w:type="dxa"/>
              <w:end w:w="100" w:type="dxa"/>
            </w:tcMar>
            <w:vAlign w:val="top"/>
          </w:tcPr>
          <w:p>
            <w:pPr>
              <w:spacing w:after="0"/>
            </w:pPr>
            <w:r>
              <w:rPr>
                <w:sz w:val="16"/>
              </w:rPr>
              <w:t>Unsupported privileged setting, host access, or resource request</w:t>
            </w:r>
          </w:p>
        </w:tc>
        <w:tc>
          <w:tcPr>
            <w:tcW w:type="dxa" w:w="5328"/>
            <w:tcMar>
              <w:top w:w="80" w:type="dxa"/>
              <w:start w:w="100" w:type="dxa"/>
              <w:bottom w:w="80" w:type="dxa"/>
              <w:end w:w="100" w:type="dxa"/>
            </w:tcMar>
            <w:vAlign w:val="top"/>
          </w:tcPr>
          <w:p>
            <w:pPr>
              <w:spacing w:after="0"/>
            </w:pPr>
            <w:r>
              <w:rPr>
                <w:sz w:val="16"/>
              </w:rPr>
              <w:t>Read admission error; redesign workload or justify Standard mode.</w:t>
            </w:r>
          </w:p>
        </w:tc>
      </w:tr>
      <w:tr>
        <w:trPr>
          <w:cantSplit/>
        </w:trPr>
        <w:tc>
          <w:tcPr>
            <w:tcW w:type="dxa" w:w="2160"/>
            <w:tcMar>
              <w:top w:w="80" w:type="dxa"/>
              <w:start w:w="100" w:type="dxa"/>
              <w:bottom w:w="80" w:type="dxa"/>
              <w:end w:w="100" w:type="dxa"/>
            </w:tcMar>
            <w:vAlign w:val="top"/>
          </w:tcPr>
          <w:p>
            <w:pPr>
              <w:spacing w:after="0"/>
            </w:pPr>
            <w:r>
              <w:rPr>
                <w:sz w:val="16"/>
              </w:rPr>
              <w:t>User can access unexpected namespaces</w:t>
            </w:r>
          </w:p>
        </w:tc>
        <w:tc>
          <w:tcPr>
            <w:tcW w:type="dxa" w:w="2592"/>
            <w:tcMar>
              <w:top w:w="80" w:type="dxa"/>
              <w:start w:w="100" w:type="dxa"/>
              <w:bottom w:w="80" w:type="dxa"/>
              <w:end w:w="100" w:type="dxa"/>
            </w:tcMar>
            <w:vAlign w:val="top"/>
          </w:tcPr>
          <w:p>
            <w:pPr>
              <w:spacing w:after="0"/>
            </w:pPr>
            <w:r>
              <w:rPr>
                <w:sz w:val="16"/>
              </w:rPr>
              <w:t>Overbroad Kubernetes RBAC or Google group mapping</w:t>
            </w:r>
          </w:p>
        </w:tc>
        <w:tc>
          <w:tcPr>
            <w:tcW w:type="dxa" w:w="5328"/>
            <w:tcMar>
              <w:top w:w="80" w:type="dxa"/>
              <w:start w:w="100" w:type="dxa"/>
              <w:bottom w:w="80" w:type="dxa"/>
              <w:end w:w="100" w:type="dxa"/>
            </w:tcMar>
            <w:vAlign w:val="top"/>
          </w:tcPr>
          <w:p>
            <w:pPr>
              <w:spacing w:after="0"/>
            </w:pPr>
            <w:r>
              <w:rPr>
                <w:sz w:val="16"/>
              </w:rPr>
              <w:t>Use kubectl auth can-i, RoleBinding review, audit logs, and group membership evidence.</w:t>
            </w:r>
          </w:p>
        </w:tc>
      </w:tr>
    </w:tbl>
    <w:p>
      <w:pPr>
        <w:spacing w:after="20"/>
      </w:pPr>
    </w:p>
    <w:p>
      <w:pPr>
        <w:pStyle w:val="Heading2"/>
        <w:keepNext/>
      </w:pPr>
      <w:r>
        <w:t>Hands-on Lab 32: Create a Secure Regional GKE Foundation</w:t>
      </w:r>
    </w:p>
    <w:p>
      <w:pPr>
        <w:pStyle w:val="Heading3"/>
        <w:keepNext/>
      </w:pPr>
      <w:r>
        <w:t>Prerequisites</w:t>
      </w:r>
    </w:p>
    <w:p>
      <w:pPr>
        <w:pStyle w:val="ListBullet"/>
        <w:spacing w:after="60"/>
      </w:pPr>
      <w:r>
        <w:t>A learning project, VPC/subnet, Artifact Registry image, and permissions to create a small GKE cluster.</w:t>
      </w:r>
    </w:p>
    <w:p>
      <w:pPr>
        <w:pStyle w:val="Heading3"/>
        <w:keepNext/>
      </w:pPr>
      <w:r>
        <w:t>Implementation</w:t>
      </w:r>
    </w:p>
    <w:p>
      <w:pPr>
        <w:spacing w:after="60"/>
        <w:ind w:left="360" w:hanging="259"/>
      </w:pPr>
      <w:r>
        <w:rPr>
          <w:b/>
        </w:rPr>
        <w:t xml:space="preserve">1. </w:t>
      </w:r>
      <w:r>
        <w:t>Write an architecture decision comparing Autopilot and Standard for the workload.</w:t>
      </w:r>
    </w:p>
    <w:p>
      <w:pPr>
        <w:spacing w:after="60"/>
        <w:ind w:left="360" w:hanging="259"/>
      </w:pPr>
      <w:r>
        <w:rPr>
          <w:b/>
        </w:rPr>
        <w:t xml:space="preserve">2. </w:t>
      </w:r>
      <w:r>
        <w:t>Create a regional Autopilot cluster or a minimal regional Standard cluster with a release channel.</w:t>
      </w:r>
    </w:p>
    <w:p>
      <w:pPr>
        <w:spacing w:after="60"/>
        <w:ind w:left="360" w:hanging="259"/>
      </w:pPr>
      <w:r>
        <w:rPr>
          <w:b/>
        </w:rPr>
        <w:t xml:space="preserve">3. </w:t>
      </w:r>
      <w:r>
        <w:t>Create namespaces for platform and application ownership.</w:t>
      </w:r>
    </w:p>
    <w:p>
      <w:pPr>
        <w:spacing w:after="60"/>
        <w:ind w:left="360" w:hanging="259"/>
      </w:pPr>
      <w:r>
        <w:rPr>
          <w:b/>
        </w:rPr>
        <w:t xml:space="preserve">4. </w:t>
      </w:r>
      <w:r>
        <w:t>Configure a Kubernetes service account to use Workload Identity Federation for GKE.</w:t>
      </w:r>
    </w:p>
    <w:p>
      <w:pPr>
        <w:spacing w:after="60"/>
        <w:ind w:left="360" w:hanging="259"/>
      </w:pPr>
      <w:r>
        <w:rPr>
          <w:b/>
        </w:rPr>
        <w:t xml:space="preserve">5. </w:t>
      </w:r>
      <w:r>
        <w:t>Grant only the Google Cloud role required to read one test resource.</w:t>
      </w:r>
    </w:p>
    <w:p>
      <w:pPr>
        <w:spacing w:after="60"/>
        <w:ind w:left="360" w:hanging="259"/>
      </w:pPr>
      <w:r>
        <w:rPr>
          <w:b/>
        </w:rPr>
        <w:t xml:space="preserve">6. </w:t>
      </w:r>
      <w:r>
        <w:t>Deploy a two-replica application with readiness, liveness, resource requests, topology spread, and a PDB.</w:t>
      </w:r>
    </w:p>
    <w:p>
      <w:pPr>
        <w:spacing w:after="60"/>
        <w:ind w:left="360" w:hanging="259"/>
      </w:pPr>
      <w:r>
        <w:rPr>
          <w:b/>
        </w:rPr>
        <w:t xml:space="preserve">7. </w:t>
      </w:r>
      <w:r>
        <w:t>Test Kubernetes RBAC denial and workload access to the approved Google API.</w:t>
      </w:r>
    </w:p>
    <w:p>
      <w:pPr>
        <w:pStyle w:val="Heading3"/>
        <w:keepNext/>
      </w:pPr>
      <w:r>
        <w:t>Validation Evidence</w:t>
      </w:r>
    </w:p>
    <w:p>
      <w:pPr>
        <w:pStyle w:val="ListBullet"/>
        <w:spacing w:after="60"/>
      </w:pPr>
      <w:r>
        <w:t>The cluster mode decision is evidence-based.</w:t>
      </w:r>
    </w:p>
    <w:p>
      <w:pPr>
        <w:pStyle w:val="ListBullet"/>
        <w:spacing w:after="60"/>
      </w:pPr>
      <w:r>
        <w:t>No service-account key file is present.</w:t>
      </w:r>
    </w:p>
    <w:p>
      <w:pPr>
        <w:pStyle w:val="ListBullet"/>
        <w:spacing w:after="60"/>
      </w:pPr>
      <w:r>
        <w:t>The workload accesses only the intended Google Cloud resource.</w:t>
      </w:r>
    </w:p>
    <w:p>
      <w:pPr>
        <w:pStyle w:val="ListBullet"/>
        <w:spacing w:after="60"/>
      </w:pPr>
      <w:r>
        <w:t>A pod or node disruption does not remove all ready replicas.</w:t>
      </w:r>
    </w:p>
    <w:p>
      <w:pPr>
        <w:pStyle w:val="Heading3"/>
        <w:keepNext/>
      </w:pPr>
      <w:r>
        <w:t>Cleanup</w:t>
      </w:r>
    </w:p>
    <w:p>
      <w:pPr>
        <w:pStyle w:val="ListBullet"/>
        <w:spacing w:after="60"/>
      </w:pPr>
      <w:r>
        <w:t>Delete workloads, IAM bindings, service accounts, cluster, network resources, and test artifacts.</w:t>
      </w:r>
    </w:p>
    <w:p>
      <w:pPr>
        <w:pStyle w:val="Heading2"/>
        <w:keepNext/>
      </w:pPr>
      <w:r>
        <w:t>Interview Questions and Model Answers</w:t>
      </w:r>
    </w:p>
    <w:p>
      <w:pPr>
        <w:spacing w:after="40"/>
      </w:pPr>
      <w:r>
        <w:rPr>
          <w:b/>
        </w:rPr>
        <w:t>1. When is Autopilot a strong default?</w:t>
      </w:r>
    </w:p>
    <w:p>
      <w:pPr>
        <w:spacing w:after="120"/>
        <w:ind w:left="216"/>
      </w:pPr>
      <w:r>
        <w:t>When workloads fit supported constraints and the team benefits from Google-managed nodes and stronger managed defaults.</w:t>
      </w:r>
    </w:p>
    <w:p>
      <w:pPr>
        <w:spacing w:after="40"/>
      </w:pPr>
      <w:r>
        <w:rPr>
          <w:b/>
        </w:rPr>
        <w:t>2. Why are namespaces not complete tenant isolation?</w:t>
      </w:r>
    </w:p>
    <w:p>
      <w:pPr>
        <w:spacing w:after="120"/>
        <w:ind w:left="216"/>
      </w:pPr>
      <w:r>
        <w:t>Cluster-level resources, kernel/node sharing, privileged controls, and administration remain shared.</w:t>
      </w:r>
    </w:p>
    <w:p>
      <w:pPr>
        <w:spacing w:after="40"/>
      </w:pPr>
      <w:r>
        <w:rPr>
          <w:b/>
        </w:rPr>
        <w:t>3. What does Workload Identity Federation for GKE solve?</w:t>
      </w:r>
    </w:p>
    <w:p>
      <w:pPr>
        <w:spacing w:after="120"/>
        <w:ind w:left="216"/>
      </w:pPr>
      <w:r>
        <w:t>It gives Kubernetes workloads short-lived, identity-based access to Google Cloud APIs without static keys.</w:t>
      </w:r>
    </w:p>
    <w:p>
      <w:pPr>
        <w:spacing w:after="40"/>
      </w:pPr>
      <w:r>
        <w:rPr>
          <w:b/>
        </w:rPr>
        <w:t>4. Why use a regional cluster?</w:t>
      </w:r>
    </w:p>
    <w:p>
      <w:pPr>
        <w:spacing w:after="120"/>
        <w:ind w:left="216"/>
      </w:pPr>
      <w:r>
        <w:t>It distributes the control plane and, with suitable node placement, improves resilience to a zonal failure.</w:t>
      </w:r>
    </w:p>
    <w:p>
      <w:pPr>
        <w:pStyle w:val="Heading2"/>
        <w:keepNext/>
      </w:pPr>
      <w:r>
        <w:t>Chapter Summary</w:t>
      </w:r>
    </w:p>
    <w:p>
      <w:pPr>
        <w:pStyle w:val="ListBullet"/>
        <w:spacing w:after="60"/>
      </w:pPr>
      <w:r>
        <w:t>Choose GKE mode from workload and operating-model evidence.</w:t>
      </w:r>
    </w:p>
    <w:p>
      <w:pPr>
        <w:pStyle w:val="ListBullet"/>
        <w:spacing w:after="60"/>
      </w:pPr>
      <w:r>
        <w:t>Treat cluster boundaries as security and failure boundaries.</w:t>
      </w:r>
    </w:p>
    <w:p>
      <w:pPr>
        <w:pStyle w:val="ListBullet"/>
        <w:spacing w:after="60"/>
      </w:pPr>
      <w:r>
        <w:t>Kubernetes RBAC and Google Cloud IAM are complementary.</w:t>
      </w:r>
    </w:p>
    <w:p>
      <w:pPr>
        <w:pStyle w:val="ListBullet"/>
        <w:spacing w:after="60"/>
      </w:pPr>
      <w:r>
        <w:t>Application availability must be engineered above the control plane.</w:t>
      </w:r>
    </w:p>
    <w:p>
      <w:pPr>
        <w:pStyle w:val="Heading1"/>
        <w:keepNext/>
        <w:pageBreakBefore/>
      </w:pPr>
      <w:r>
        <w:t>Chapter 33 - GKE Production Operations, Networking, Scaling, and Fleets</w:t>
      </w:r>
    </w:p>
    <w:p>
      <w:pPr>
        <w:spacing w:after="120"/>
      </w:pPr>
      <w:r>
        <w:rPr>
          <w:i/>
          <w:color w:val="505050"/>
        </w:rPr>
        <w:t>Operating Kubernetes as a controlled multi-team production platform</w:t>
      </w:r>
    </w:p>
    <w:p>
      <w:pPr>
        <w:pStyle w:val="Heading2"/>
        <w:keepNext/>
      </w:pPr>
      <w:r>
        <w:t>Learning Objectives</w:t>
      </w:r>
    </w:p>
    <w:p>
      <w:pPr>
        <w:pStyle w:val="ListBullet"/>
        <w:spacing w:after="60"/>
      </w:pPr>
      <w:r>
        <w:t>Engineer GKE networking, ingress, Gateway API, DNS, and network policy.</w:t>
      </w:r>
    </w:p>
    <w:p>
      <w:pPr>
        <w:pStyle w:val="ListBullet"/>
        <w:spacing w:after="60"/>
      </w:pPr>
      <w:r>
        <w:t>Design horizontal, vertical, cluster, and node autoscaling with failure-state capacity.</w:t>
      </w:r>
    </w:p>
    <w:p>
      <w:pPr>
        <w:pStyle w:val="ListBullet"/>
        <w:spacing w:after="60"/>
      </w:pPr>
      <w:r>
        <w:t>Operate upgrades, observability, backup, policy, and fleet-level governance.</w:t>
      </w:r>
    </w:p>
    <w:p>
      <w:pPr>
        <w:pStyle w:val="ListBullet"/>
        <w:spacing w:after="60"/>
      </w:pPr>
      <w:r>
        <w:t>Troubleshoot Kubernetes systematically from user symptom to infrastructure evidence.</w:t>
      </w:r>
    </w:p>
    <w:p>
      <w:pPr>
        <w:pStyle w:val="Heading2"/>
        <w:keepNext/>
      </w:pPr>
      <w:r>
        <w:t>33.1 Networking and Application Delivery</w:t>
      </w:r>
    </w:p>
    <w:p>
      <w:pPr>
        <w:spacing w:after="120"/>
      </w:pPr>
      <w:r>
        <w:rPr>
          <w:i w:val="0"/>
        </w:rPr>
        <w:t>GKE networking spans pod and service address allocation, VPC routing, load balancing, DNS, egress, private access, and policy. Gateway API provides role-oriented traffic management and is increasingly preferred for advanced L7 designs, while Ingress remains common. Network Policy controls pod traffic but must be paired with VPC firewall and identity controls.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592"/>
            <w:shd w:fill="1A73E8"/>
            <w:tcMar>
              <w:top w:w="80" w:type="dxa"/>
              <w:start w:w="100" w:type="dxa"/>
              <w:bottom w:w="80" w:type="dxa"/>
              <w:end w:w="100" w:type="dxa"/>
            </w:tcMar>
            <w:vAlign w:val="center"/>
          </w:tcPr>
          <w:p>
            <w:pPr>
              <w:jc w:val="center"/>
            </w:pPr>
            <w:r>
              <w:rPr>
                <w:b/>
                <w:color w:val="FFFFFF"/>
                <w:sz w:val="16"/>
              </w:rPr>
              <w:t>Layer</w:t>
            </w:r>
          </w:p>
        </w:tc>
        <w:tc>
          <w:tcPr>
            <w:tcW w:type="dxa" w:w="7056"/>
            <w:shd w:fill="1A73E8"/>
            <w:tcMar>
              <w:top w:w="80" w:type="dxa"/>
              <w:start w:w="100" w:type="dxa"/>
              <w:bottom w:w="80" w:type="dxa"/>
              <w:end w:w="100" w:type="dxa"/>
            </w:tcMar>
            <w:vAlign w:val="center"/>
          </w:tcPr>
          <w:p>
            <w:pPr>
              <w:jc w:val="center"/>
            </w:pPr>
            <w:r>
              <w:rPr>
                <w:b/>
                <w:color w:val="FFFFFF"/>
                <w:sz w:val="16"/>
              </w:rPr>
              <w:t>Primary Control</w:t>
            </w:r>
          </w:p>
        </w:tc>
      </w:tr>
      <w:tr>
        <w:trPr>
          <w:cantSplit/>
        </w:trPr>
        <w:tc>
          <w:tcPr>
            <w:tcW w:type="dxa" w:w="2592"/>
            <w:tcMar>
              <w:top w:w="80" w:type="dxa"/>
              <w:start w:w="100" w:type="dxa"/>
              <w:bottom w:w="80" w:type="dxa"/>
              <w:end w:w="100" w:type="dxa"/>
            </w:tcMar>
            <w:vAlign w:val="top"/>
          </w:tcPr>
          <w:p>
            <w:pPr>
              <w:spacing w:after="0"/>
            </w:pPr>
            <w:r>
              <w:rPr>
                <w:sz w:val="16"/>
              </w:rPr>
              <w:t>External entry</w:t>
            </w:r>
          </w:p>
        </w:tc>
        <w:tc>
          <w:tcPr>
            <w:tcW w:type="dxa" w:w="7056"/>
            <w:tcMar>
              <w:top w:w="80" w:type="dxa"/>
              <w:start w:w="100" w:type="dxa"/>
              <w:bottom w:w="80" w:type="dxa"/>
              <w:end w:w="100" w:type="dxa"/>
            </w:tcMar>
            <w:vAlign w:val="top"/>
          </w:tcPr>
          <w:p>
            <w:pPr>
              <w:spacing w:after="0"/>
            </w:pPr>
            <w:r>
              <w:rPr>
                <w:sz w:val="16"/>
              </w:rPr>
              <w:t>Global/regional load balancer, Gateway/Ingress, TLS, Cloud Armor</w:t>
            </w:r>
          </w:p>
        </w:tc>
      </w:tr>
      <w:tr>
        <w:trPr>
          <w:cantSplit/>
        </w:trPr>
        <w:tc>
          <w:tcPr>
            <w:tcW w:type="dxa" w:w="2592"/>
            <w:tcMar>
              <w:top w:w="80" w:type="dxa"/>
              <w:start w:w="100" w:type="dxa"/>
              <w:bottom w:w="80" w:type="dxa"/>
              <w:end w:w="100" w:type="dxa"/>
            </w:tcMar>
            <w:vAlign w:val="top"/>
          </w:tcPr>
          <w:p>
            <w:pPr>
              <w:spacing w:after="0"/>
            </w:pPr>
            <w:r>
              <w:rPr>
                <w:sz w:val="16"/>
              </w:rPr>
              <w:t>Service discovery</w:t>
            </w:r>
          </w:p>
        </w:tc>
        <w:tc>
          <w:tcPr>
            <w:tcW w:type="dxa" w:w="7056"/>
            <w:tcMar>
              <w:top w:w="80" w:type="dxa"/>
              <w:start w:w="100" w:type="dxa"/>
              <w:bottom w:w="80" w:type="dxa"/>
              <w:end w:w="100" w:type="dxa"/>
            </w:tcMar>
            <w:vAlign w:val="top"/>
          </w:tcPr>
          <w:p>
            <w:pPr>
              <w:spacing w:after="0"/>
            </w:pPr>
            <w:r>
              <w:rPr>
                <w:sz w:val="16"/>
              </w:rPr>
              <w:t>Cluster DNS, Services, optional multi-cluster service discovery</w:t>
            </w:r>
          </w:p>
        </w:tc>
      </w:tr>
      <w:tr>
        <w:trPr>
          <w:cantSplit/>
        </w:trPr>
        <w:tc>
          <w:tcPr>
            <w:tcW w:type="dxa" w:w="2592"/>
            <w:tcMar>
              <w:top w:w="80" w:type="dxa"/>
              <w:start w:w="100" w:type="dxa"/>
              <w:bottom w:w="80" w:type="dxa"/>
              <w:end w:w="100" w:type="dxa"/>
            </w:tcMar>
            <w:vAlign w:val="top"/>
          </w:tcPr>
          <w:p>
            <w:pPr>
              <w:spacing w:after="0"/>
            </w:pPr>
            <w:r>
              <w:rPr>
                <w:sz w:val="16"/>
              </w:rPr>
              <w:t>East-west traffic</w:t>
            </w:r>
          </w:p>
        </w:tc>
        <w:tc>
          <w:tcPr>
            <w:tcW w:type="dxa" w:w="7056"/>
            <w:tcMar>
              <w:top w:w="80" w:type="dxa"/>
              <w:start w:w="100" w:type="dxa"/>
              <w:bottom w:w="80" w:type="dxa"/>
              <w:end w:w="100" w:type="dxa"/>
            </w:tcMar>
            <w:vAlign w:val="top"/>
          </w:tcPr>
          <w:p>
            <w:pPr>
              <w:spacing w:after="0"/>
            </w:pPr>
            <w:r>
              <w:rPr>
                <w:sz w:val="16"/>
              </w:rPr>
              <w:t>Services, Network Policy, optional Cloud Service Mesh</w:t>
            </w:r>
          </w:p>
        </w:tc>
      </w:tr>
      <w:tr>
        <w:trPr>
          <w:cantSplit/>
        </w:trPr>
        <w:tc>
          <w:tcPr>
            <w:tcW w:type="dxa" w:w="2592"/>
            <w:tcMar>
              <w:top w:w="80" w:type="dxa"/>
              <w:start w:w="100" w:type="dxa"/>
              <w:bottom w:w="80" w:type="dxa"/>
              <w:end w:w="100" w:type="dxa"/>
            </w:tcMar>
            <w:vAlign w:val="top"/>
          </w:tcPr>
          <w:p>
            <w:pPr>
              <w:spacing w:after="0"/>
            </w:pPr>
            <w:r>
              <w:rPr>
                <w:sz w:val="16"/>
              </w:rPr>
              <w:t>Google API access</w:t>
            </w:r>
          </w:p>
        </w:tc>
        <w:tc>
          <w:tcPr>
            <w:tcW w:type="dxa" w:w="7056"/>
            <w:tcMar>
              <w:top w:w="80" w:type="dxa"/>
              <w:start w:w="100" w:type="dxa"/>
              <w:bottom w:w="80" w:type="dxa"/>
              <w:end w:w="100" w:type="dxa"/>
            </w:tcMar>
            <w:vAlign w:val="top"/>
          </w:tcPr>
          <w:p>
            <w:pPr>
              <w:spacing w:after="0"/>
            </w:pPr>
            <w:r>
              <w:rPr>
                <w:sz w:val="16"/>
              </w:rPr>
              <w:t>Workload Identity Federation, Private Google Access/PSC where required</w:t>
            </w:r>
          </w:p>
        </w:tc>
      </w:tr>
      <w:tr>
        <w:trPr>
          <w:cantSplit/>
        </w:trPr>
        <w:tc>
          <w:tcPr>
            <w:tcW w:type="dxa" w:w="2592"/>
            <w:tcMar>
              <w:top w:w="80" w:type="dxa"/>
              <w:start w:w="100" w:type="dxa"/>
              <w:bottom w:w="80" w:type="dxa"/>
              <w:end w:w="100" w:type="dxa"/>
            </w:tcMar>
            <w:vAlign w:val="top"/>
          </w:tcPr>
          <w:p>
            <w:pPr>
              <w:spacing w:after="0"/>
            </w:pPr>
            <w:r>
              <w:rPr>
                <w:sz w:val="16"/>
              </w:rPr>
              <w:t>Internet egress</w:t>
            </w:r>
          </w:p>
        </w:tc>
        <w:tc>
          <w:tcPr>
            <w:tcW w:type="dxa" w:w="7056"/>
            <w:tcMar>
              <w:top w:w="80" w:type="dxa"/>
              <w:start w:w="100" w:type="dxa"/>
              <w:bottom w:w="80" w:type="dxa"/>
              <w:end w:w="100" w:type="dxa"/>
            </w:tcMar>
            <w:vAlign w:val="top"/>
          </w:tcPr>
          <w:p>
            <w:pPr>
              <w:spacing w:after="0"/>
            </w:pPr>
            <w:r>
              <w:rPr>
                <w:sz w:val="16"/>
              </w:rPr>
              <w:t>Cloud NAT, firewall policy, DNS controls, proxy where governed</w:t>
            </w:r>
          </w:p>
        </w:tc>
      </w:tr>
    </w:tbl>
    <w:p>
      <w:pPr>
        <w:spacing w:after="20"/>
      </w:pPr>
    </w:p>
    <w:p>
      <w:pPr>
        <w:pStyle w:val="Heading2"/>
        <w:keepNext/>
      </w:pPr>
      <w:r>
        <w:t>33.2 Scaling and Capacity</w:t>
      </w:r>
    </w:p>
    <w:p>
      <w:pPr>
        <w:spacing w:after="120"/>
      </w:pPr>
      <w:r>
        <w:rPr>
          <w:i w:val="0"/>
        </w:rPr>
        <w:t>Horizontal Pod Autoscaling reacts to workload metrics; Vertical Pod Autoscaling recommends or adjusts resource requests; cluster and node-pool autoscaling supply capacity. Scaling loops have delays and can conflict. Define minimum capacity, maximum spend, startup time, queue backpressure, and failure-state requirements.</w:t>
      </w:r>
    </w:p>
    <w:p>
      <w:pPr>
        <w:pStyle w:val="ListBullet"/>
        <w:spacing w:after="60"/>
      </w:pPr>
      <w:r>
        <w:t>Set realistic requests because scheduling and autoscaling depend on them.</w:t>
      </w:r>
    </w:p>
    <w:p>
      <w:pPr>
        <w:pStyle w:val="ListBullet"/>
        <w:spacing w:after="60"/>
      </w:pPr>
      <w:r>
        <w:t>Protect dependencies with concurrency and queue limits.</w:t>
      </w:r>
    </w:p>
    <w:p>
      <w:pPr>
        <w:pStyle w:val="ListBullet"/>
        <w:spacing w:after="60"/>
      </w:pPr>
      <w:r>
        <w:t>Keep capacity for upgrades and zonal loss.</w:t>
      </w:r>
    </w:p>
    <w:p>
      <w:pPr>
        <w:pStyle w:val="ListBullet"/>
        <w:spacing w:after="60"/>
      </w:pPr>
      <w:r>
        <w:t>Load test scale-up and scale-down, not only steady state.</w:t>
      </w:r>
    </w:p>
    <w:p>
      <w:pPr>
        <w:pStyle w:val="Heading2"/>
        <w:keepNext/>
      </w:pPr>
      <w:r>
        <w:t>33.3 Fleet and Multi-Cluster Operations</w:t>
      </w:r>
    </w:p>
    <w:p>
      <w:pPr>
        <w:spacing w:after="120"/>
      </w:pPr>
      <w:r>
        <w:rPr>
          <w:i w:val="0"/>
        </w:rPr>
        <w:t>GKE fleets group clusters for consistent configuration, identity, policy, service mesh, and multi-cluster capabilities. A fleet is not a substitute for clear ownership or DR design. Standardize registration, configuration sync, policy, release channels, and observability while preserving justified exceptions.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024"/>
            <w:shd w:fill="1A73E8"/>
            <w:tcMar>
              <w:top w:w="80" w:type="dxa"/>
              <w:start w:w="100" w:type="dxa"/>
              <w:bottom w:w="80" w:type="dxa"/>
              <w:end w:w="100" w:type="dxa"/>
            </w:tcMar>
            <w:vAlign w:val="center"/>
          </w:tcPr>
          <w:p>
            <w:pPr>
              <w:jc w:val="center"/>
            </w:pPr>
            <w:r>
              <w:rPr>
                <w:b/>
                <w:color w:val="FFFFFF"/>
                <w:sz w:val="16"/>
              </w:rPr>
              <w:t>Capability</w:t>
            </w:r>
          </w:p>
        </w:tc>
        <w:tc>
          <w:tcPr>
            <w:tcW w:type="dxa" w:w="6624"/>
            <w:shd w:fill="1A73E8"/>
            <w:tcMar>
              <w:top w:w="80" w:type="dxa"/>
              <w:start w:w="100" w:type="dxa"/>
              <w:bottom w:w="80" w:type="dxa"/>
              <w:end w:w="100" w:type="dxa"/>
            </w:tcMar>
            <w:vAlign w:val="center"/>
          </w:tcPr>
          <w:p>
            <w:pPr>
              <w:jc w:val="center"/>
            </w:pPr>
            <w:r>
              <w:rPr>
                <w:b/>
                <w:color w:val="FFFFFF"/>
                <w:sz w:val="16"/>
              </w:rPr>
              <w:t>Operational Goal</w:t>
            </w:r>
          </w:p>
        </w:tc>
      </w:tr>
      <w:tr>
        <w:trPr>
          <w:cantSplit/>
        </w:trPr>
        <w:tc>
          <w:tcPr>
            <w:tcW w:type="dxa" w:w="3024"/>
            <w:tcMar>
              <w:top w:w="80" w:type="dxa"/>
              <w:start w:w="100" w:type="dxa"/>
              <w:bottom w:w="80" w:type="dxa"/>
              <w:end w:w="100" w:type="dxa"/>
            </w:tcMar>
            <w:vAlign w:val="top"/>
          </w:tcPr>
          <w:p>
            <w:pPr>
              <w:spacing w:after="0"/>
            </w:pPr>
            <w:r>
              <w:rPr>
                <w:sz w:val="16"/>
              </w:rPr>
              <w:t>Fleet registration</w:t>
            </w:r>
          </w:p>
        </w:tc>
        <w:tc>
          <w:tcPr>
            <w:tcW w:type="dxa" w:w="6624"/>
            <w:tcMar>
              <w:top w:w="80" w:type="dxa"/>
              <w:start w:w="100" w:type="dxa"/>
              <w:bottom w:w="80" w:type="dxa"/>
              <w:end w:w="100" w:type="dxa"/>
            </w:tcMar>
            <w:vAlign w:val="top"/>
          </w:tcPr>
          <w:p>
            <w:pPr>
              <w:spacing w:after="0"/>
            </w:pPr>
            <w:r>
              <w:rPr>
                <w:sz w:val="16"/>
              </w:rPr>
              <w:t>Inventory and consistent identity boundary</w:t>
            </w:r>
          </w:p>
        </w:tc>
      </w:tr>
      <w:tr>
        <w:trPr>
          <w:cantSplit/>
        </w:trPr>
        <w:tc>
          <w:tcPr>
            <w:tcW w:type="dxa" w:w="3024"/>
            <w:tcMar>
              <w:top w:w="80" w:type="dxa"/>
              <w:start w:w="100" w:type="dxa"/>
              <w:bottom w:w="80" w:type="dxa"/>
              <w:end w:w="100" w:type="dxa"/>
            </w:tcMar>
            <w:vAlign w:val="top"/>
          </w:tcPr>
          <w:p>
            <w:pPr>
              <w:spacing w:after="0"/>
            </w:pPr>
            <w:r>
              <w:rPr>
                <w:sz w:val="16"/>
              </w:rPr>
              <w:t>Config Sync/GitOps</w:t>
            </w:r>
          </w:p>
        </w:tc>
        <w:tc>
          <w:tcPr>
            <w:tcW w:type="dxa" w:w="6624"/>
            <w:tcMar>
              <w:top w:w="80" w:type="dxa"/>
              <w:start w:w="100" w:type="dxa"/>
              <w:bottom w:w="80" w:type="dxa"/>
              <w:end w:w="100" w:type="dxa"/>
            </w:tcMar>
            <w:vAlign w:val="top"/>
          </w:tcPr>
          <w:p>
            <w:pPr>
              <w:spacing w:after="0"/>
            </w:pPr>
            <w:r>
              <w:rPr>
                <w:sz w:val="16"/>
              </w:rPr>
              <w:t>Versioned cluster and namespace configuration</w:t>
            </w:r>
          </w:p>
        </w:tc>
      </w:tr>
      <w:tr>
        <w:trPr>
          <w:cantSplit/>
        </w:trPr>
        <w:tc>
          <w:tcPr>
            <w:tcW w:type="dxa" w:w="3024"/>
            <w:tcMar>
              <w:top w:w="80" w:type="dxa"/>
              <w:start w:w="100" w:type="dxa"/>
              <w:bottom w:w="80" w:type="dxa"/>
              <w:end w:w="100" w:type="dxa"/>
            </w:tcMar>
            <w:vAlign w:val="top"/>
          </w:tcPr>
          <w:p>
            <w:pPr>
              <w:spacing w:after="0"/>
            </w:pPr>
            <w:r>
              <w:rPr>
                <w:sz w:val="16"/>
              </w:rPr>
              <w:t>Policy Controller</w:t>
            </w:r>
          </w:p>
        </w:tc>
        <w:tc>
          <w:tcPr>
            <w:tcW w:type="dxa" w:w="6624"/>
            <w:tcMar>
              <w:top w:w="80" w:type="dxa"/>
              <w:start w:w="100" w:type="dxa"/>
              <w:bottom w:w="80" w:type="dxa"/>
              <w:end w:w="100" w:type="dxa"/>
            </w:tcMar>
            <w:vAlign w:val="top"/>
          </w:tcPr>
          <w:p>
            <w:pPr>
              <w:spacing w:after="0"/>
            </w:pPr>
            <w:r>
              <w:rPr>
                <w:sz w:val="16"/>
              </w:rPr>
              <w:t>Admission and compliance guardrails</w:t>
            </w:r>
          </w:p>
        </w:tc>
      </w:tr>
      <w:tr>
        <w:trPr>
          <w:cantSplit/>
        </w:trPr>
        <w:tc>
          <w:tcPr>
            <w:tcW w:type="dxa" w:w="3024"/>
            <w:tcMar>
              <w:top w:w="80" w:type="dxa"/>
              <w:start w:w="100" w:type="dxa"/>
              <w:bottom w:w="80" w:type="dxa"/>
              <w:end w:w="100" w:type="dxa"/>
            </w:tcMar>
            <w:vAlign w:val="top"/>
          </w:tcPr>
          <w:p>
            <w:pPr>
              <w:spacing w:after="0"/>
            </w:pPr>
            <w:r>
              <w:rPr>
                <w:sz w:val="16"/>
              </w:rPr>
              <w:t>Cloud Service Mesh</w:t>
            </w:r>
          </w:p>
        </w:tc>
        <w:tc>
          <w:tcPr>
            <w:tcW w:type="dxa" w:w="6624"/>
            <w:tcMar>
              <w:top w:w="80" w:type="dxa"/>
              <w:start w:w="100" w:type="dxa"/>
              <w:bottom w:w="80" w:type="dxa"/>
              <w:end w:w="100" w:type="dxa"/>
            </w:tcMar>
            <w:vAlign w:val="top"/>
          </w:tcPr>
          <w:p>
            <w:pPr>
              <w:spacing w:after="0"/>
            </w:pPr>
            <w:r>
              <w:rPr>
                <w:sz w:val="16"/>
              </w:rPr>
              <w:t>Traffic security and telemetry where justified</w:t>
            </w:r>
          </w:p>
        </w:tc>
      </w:tr>
      <w:tr>
        <w:trPr>
          <w:cantSplit/>
        </w:trPr>
        <w:tc>
          <w:tcPr>
            <w:tcW w:type="dxa" w:w="3024"/>
            <w:tcMar>
              <w:top w:w="80" w:type="dxa"/>
              <w:start w:w="100" w:type="dxa"/>
              <w:bottom w:w="80" w:type="dxa"/>
              <w:end w:w="100" w:type="dxa"/>
            </w:tcMar>
            <w:vAlign w:val="top"/>
          </w:tcPr>
          <w:p>
            <w:pPr>
              <w:spacing w:after="0"/>
            </w:pPr>
            <w:r>
              <w:rPr>
                <w:sz w:val="16"/>
              </w:rPr>
              <w:t>Multi-cluster services/gateways</w:t>
            </w:r>
          </w:p>
        </w:tc>
        <w:tc>
          <w:tcPr>
            <w:tcW w:type="dxa" w:w="6624"/>
            <w:tcMar>
              <w:top w:w="80" w:type="dxa"/>
              <w:start w:w="100" w:type="dxa"/>
              <w:bottom w:w="80" w:type="dxa"/>
              <w:end w:w="100" w:type="dxa"/>
            </w:tcMar>
            <w:vAlign w:val="top"/>
          </w:tcPr>
          <w:p>
            <w:pPr>
              <w:spacing w:after="0"/>
            </w:pPr>
            <w:r>
              <w:rPr>
                <w:sz w:val="16"/>
              </w:rPr>
              <w:t>Cross-cluster discovery and application delivery</w:t>
            </w:r>
          </w:p>
        </w:tc>
      </w:tr>
      <w:tr>
        <w:trPr>
          <w:cantSplit/>
        </w:trPr>
        <w:tc>
          <w:tcPr>
            <w:tcW w:type="dxa" w:w="3024"/>
            <w:tcMar>
              <w:top w:w="80" w:type="dxa"/>
              <w:start w:w="100" w:type="dxa"/>
              <w:bottom w:w="80" w:type="dxa"/>
              <w:end w:w="100" w:type="dxa"/>
            </w:tcMar>
            <w:vAlign w:val="top"/>
          </w:tcPr>
          <w:p>
            <w:pPr>
              <w:spacing w:after="0"/>
            </w:pPr>
            <w:r>
              <w:rPr>
                <w:sz w:val="16"/>
              </w:rPr>
              <w:t>Backup for GKE</w:t>
            </w:r>
          </w:p>
        </w:tc>
        <w:tc>
          <w:tcPr>
            <w:tcW w:type="dxa" w:w="6624"/>
            <w:tcMar>
              <w:top w:w="80" w:type="dxa"/>
              <w:start w:w="100" w:type="dxa"/>
              <w:bottom w:w="80" w:type="dxa"/>
              <w:end w:w="100" w:type="dxa"/>
            </w:tcMar>
            <w:vAlign w:val="top"/>
          </w:tcPr>
          <w:p>
            <w:pPr>
              <w:spacing w:after="0"/>
            </w:pPr>
            <w:r>
              <w:rPr>
                <w:sz w:val="16"/>
              </w:rPr>
              <w:t>Restore Kubernetes resources and supported persistent data</w:t>
            </w:r>
          </w:p>
        </w:tc>
      </w:tr>
    </w:tbl>
    <w:p>
      <w:pPr>
        <w:spacing w:after="20"/>
      </w:pPr>
    </w:p>
    <w:p>
      <w:pPr>
        <w:pStyle w:val="Heading2"/>
        <w:keepNext/>
      </w:pPr>
      <w:r>
        <w:t>33.4 Incident and Upgrade Operations</w:t>
      </w:r>
    </w:p>
    <w:p>
      <w:pPr>
        <w:spacing w:after="120"/>
      </w:pPr>
      <w:r>
        <w:rPr>
          <w:i w:val="0"/>
        </w:rPr>
        <w:t>Troubleshoot from the user-visible SLI through load balancer, Gateway/Ingress, Service endpoints, pod readiness, application logs, node pressure, control-plane events, and dependencies. During upgrades, use canary clusters or node pools for material changes, inspect deprecations, preserve rollback options, and communicate change windows.</w:t>
      </w:r>
    </w:p>
    <w:p>
      <w:pPr>
        <w:pStyle w:val="CodeBlock"/>
        <w:keepLines/>
        <w:spacing w:after="120"/>
      </w:pPr>
      <w:r>
        <w:rPr>
          <w:rFonts w:ascii="Cascadia Mono" w:hAnsi="Cascadia Mono"/>
          <w:sz w:val="16"/>
        </w:rPr>
        <w:t>kubectl get events -A --sort-by=.lastTimestamp</w:t>
        <w:br/>
        <w:t>kubectl get pods -A -o wide</w:t>
        <w:br/>
        <w:t>kubectl describe pod POD -n NAMESPACE</w:t>
        <w:br/>
        <w:t>gcloud container operations list --region=REGION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Service returns 503</w:t>
            </w:r>
          </w:p>
        </w:tc>
        <w:tc>
          <w:tcPr>
            <w:tcW w:type="dxa" w:w="2592"/>
            <w:tcMar>
              <w:top w:w="80" w:type="dxa"/>
              <w:start w:w="100" w:type="dxa"/>
              <w:bottom w:w="80" w:type="dxa"/>
              <w:end w:w="100" w:type="dxa"/>
            </w:tcMar>
            <w:vAlign w:val="top"/>
          </w:tcPr>
          <w:p>
            <w:pPr>
              <w:spacing w:after="0"/>
            </w:pPr>
            <w:r>
              <w:rPr>
                <w:sz w:val="16"/>
              </w:rPr>
              <w:t>No ready endpoints, unhealthy backend, policy, or app failure</w:t>
            </w:r>
          </w:p>
        </w:tc>
        <w:tc>
          <w:tcPr>
            <w:tcW w:type="dxa" w:w="5328"/>
            <w:tcMar>
              <w:top w:w="80" w:type="dxa"/>
              <w:start w:w="100" w:type="dxa"/>
              <w:bottom w:w="80" w:type="dxa"/>
              <w:end w:w="100" w:type="dxa"/>
            </w:tcMar>
            <w:vAlign w:val="top"/>
          </w:tcPr>
          <w:p>
            <w:pPr>
              <w:spacing w:after="0"/>
            </w:pPr>
            <w:r>
              <w:rPr>
                <w:sz w:val="16"/>
              </w:rPr>
              <w:t>Trace load balancer health to Gateway/Service/EndpointSlice and pod readiness.</w:t>
            </w:r>
          </w:p>
        </w:tc>
      </w:tr>
      <w:tr>
        <w:trPr>
          <w:cantSplit/>
        </w:trPr>
        <w:tc>
          <w:tcPr>
            <w:tcW w:type="dxa" w:w="2160"/>
            <w:tcMar>
              <w:top w:w="80" w:type="dxa"/>
              <w:start w:w="100" w:type="dxa"/>
              <w:bottom w:w="80" w:type="dxa"/>
              <w:end w:w="100" w:type="dxa"/>
            </w:tcMar>
            <w:vAlign w:val="top"/>
          </w:tcPr>
          <w:p>
            <w:pPr>
              <w:spacing w:after="0"/>
            </w:pPr>
            <w:r>
              <w:rPr>
                <w:sz w:val="16"/>
              </w:rPr>
              <w:t>Pods remain Pending</w:t>
            </w:r>
          </w:p>
        </w:tc>
        <w:tc>
          <w:tcPr>
            <w:tcW w:type="dxa" w:w="2592"/>
            <w:tcMar>
              <w:top w:w="80" w:type="dxa"/>
              <w:start w:w="100" w:type="dxa"/>
              <w:bottom w:w="80" w:type="dxa"/>
              <w:end w:w="100" w:type="dxa"/>
            </w:tcMar>
            <w:vAlign w:val="top"/>
          </w:tcPr>
          <w:p>
            <w:pPr>
              <w:spacing w:after="0"/>
            </w:pPr>
            <w:r>
              <w:rPr>
                <w:sz w:val="16"/>
              </w:rPr>
              <w:t>Insufficient resources, affinity, taint, quota, or IP exhaustion</w:t>
            </w:r>
          </w:p>
        </w:tc>
        <w:tc>
          <w:tcPr>
            <w:tcW w:type="dxa" w:w="5328"/>
            <w:tcMar>
              <w:top w:w="80" w:type="dxa"/>
              <w:start w:w="100" w:type="dxa"/>
              <w:bottom w:w="80" w:type="dxa"/>
              <w:end w:w="100" w:type="dxa"/>
            </w:tcMar>
            <w:vAlign w:val="top"/>
          </w:tcPr>
          <w:p>
            <w:pPr>
              <w:spacing w:after="0"/>
            </w:pPr>
            <w:r>
              <w:rPr>
                <w:sz w:val="16"/>
              </w:rPr>
              <w:t>Inspect scheduler events, requests, node pools, subnet secondary ranges, and quotas.</w:t>
            </w:r>
          </w:p>
        </w:tc>
      </w:tr>
      <w:tr>
        <w:trPr>
          <w:cantSplit/>
        </w:trPr>
        <w:tc>
          <w:tcPr>
            <w:tcW w:type="dxa" w:w="2160"/>
            <w:tcMar>
              <w:top w:w="80" w:type="dxa"/>
              <w:start w:w="100" w:type="dxa"/>
              <w:bottom w:w="80" w:type="dxa"/>
              <w:end w:w="100" w:type="dxa"/>
            </w:tcMar>
            <w:vAlign w:val="top"/>
          </w:tcPr>
          <w:p>
            <w:pPr>
              <w:spacing w:after="0"/>
            </w:pPr>
            <w:r>
              <w:rPr>
                <w:sz w:val="16"/>
              </w:rPr>
              <w:t>Autoscaling oscillates</w:t>
            </w:r>
          </w:p>
        </w:tc>
        <w:tc>
          <w:tcPr>
            <w:tcW w:type="dxa" w:w="2592"/>
            <w:tcMar>
              <w:top w:w="80" w:type="dxa"/>
              <w:start w:w="100" w:type="dxa"/>
              <w:bottom w:w="80" w:type="dxa"/>
              <w:end w:w="100" w:type="dxa"/>
            </w:tcMar>
            <w:vAlign w:val="top"/>
          </w:tcPr>
          <w:p>
            <w:pPr>
              <w:spacing w:after="0"/>
            </w:pPr>
            <w:r>
              <w:rPr>
                <w:sz w:val="16"/>
              </w:rPr>
              <w:t>Noisy metric, bad target, startup delay, or conflicting autoscalers</w:t>
            </w:r>
          </w:p>
        </w:tc>
        <w:tc>
          <w:tcPr>
            <w:tcW w:type="dxa" w:w="5328"/>
            <w:tcMar>
              <w:top w:w="80" w:type="dxa"/>
              <w:start w:w="100" w:type="dxa"/>
              <w:bottom w:w="80" w:type="dxa"/>
              <w:end w:w="100" w:type="dxa"/>
            </w:tcMar>
            <w:vAlign w:val="top"/>
          </w:tcPr>
          <w:p>
            <w:pPr>
              <w:spacing w:after="0"/>
            </w:pPr>
            <w:r>
              <w:rPr>
                <w:sz w:val="16"/>
              </w:rPr>
              <w:t>Graph metrics and replica decisions; stabilize target, windows, requests, and bounds.</w:t>
            </w:r>
          </w:p>
        </w:tc>
      </w:tr>
      <w:tr>
        <w:trPr>
          <w:cantSplit/>
        </w:trPr>
        <w:tc>
          <w:tcPr>
            <w:tcW w:type="dxa" w:w="2160"/>
            <w:tcMar>
              <w:top w:w="80" w:type="dxa"/>
              <w:start w:w="100" w:type="dxa"/>
              <w:bottom w:w="80" w:type="dxa"/>
              <w:end w:w="100" w:type="dxa"/>
            </w:tcMar>
            <w:vAlign w:val="top"/>
          </w:tcPr>
          <w:p>
            <w:pPr>
              <w:spacing w:after="0"/>
            </w:pPr>
            <w:r>
              <w:rPr>
                <w:sz w:val="16"/>
              </w:rPr>
              <w:t>Cross-cluster routing is partial</w:t>
            </w:r>
          </w:p>
        </w:tc>
        <w:tc>
          <w:tcPr>
            <w:tcW w:type="dxa" w:w="2592"/>
            <w:tcMar>
              <w:top w:w="80" w:type="dxa"/>
              <w:start w:w="100" w:type="dxa"/>
              <w:bottom w:w="80" w:type="dxa"/>
              <w:end w:w="100" w:type="dxa"/>
            </w:tcMar>
            <w:vAlign w:val="top"/>
          </w:tcPr>
          <w:p>
            <w:pPr>
              <w:spacing w:after="0"/>
            </w:pPr>
            <w:r>
              <w:rPr>
                <w:sz w:val="16"/>
              </w:rPr>
              <w:t>Fleet membership, service export, health, DNS, or policy mismatch</w:t>
            </w:r>
          </w:p>
        </w:tc>
        <w:tc>
          <w:tcPr>
            <w:tcW w:type="dxa" w:w="5328"/>
            <w:tcMar>
              <w:top w:w="80" w:type="dxa"/>
              <w:start w:w="100" w:type="dxa"/>
              <w:bottom w:w="80" w:type="dxa"/>
              <w:end w:w="100" w:type="dxa"/>
            </w:tcMar>
            <w:vAlign w:val="top"/>
          </w:tcPr>
          <w:p>
            <w:pPr>
              <w:spacing w:after="0"/>
            </w:pPr>
            <w:r>
              <w:rPr>
                <w:sz w:val="16"/>
              </w:rPr>
              <w:t>Inspect fleet status, exported services, gateway backends, health, and project/network IAM.</w:t>
            </w:r>
          </w:p>
        </w:tc>
      </w:tr>
    </w:tbl>
    <w:p>
      <w:pPr>
        <w:spacing w:after="20"/>
      </w:pPr>
    </w:p>
    <w:p>
      <w:pPr>
        <w:pStyle w:val="Heading2"/>
        <w:keepNext/>
      </w:pPr>
      <w:r>
        <w:t>Hands-on Lab 33: Operate a Production-Style GKE Service</w:t>
      </w:r>
    </w:p>
    <w:p>
      <w:pPr>
        <w:pStyle w:val="Heading3"/>
        <w:keepNext/>
      </w:pPr>
      <w:r>
        <w:t>Prerequisites</w:t>
      </w:r>
    </w:p>
    <w:p>
      <w:pPr>
        <w:pStyle w:val="ListBullet"/>
        <w:spacing w:after="60"/>
      </w:pPr>
      <w:r>
        <w:t>A small GKE cluster, Artifact Registry image, metrics, and permissions for load balancing and policy.</w:t>
      </w:r>
    </w:p>
    <w:p>
      <w:pPr>
        <w:pStyle w:val="Heading3"/>
        <w:keepNext/>
      </w:pPr>
      <w:r>
        <w:t>Implementation</w:t>
      </w:r>
    </w:p>
    <w:p>
      <w:pPr>
        <w:spacing w:after="60"/>
        <w:ind w:left="360" w:hanging="259"/>
      </w:pPr>
      <w:r>
        <w:rPr>
          <w:b/>
        </w:rPr>
        <w:t xml:space="preserve">1. </w:t>
      </w:r>
      <w:r>
        <w:t>Deploy a versioned application using a Deployment, Service, Gateway or Ingress, and managed TLS where practical.</w:t>
      </w:r>
    </w:p>
    <w:p>
      <w:pPr>
        <w:spacing w:after="60"/>
        <w:ind w:left="360" w:hanging="259"/>
      </w:pPr>
      <w:r>
        <w:rPr>
          <w:b/>
        </w:rPr>
        <w:t xml:space="preserve">2. </w:t>
      </w:r>
      <w:r>
        <w:t>Add Network Policy, PodDisruptionBudget, topology spread, resource requests, and graceful shutdown.</w:t>
      </w:r>
    </w:p>
    <w:p>
      <w:pPr>
        <w:spacing w:after="60"/>
        <w:ind w:left="360" w:hanging="259"/>
      </w:pPr>
      <w:r>
        <w:rPr>
          <w:b/>
        </w:rPr>
        <w:t xml:space="preserve">3. </w:t>
      </w:r>
      <w:r>
        <w:t>Configure HPA with a measurable target and define dependency-safe maximum replicas.</w:t>
      </w:r>
    </w:p>
    <w:p>
      <w:pPr>
        <w:spacing w:after="60"/>
        <w:ind w:left="360" w:hanging="259"/>
      </w:pPr>
      <w:r>
        <w:rPr>
          <w:b/>
        </w:rPr>
        <w:t xml:space="preserve">4. </w:t>
      </w:r>
      <w:r>
        <w:t>Generate load and capture scale-up latency, errors, pod scheduling, and dependency behavior.</w:t>
      </w:r>
    </w:p>
    <w:p>
      <w:pPr>
        <w:spacing w:after="60"/>
        <w:ind w:left="360" w:hanging="259"/>
      </w:pPr>
      <w:r>
        <w:rPr>
          <w:b/>
        </w:rPr>
        <w:t xml:space="preserve">5. </w:t>
      </w:r>
      <w:r>
        <w:t>Perform a rolling update and a failed canary; demonstrate rollback.</w:t>
      </w:r>
    </w:p>
    <w:p>
      <w:pPr>
        <w:spacing w:after="60"/>
        <w:ind w:left="360" w:hanging="259"/>
      </w:pPr>
      <w:r>
        <w:rPr>
          <w:b/>
        </w:rPr>
        <w:t xml:space="preserve">6. </w:t>
      </w:r>
      <w:r>
        <w:t>Simulate one failure: pod crash, node drain, denied network path, or bad readiness probe.</w:t>
      </w:r>
    </w:p>
    <w:p>
      <w:pPr>
        <w:spacing w:after="60"/>
        <w:ind w:left="360" w:hanging="259"/>
      </w:pPr>
      <w:r>
        <w:rPr>
          <w:b/>
        </w:rPr>
        <w:t xml:space="preserve">7. </w:t>
      </w:r>
      <w:r>
        <w:t>Create a fleet/policy/backup design for scaling this platform across clusters.</w:t>
      </w:r>
    </w:p>
    <w:p>
      <w:pPr>
        <w:pStyle w:val="Heading3"/>
        <w:keepNext/>
      </w:pPr>
      <w:r>
        <w:t>Validation Evidence</w:t>
      </w:r>
    </w:p>
    <w:p>
      <w:pPr>
        <w:pStyle w:val="ListBullet"/>
        <w:spacing w:after="60"/>
      </w:pPr>
      <w:r>
        <w:t>Traffic reaches only healthy endpoints.</w:t>
      </w:r>
    </w:p>
    <w:p>
      <w:pPr>
        <w:pStyle w:val="ListBullet"/>
        <w:spacing w:after="60"/>
      </w:pPr>
      <w:r>
        <w:t>Scaling evidence includes application and dependency metrics.</w:t>
      </w:r>
    </w:p>
    <w:p>
      <w:pPr>
        <w:pStyle w:val="ListBullet"/>
        <w:spacing w:after="60"/>
      </w:pPr>
      <w:r>
        <w:t>The failed release is detected and rolled back.</w:t>
      </w:r>
    </w:p>
    <w:p>
      <w:pPr>
        <w:pStyle w:val="ListBullet"/>
        <w:spacing w:after="60"/>
      </w:pPr>
      <w:r>
        <w:t>The incident timeline links symptom to Kubernetes and infrastructure evidence.</w:t>
      </w:r>
    </w:p>
    <w:p>
      <w:pPr>
        <w:pStyle w:val="Heading3"/>
        <w:keepNext/>
      </w:pPr>
      <w:r>
        <w:t>Cleanup</w:t>
      </w:r>
    </w:p>
    <w:p>
      <w:pPr>
        <w:pStyle w:val="ListBullet"/>
        <w:spacing w:after="60"/>
      </w:pPr>
      <w:r>
        <w:t>Delete application, gateway/load balancer, policies, backup objects, and cluster if dedicated.</w:t>
      </w:r>
    </w:p>
    <w:p>
      <w:pPr>
        <w:pStyle w:val="Heading2"/>
        <w:keepNext/>
      </w:pPr>
      <w:r>
        <w:t>Interview Questions and Model Answers</w:t>
      </w:r>
    </w:p>
    <w:p>
      <w:pPr>
        <w:spacing w:after="40"/>
      </w:pPr>
      <w:r>
        <w:rPr>
          <w:b/>
        </w:rPr>
        <w:t>1. Why can HPA fail even when configured correctly?</w:t>
      </w:r>
    </w:p>
    <w:p>
      <w:pPr>
        <w:spacing w:after="120"/>
        <w:ind w:left="216"/>
      </w:pPr>
      <w:r>
        <w:t>Metrics, resource requests, pod startup time, scheduler capacity, quotas, and dependency limits can prevent safe scaling.</w:t>
      </w:r>
    </w:p>
    <w:p>
      <w:pPr>
        <w:spacing w:after="40"/>
      </w:pPr>
      <w:r>
        <w:rPr>
          <w:b/>
        </w:rPr>
        <w:t>2. What is the purpose of a PDB?</w:t>
      </w:r>
    </w:p>
    <w:p>
      <w:pPr>
        <w:spacing w:after="120"/>
        <w:ind w:left="216"/>
      </w:pPr>
      <w:r>
        <w:t>It limits voluntary disruption of available replicas; it does not guarantee availability during every failure.</w:t>
      </w:r>
    </w:p>
    <w:p>
      <w:pPr>
        <w:spacing w:after="40"/>
      </w:pPr>
      <w:r>
        <w:rPr>
          <w:b/>
        </w:rPr>
        <w:t>3. Why use Gateway API?</w:t>
      </w:r>
    </w:p>
    <w:p>
      <w:pPr>
        <w:spacing w:after="120"/>
        <w:ind w:left="216"/>
      </w:pPr>
      <w:r>
        <w:t>It separates infrastructure and application roles and supports richer, portable traffic-management resources.</w:t>
      </w:r>
    </w:p>
    <w:p>
      <w:pPr>
        <w:spacing w:after="40"/>
      </w:pPr>
      <w:r>
        <w:rPr>
          <w:b/>
        </w:rPr>
        <w:t>4. What does a GKE fleet provide?</w:t>
      </w:r>
    </w:p>
    <w:p>
      <w:pPr>
        <w:spacing w:after="120"/>
        <w:ind w:left="216"/>
      </w:pPr>
      <w:r>
        <w:t>A logical grouping for consistent identity, policy, configuration, service, and multi-cluster management capabilities.</w:t>
      </w:r>
    </w:p>
    <w:p>
      <w:pPr>
        <w:pStyle w:val="Heading2"/>
        <w:keepNext/>
      </w:pPr>
      <w:r>
        <w:t>Chapter Summary</w:t>
      </w:r>
    </w:p>
    <w:p>
      <w:pPr>
        <w:pStyle w:val="ListBullet"/>
        <w:spacing w:after="60"/>
      </w:pPr>
      <w:r>
        <w:t>Production GKE operations cross Kubernetes and Google Cloud layers.</w:t>
      </w:r>
    </w:p>
    <w:p>
      <w:pPr>
        <w:pStyle w:val="ListBullet"/>
        <w:spacing w:after="60"/>
      </w:pPr>
      <w:r>
        <w:t>Autoscaling requires dependency and cost guardrails.</w:t>
      </w:r>
    </w:p>
    <w:p>
      <w:pPr>
        <w:pStyle w:val="ListBullet"/>
        <w:spacing w:after="60"/>
      </w:pPr>
      <w:r>
        <w:t>Fleets standardize multi-cluster governance but do not replace architecture.</w:t>
      </w:r>
    </w:p>
    <w:p>
      <w:pPr>
        <w:pStyle w:val="ListBullet"/>
        <w:spacing w:after="60"/>
      </w:pPr>
      <w:r>
        <w:t>Troubleshooting should follow the request path and evidence chain.</w:t>
      </w:r>
    </w:p>
    <w:p>
      <w:pPr>
        <w:pStyle w:val="Heading1"/>
        <w:keepNext/>
        <w:pageBreakBefore/>
      </w:pPr>
      <w:r>
        <w:t>Chapter 34 - Cloud Run Services, Jobs, and Worker Pools</w:t>
      </w:r>
    </w:p>
    <w:p>
      <w:pPr>
        <w:spacing w:after="120"/>
      </w:pPr>
      <w:r>
        <w:rPr>
          <w:i/>
          <w:color w:val="505050"/>
        </w:rPr>
        <w:t>Running containers without managing Kubernetes while preserving production controls</w:t>
      </w:r>
    </w:p>
    <w:p>
      <w:pPr>
        <w:pStyle w:val="Heading2"/>
        <w:keepNext/>
      </w:pPr>
      <w:r>
        <w:t>Learning Objectives</w:t>
      </w:r>
    </w:p>
    <w:p>
      <w:pPr>
        <w:pStyle w:val="ListBullet"/>
        <w:spacing w:after="60"/>
      </w:pPr>
      <w:r>
        <w:t>Select Cloud Run services, jobs, or worker pools from execution semantics.</w:t>
      </w:r>
    </w:p>
    <w:p>
      <w:pPr>
        <w:pStyle w:val="ListBullet"/>
        <w:spacing w:after="60"/>
      </w:pPr>
      <w:r>
        <w:t>Engineer revisions, traffic splitting, concurrency, autoscaling, and rollback.</w:t>
      </w:r>
    </w:p>
    <w:p>
      <w:pPr>
        <w:pStyle w:val="ListBullet"/>
        <w:spacing w:after="60"/>
      </w:pPr>
      <w:r>
        <w:t>Design private networking, service identity, secrets, and authenticated invocation.</w:t>
      </w:r>
    </w:p>
    <w:p>
      <w:pPr>
        <w:pStyle w:val="ListBullet"/>
        <w:spacing w:after="60"/>
      </w:pPr>
      <w:r>
        <w:t>Operate cost, cold starts, background work, and multi-region resilience.</w:t>
      </w:r>
    </w:p>
    <w:p>
      <w:pPr>
        <w:pStyle w:val="Heading2"/>
        <w:keepNext/>
      </w:pPr>
      <w:r>
        <w:t>34.1 Resource Models</w:t>
      </w:r>
    </w:p>
    <w:p>
      <w:pPr>
        <w:spacing w:after="120"/>
      </w:pPr>
      <w:r>
        <w:rPr>
          <w:i w:val="0"/>
        </w:rPr>
        <w:t>Cloud Run is a fully managed application platform for code, functions, and containers. Services expose request-driven endpoints and autoscale. Jobs run tasks to completion. Worker pools run continuous background work without a load-balanced URL and, according to current documentation, do not provide automatic scaling. Choose from lifecycle semantics, not deployment convenience.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Resource</w:t>
            </w:r>
          </w:p>
        </w:tc>
        <w:tc>
          <w:tcPr>
            <w:tcW w:type="dxa" w:w="4320"/>
            <w:shd w:fill="1A73E8"/>
            <w:tcMar>
              <w:top w:w="80" w:type="dxa"/>
              <w:start w:w="100" w:type="dxa"/>
              <w:bottom w:w="80" w:type="dxa"/>
              <w:end w:w="100" w:type="dxa"/>
            </w:tcMar>
            <w:vAlign w:val="center"/>
          </w:tcPr>
          <w:p>
            <w:pPr>
              <w:jc w:val="center"/>
            </w:pPr>
            <w:r>
              <w:rPr>
                <w:b/>
                <w:color w:val="FFFFFF"/>
                <w:sz w:val="16"/>
              </w:rPr>
              <w:t>Use Case</w:t>
            </w:r>
          </w:p>
        </w:tc>
        <w:tc>
          <w:tcPr>
            <w:tcW w:type="dxa" w:w="3168"/>
            <w:shd w:fill="1A73E8"/>
            <w:tcMar>
              <w:top w:w="80" w:type="dxa"/>
              <w:start w:w="100" w:type="dxa"/>
              <w:bottom w:w="80" w:type="dxa"/>
              <w:end w:w="100" w:type="dxa"/>
            </w:tcMar>
            <w:vAlign w:val="center"/>
          </w:tcPr>
          <w:p>
            <w:pPr>
              <w:jc w:val="center"/>
            </w:pPr>
            <w:r>
              <w:rPr>
                <w:b/>
                <w:color w:val="FFFFFF"/>
                <w:sz w:val="16"/>
              </w:rPr>
              <w:t>Key Constraint</w:t>
            </w:r>
          </w:p>
        </w:tc>
      </w:tr>
      <w:tr>
        <w:trPr>
          <w:cantSplit/>
        </w:trPr>
        <w:tc>
          <w:tcPr>
            <w:tcW w:type="dxa" w:w="2160"/>
            <w:tcMar>
              <w:top w:w="80" w:type="dxa"/>
              <w:start w:w="100" w:type="dxa"/>
              <w:bottom w:w="80" w:type="dxa"/>
              <w:end w:w="100" w:type="dxa"/>
            </w:tcMar>
            <w:vAlign w:val="top"/>
          </w:tcPr>
          <w:p>
            <w:pPr>
              <w:spacing w:after="0"/>
            </w:pPr>
            <w:r>
              <w:rPr>
                <w:sz w:val="16"/>
              </w:rPr>
              <w:t>Service</w:t>
            </w:r>
          </w:p>
        </w:tc>
        <w:tc>
          <w:tcPr>
            <w:tcW w:type="dxa" w:w="4320"/>
            <w:tcMar>
              <w:top w:w="80" w:type="dxa"/>
              <w:start w:w="100" w:type="dxa"/>
              <w:bottom w:w="80" w:type="dxa"/>
              <w:end w:w="100" w:type="dxa"/>
            </w:tcMar>
            <w:vAlign w:val="top"/>
          </w:tcPr>
          <w:p>
            <w:pPr>
              <w:spacing w:after="0"/>
            </w:pPr>
            <w:r>
              <w:rPr>
                <w:sz w:val="16"/>
              </w:rPr>
              <w:t>HTTP/gRPC request handling, webhooks, APIs</w:t>
            </w:r>
          </w:p>
        </w:tc>
        <w:tc>
          <w:tcPr>
            <w:tcW w:type="dxa" w:w="3168"/>
            <w:tcMar>
              <w:top w:w="80" w:type="dxa"/>
              <w:start w:w="100" w:type="dxa"/>
              <w:bottom w:w="80" w:type="dxa"/>
              <w:end w:w="100" w:type="dxa"/>
            </w:tcMar>
            <w:vAlign w:val="top"/>
          </w:tcPr>
          <w:p>
            <w:pPr>
              <w:spacing w:after="0"/>
            </w:pPr>
            <w:r>
              <w:rPr>
                <w:sz w:val="16"/>
              </w:rPr>
              <w:t>Request lifecycle, configured concurrency and autoscaling</w:t>
            </w:r>
          </w:p>
        </w:tc>
      </w:tr>
      <w:tr>
        <w:trPr>
          <w:cantSplit/>
        </w:trPr>
        <w:tc>
          <w:tcPr>
            <w:tcW w:type="dxa" w:w="2160"/>
            <w:tcMar>
              <w:top w:w="80" w:type="dxa"/>
              <w:start w:w="100" w:type="dxa"/>
              <w:bottom w:w="80" w:type="dxa"/>
              <w:end w:w="100" w:type="dxa"/>
            </w:tcMar>
            <w:vAlign w:val="top"/>
          </w:tcPr>
          <w:p>
            <w:pPr>
              <w:spacing w:after="0"/>
            </w:pPr>
            <w:r>
              <w:rPr>
                <w:sz w:val="16"/>
              </w:rPr>
              <w:t>Job</w:t>
            </w:r>
          </w:p>
        </w:tc>
        <w:tc>
          <w:tcPr>
            <w:tcW w:type="dxa" w:w="4320"/>
            <w:tcMar>
              <w:top w:w="80" w:type="dxa"/>
              <w:start w:w="100" w:type="dxa"/>
              <w:bottom w:w="80" w:type="dxa"/>
              <w:end w:w="100" w:type="dxa"/>
            </w:tcMar>
            <w:vAlign w:val="top"/>
          </w:tcPr>
          <w:p>
            <w:pPr>
              <w:spacing w:after="0"/>
            </w:pPr>
            <w:r>
              <w:rPr>
                <w:sz w:val="16"/>
              </w:rPr>
              <w:t>Batch, migration, scheduled processing</w:t>
            </w:r>
          </w:p>
        </w:tc>
        <w:tc>
          <w:tcPr>
            <w:tcW w:type="dxa" w:w="3168"/>
            <w:tcMar>
              <w:top w:w="80" w:type="dxa"/>
              <w:start w:w="100" w:type="dxa"/>
              <w:bottom w:w="80" w:type="dxa"/>
              <w:end w:w="100" w:type="dxa"/>
            </w:tcMar>
            <w:vAlign w:val="top"/>
          </w:tcPr>
          <w:p>
            <w:pPr>
              <w:spacing w:after="0"/>
            </w:pPr>
            <w:r>
              <w:rPr>
                <w:sz w:val="16"/>
              </w:rPr>
              <w:t>Finite tasks with retries and completion state</w:t>
            </w:r>
          </w:p>
        </w:tc>
      </w:tr>
      <w:tr>
        <w:trPr>
          <w:cantSplit/>
        </w:trPr>
        <w:tc>
          <w:tcPr>
            <w:tcW w:type="dxa" w:w="2160"/>
            <w:tcMar>
              <w:top w:w="80" w:type="dxa"/>
              <w:start w:w="100" w:type="dxa"/>
              <w:bottom w:w="80" w:type="dxa"/>
              <w:end w:w="100" w:type="dxa"/>
            </w:tcMar>
            <w:vAlign w:val="top"/>
          </w:tcPr>
          <w:p>
            <w:pPr>
              <w:spacing w:after="0"/>
            </w:pPr>
            <w:r>
              <w:rPr>
                <w:sz w:val="16"/>
              </w:rPr>
              <w:t>Worker pool</w:t>
            </w:r>
          </w:p>
        </w:tc>
        <w:tc>
          <w:tcPr>
            <w:tcW w:type="dxa" w:w="4320"/>
            <w:tcMar>
              <w:top w:w="80" w:type="dxa"/>
              <w:start w:w="100" w:type="dxa"/>
              <w:bottom w:w="80" w:type="dxa"/>
              <w:end w:w="100" w:type="dxa"/>
            </w:tcMar>
            <w:vAlign w:val="top"/>
          </w:tcPr>
          <w:p>
            <w:pPr>
              <w:spacing w:after="0"/>
            </w:pPr>
            <w:r>
              <w:rPr>
                <w:sz w:val="16"/>
              </w:rPr>
              <w:t>Continuous pull consumers or background processors</w:t>
            </w:r>
          </w:p>
        </w:tc>
        <w:tc>
          <w:tcPr>
            <w:tcW w:type="dxa" w:w="3168"/>
            <w:tcMar>
              <w:top w:w="80" w:type="dxa"/>
              <w:start w:w="100" w:type="dxa"/>
              <w:bottom w:w="80" w:type="dxa"/>
              <w:end w:w="100" w:type="dxa"/>
            </w:tcMar>
            <w:vAlign w:val="top"/>
          </w:tcPr>
          <w:p>
            <w:pPr>
              <w:spacing w:after="0"/>
            </w:pPr>
            <w:r>
              <w:rPr>
                <w:sz w:val="16"/>
              </w:rPr>
              <w:t>No load-balanced URL; capacity managed explicitly</w:t>
            </w:r>
          </w:p>
        </w:tc>
      </w:tr>
      <w:tr>
        <w:trPr>
          <w:cantSplit/>
        </w:trPr>
        <w:tc>
          <w:tcPr>
            <w:tcW w:type="dxa" w:w="2160"/>
            <w:tcMar>
              <w:top w:w="80" w:type="dxa"/>
              <w:start w:w="100" w:type="dxa"/>
              <w:bottom w:w="80" w:type="dxa"/>
              <w:end w:w="100" w:type="dxa"/>
            </w:tcMar>
            <w:vAlign w:val="top"/>
          </w:tcPr>
          <w:p>
            <w:pPr>
              <w:spacing w:after="0"/>
            </w:pPr>
            <w:r>
              <w:rPr>
                <w:sz w:val="16"/>
              </w:rPr>
              <w:t>Function on Cloud Run</w:t>
            </w:r>
          </w:p>
        </w:tc>
        <w:tc>
          <w:tcPr>
            <w:tcW w:type="dxa" w:w="4320"/>
            <w:tcMar>
              <w:top w:w="80" w:type="dxa"/>
              <w:start w:w="100" w:type="dxa"/>
              <w:bottom w:w="80" w:type="dxa"/>
              <w:end w:w="100" w:type="dxa"/>
            </w:tcMar>
            <w:vAlign w:val="top"/>
          </w:tcPr>
          <w:p>
            <w:pPr>
              <w:spacing w:after="0"/>
            </w:pPr>
            <w:r>
              <w:rPr>
                <w:sz w:val="16"/>
              </w:rPr>
              <w:t>Single-purpose event/HTTP handler</w:t>
            </w:r>
          </w:p>
        </w:tc>
        <w:tc>
          <w:tcPr>
            <w:tcW w:type="dxa" w:w="3168"/>
            <w:tcMar>
              <w:top w:w="80" w:type="dxa"/>
              <w:start w:w="100" w:type="dxa"/>
              <w:bottom w:w="80" w:type="dxa"/>
              <w:end w:w="100" w:type="dxa"/>
            </w:tcMar>
            <w:vAlign w:val="top"/>
          </w:tcPr>
          <w:p>
            <w:pPr>
              <w:spacing w:after="0"/>
            </w:pPr>
            <w:r>
              <w:rPr>
                <w:sz w:val="16"/>
              </w:rPr>
              <w:t>Function framework/runtime conventions</w:t>
            </w:r>
          </w:p>
        </w:tc>
      </w:tr>
    </w:tbl>
    <w:p>
      <w:pPr>
        <w:spacing w:after="20"/>
      </w:pPr>
    </w:p>
    <w:p>
      <w:pPr>
        <w:pStyle w:val="Heading2"/>
        <w:keepNext/>
      </w:pPr>
      <w:r>
        <w:t>34.2 Revisions, Traffic, and Scaling</w:t>
      </w:r>
    </w:p>
    <w:p>
      <w:pPr>
        <w:spacing w:after="120"/>
      </w:pPr>
      <w:r>
        <w:rPr>
          <w:i w:val="0"/>
        </w:rPr>
        <w:t>Every configuration or image change creates a revision. Split traffic between revisions for canaries, migrate gradually, and retain known-good revisions for rollback. Concurrency determines how many requests one instance can serve; minimum instances reduce cold-start risk; maximum instances protect cost and downstream systems.</w:t>
      </w:r>
    </w:p>
    <w:p>
      <w:pPr>
        <w:pStyle w:val="CodeBlock"/>
        <w:keepLines/>
        <w:spacing w:after="120"/>
      </w:pPr>
      <w:r>
        <w:rPr>
          <w:rFonts w:ascii="Cascadia Mono" w:hAnsi="Cascadia Mono"/>
          <w:sz w:val="16"/>
        </w:rPr>
        <w:t>gcloud run deploy orders --image=REGION-docker.pkg.dev/PROJECT/apps/orders@sha256:DIGEST --region=REGION --no-allow-unauthenticated</w:t>
        <w:br/>
        <w:t>gcloud run services update-traffic orders --region=REGION --to-revisions=orders-00042=10,orders-00041=90</w:t>
      </w:r>
    </w:p>
    <w:p>
      <w:pPr>
        <w:pStyle w:val="Heading2"/>
        <w:keepNext/>
      </w:pPr>
      <w:r>
        <w:t>34.3 Identity, Ingress, and VPC Connectivity</w:t>
      </w:r>
    </w:p>
    <w:p>
      <w:pPr>
        <w:spacing w:after="120"/>
      </w:pPr>
      <w:r>
        <w:rPr>
          <w:i w:val="0"/>
        </w:rPr>
        <w:t>Use a dedicated service identity with least privilege. Keep services private unless public access is an explicit requirement. Ingress settings control accepted network paths; IAM controls who can invoke. Direct VPC egress lets services and jobs reach VPC resources without managing a Serverless VPC Access connector, and network tags can support granular firewall rules. Worker pools can use Direct VPC ingress and egress.</w:t>
      </w:r>
    </w:p>
    <w:p>
      <w:pPr>
        <w:pStyle w:val="ListBullet"/>
        <w:spacing w:after="60"/>
      </w:pPr>
      <w:r>
        <w:t>Use Secret Manager references rather than plaintext environment variables for secrets.</w:t>
      </w:r>
    </w:p>
    <w:p>
      <w:pPr>
        <w:pStyle w:val="ListBullet"/>
        <w:spacing w:after="60"/>
      </w:pPr>
      <w:r>
        <w:t>Use authenticated service-to-service invocation with identity tokens.</w:t>
      </w:r>
    </w:p>
    <w:p>
      <w:pPr>
        <w:pStyle w:val="ListBullet"/>
        <w:spacing w:after="60"/>
      </w:pPr>
      <w:r>
        <w:t>Separate public frontend, internal API, batch, and worker identities.</w:t>
      </w:r>
    </w:p>
    <w:p>
      <w:pPr>
        <w:pStyle w:val="ListBullet"/>
        <w:spacing w:after="60"/>
      </w:pPr>
      <w:r>
        <w:t>Control egress and DNS so private dependencies are reachable without broad internet access.</w:t>
      </w:r>
    </w:p>
    <w:p>
      <w:pPr>
        <w:pStyle w:val="Heading2"/>
        <w:keepNext/>
      </w:pPr>
      <w:r>
        <w:t>34.4 Reliability, Cost, and Multi-Region Design</w:t>
      </w:r>
    </w:p>
    <w:p>
      <w:pPr>
        <w:spacing w:after="120"/>
      </w:pPr>
      <w:r>
        <w:rPr>
          <w:i w:val="0"/>
        </w:rPr>
        <w:t>Cloud Run services are regional. Multi-region designs use independent services, global application delivery, health-based routing, replicated state, and tested failover. Scale-to-zero saves cost but can add latency. Minimum instances, CPU allocation, concurrency, timeouts, and retries must be tuned together. Never let automatic scale overwhelm a database or third-party API.</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Revision receives no traffic</w:t>
            </w:r>
          </w:p>
        </w:tc>
        <w:tc>
          <w:tcPr>
            <w:tcW w:type="dxa" w:w="2592"/>
            <w:tcMar>
              <w:top w:w="80" w:type="dxa"/>
              <w:start w:w="100" w:type="dxa"/>
              <w:bottom w:w="80" w:type="dxa"/>
              <w:end w:w="100" w:type="dxa"/>
            </w:tcMar>
            <w:vAlign w:val="top"/>
          </w:tcPr>
          <w:p>
            <w:pPr>
              <w:spacing w:after="0"/>
            </w:pPr>
            <w:r>
              <w:rPr>
                <w:sz w:val="16"/>
              </w:rPr>
              <w:t>Traffic assignment, tag, IAM, or failed startup</w:t>
            </w:r>
          </w:p>
        </w:tc>
        <w:tc>
          <w:tcPr>
            <w:tcW w:type="dxa" w:w="5328"/>
            <w:tcMar>
              <w:top w:w="80" w:type="dxa"/>
              <w:start w:w="100" w:type="dxa"/>
              <w:bottom w:w="80" w:type="dxa"/>
              <w:end w:w="100" w:type="dxa"/>
            </w:tcMar>
            <w:vAlign w:val="top"/>
          </w:tcPr>
          <w:p>
            <w:pPr>
              <w:spacing w:after="0"/>
            </w:pPr>
            <w:r>
              <w:rPr>
                <w:sz w:val="16"/>
              </w:rPr>
              <w:t>Inspect service/revision status, traffic percentages, container logs, port, and health.</w:t>
            </w:r>
          </w:p>
        </w:tc>
      </w:tr>
      <w:tr>
        <w:trPr>
          <w:cantSplit/>
        </w:trPr>
        <w:tc>
          <w:tcPr>
            <w:tcW w:type="dxa" w:w="2160"/>
            <w:tcMar>
              <w:top w:w="80" w:type="dxa"/>
              <w:start w:w="100" w:type="dxa"/>
              <w:bottom w:w="80" w:type="dxa"/>
              <w:end w:w="100" w:type="dxa"/>
            </w:tcMar>
            <w:vAlign w:val="top"/>
          </w:tcPr>
          <w:p>
            <w:pPr>
              <w:spacing w:after="0"/>
            </w:pPr>
            <w:r>
              <w:rPr>
                <w:sz w:val="16"/>
              </w:rPr>
              <w:t>Latency spikes after idle</w:t>
            </w:r>
          </w:p>
        </w:tc>
        <w:tc>
          <w:tcPr>
            <w:tcW w:type="dxa" w:w="2592"/>
            <w:tcMar>
              <w:top w:w="80" w:type="dxa"/>
              <w:start w:w="100" w:type="dxa"/>
              <w:bottom w:w="80" w:type="dxa"/>
              <w:end w:w="100" w:type="dxa"/>
            </w:tcMar>
            <w:vAlign w:val="top"/>
          </w:tcPr>
          <w:p>
            <w:pPr>
              <w:spacing w:after="0"/>
            </w:pPr>
            <w:r>
              <w:rPr>
                <w:sz w:val="16"/>
              </w:rPr>
              <w:t>Cold start, dependency connection setup, or image size</w:t>
            </w:r>
          </w:p>
        </w:tc>
        <w:tc>
          <w:tcPr>
            <w:tcW w:type="dxa" w:w="5328"/>
            <w:tcMar>
              <w:top w:w="80" w:type="dxa"/>
              <w:start w:w="100" w:type="dxa"/>
              <w:bottom w:w="80" w:type="dxa"/>
              <w:end w:w="100" w:type="dxa"/>
            </w:tcMar>
            <w:vAlign w:val="top"/>
          </w:tcPr>
          <w:p>
            <w:pPr>
              <w:spacing w:after="0"/>
            </w:pPr>
            <w:r>
              <w:rPr>
                <w:sz w:val="16"/>
              </w:rPr>
              <w:t>Measure startup; reduce image/dependency work, set minimum instances, and reuse connections.</w:t>
            </w:r>
          </w:p>
        </w:tc>
      </w:tr>
      <w:tr>
        <w:trPr>
          <w:cantSplit/>
        </w:trPr>
        <w:tc>
          <w:tcPr>
            <w:tcW w:type="dxa" w:w="2160"/>
            <w:tcMar>
              <w:top w:w="80" w:type="dxa"/>
              <w:start w:w="100" w:type="dxa"/>
              <w:bottom w:w="80" w:type="dxa"/>
              <w:end w:w="100" w:type="dxa"/>
            </w:tcMar>
            <w:vAlign w:val="top"/>
          </w:tcPr>
          <w:p>
            <w:pPr>
              <w:spacing w:after="0"/>
            </w:pPr>
            <w:r>
              <w:rPr>
                <w:sz w:val="16"/>
              </w:rPr>
              <w:t>Database connections exhausted</w:t>
            </w:r>
          </w:p>
        </w:tc>
        <w:tc>
          <w:tcPr>
            <w:tcW w:type="dxa" w:w="2592"/>
            <w:tcMar>
              <w:top w:w="80" w:type="dxa"/>
              <w:start w:w="100" w:type="dxa"/>
              <w:bottom w:w="80" w:type="dxa"/>
              <w:end w:w="100" w:type="dxa"/>
            </w:tcMar>
            <w:vAlign w:val="top"/>
          </w:tcPr>
          <w:p>
            <w:pPr>
              <w:spacing w:after="0"/>
            </w:pPr>
            <w:r>
              <w:rPr>
                <w:sz w:val="16"/>
              </w:rPr>
              <w:t>High instance count times per-instance pool</w:t>
            </w:r>
          </w:p>
        </w:tc>
        <w:tc>
          <w:tcPr>
            <w:tcW w:type="dxa" w:w="5328"/>
            <w:tcMar>
              <w:top w:w="80" w:type="dxa"/>
              <w:start w:w="100" w:type="dxa"/>
              <w:bottom w:w="80" w:type="dxa"/>
              <w:end w:w="100" w:type="dxa"/>
            </w:tcMar>
            <w:vAlign w:val="top"/>
          </w:tcPr>
          <w:p>
            <w:pPr>
              <w:spacing w:after="0"/>
            </w:pPr>
            <w:r>
              <w:rPr>
                <w:sz w:val="16"/>
              </w:rPr>
              <w:t>Cap Cloud Run maximum instances/concurrency and bound pool size; add backpressure.</w:t>
            </w:r>
          </w:p>
        </w:tc>
      </w:tr>
      <w:tr>
        <w:trPr>
          <w:cantSplit/>
        </w:trPr>
        <w:tc>
          <w:tcPr>
            <w:tcW w:type="dxa" w:w="2160"/>
            <w:tcMar>
              <w:top w:w="80" w:type="dxa"/>
              <w:start w:w="100" w:type="dxa"/>
              <w:bottom w:w="80" w:type="dxa"/>
              <w:end w:w="100" w:type="dxa"/>
            </w:tcMar>
            <w:vAlign w:val="top"/>
          </w:tcPr>
          <w:p>
            <w:pPr>
              <w:spacing w:after="0"/>
            </w:pPr>
            <w:r>
              <w:rPr>
                <w:sz w:val="16"/>
              </w:rPr>
              <w:t>Private dependency unreachable</w:t>
            </w:r>
          </w:p>
        </w:tc>
        <w:tc>
          <w:tcPr>
            <w:tcW w:type="dxa" w:w="2592"/>
            <w:tcMar>
              <w:top w:w="80" w:type="dxa"/>
              <w:start w:w="100" w:type="dxa"/>
              <w:bottom w:w="80" w:type="dxa"/>
              <w:end w:w="100" w:type="dxa"/>
            </w:tcMar>
            <w:vAlign w:val="top"/>
          </w:tcPr>
          <w:p>
            <w:pPr>
              <w:spacing w:after="0"/>
            </w:pPr>
            <w:r>
              <w:rPr>
                <w:sz w:val="16"/>
              </w:rPr>
              <w:t>Wrong Direct VPC egress subnet, firewall, DNS, or route</w:t>
            </w:r>
          </w:p>
        </w:tc>
        <w:tc>
          <w:tcPr>
            <w:tcW w:type="dxa" w:w="5328"/>
            <w:tcMar>
              <w:top w:w="80" w:type="dxa"/>
              <w:start w:w="100" w:type="dxa"/>
              <w:bottom w:w="80" w:type="dxa"/>
              <w:end w:w="100" w:type="dxa"/>
            </w:tcMar>
            <w:vAlign w:val="top"/>
          </w:tcPr>
          <w:p>
            <w:pPr>
              <w:spacing w:after="0"/>
            </w:pPr>
            <w:r>
              <w:rPr>
                <w:sz w:val="16"/>
              </w:rPr>
              <w:t>Inspect revision network config, network tags, firewall logs, DNS, and return path.</w:t>
            </w:r>
          </w:p>
        </w:tc>
      </w:tr>
    </w:tbl>
    <w:p>
      <w:pPr>
        <w:spacing w:after="20"/>
      </w:pPr>
    </w:p>
    <w:p>
      <w:pPr>
        <w:pStyle w:val="Heading2"/>
        <w:keepNext/>
      </w:pPr>
      <w:r>
        <w:t>Hands-on Lab 34: Release a Private Cloud Run Application Safely</w:t>
      </w:r>
    </w:p>
    <w:p>
      <w:pPr>
        <w:pStyle w:val="Heading3"/>
        <w:keepNext/>
      </w:pPr>
      <w:r>
        <w:t>Prerequisites</w:t>
      </w:r>
    </w:p>
    <w:p>
      <w:pPr>
        <w:pStyle w:val="ListBullet"/>
        <w:spacing w:after="60"/>
      </w:pPr>
      <w:r>
        <w:t>Artifact Registry image, VPC/subnet, a private dependency or mock, and IAM permissions for Cloud Run.</w:t>
      </w:r>
    </w:p>
    <w:p>
      <w:pPr>
        <w:pStyle w:val="Heading3"/>
        <w:keepNext/>
      </w:pPr>
      <w:r>
        <w:t>Implementation</w:t>
      </w:r>
    </w:p>
    <w:p>
      <w:pPr>
        <w:spacing w:after="60"/>
        <w:ind w:left="360" w:hanging="259"/>
      </w:pPr>
      <w:r>
        <w:rPr>
          <w:b/>
        </w:rPr>
        <w:t xml:space="preserve">1. </w:t>
      </w:r>
      <w:r>
        <w:t>Deploy a private Cloud Run service by immutable digest with a dedicated service account.</w:t>
      </w:r>
    </w:p>
    <w:p>
      <w:pPr>
        <w:spacing w:after="60"/>
        <w:ind w:left="360" w:hanging="259"/>
      </w:pPr>
      <w:r>
        <w:rPr>
          <w:b/>
        </w:rPr>
        <w:t xml:space="preserve">2. </w:t>
      </w:r>
      <w:r>
        <w:t>Configure authenticated invocation and prove anonymous access is denied.</w:t>
      </w:r>
    </w:p>
    <w:p>
      <w:pPr>
        <w:spacing w:after="60"/>
        <w:ind w:left="360" w:hanging="259"/>
      </w:pPr>
      <w:r>
        <w:rPr>
          <w:b/>
        </w:rPr>
        <w:t xml:space="preserve">3. </w:t>
      </w:r>
      <w:r>
        <w:t>Connect to a VPC resource using Direct VPC egress and a least-privilege firewall rule.</w:t>
      </w:r>
    </w:p>
    <w:p>
      <w:pPr>
        <w:spacing w:after="60"/>
        <w:ind w:left="360" w:hanging="259"/>
      </w:pPr>
      <w:r>
        <w:rPr>
          <w:b/>
        </w:rPr>
        <w:t xml:space="preserve">4. </w:t>
      </w:r>
      <w:r>
        <w:t>Set concurrency, minimum and maximum instances, timeout, and request limits from a capacity assumption.</w:t>
      </w:r>
    </w:p>
    <w:p>
      <w:pPr>
        <w:spacing w:after="60"/>
        <w:ind w:left="360" w:hanging="259"/>
      </w:pPr>
      <w:r>
        <w:rPr>
          <w:b/>
        </w:rPr>
        <w:t xml:space="preserve">5. </w:t>
      </w:r>
      <w:r>
        <w:t>Deploy a second revision, send 10 percent canary traffic, and observe latency/errors.</w:t>
      </w:r>
    </w:p>
    <w:p>
      <w:pPr>
        <w:spacing w:after="60"/>
        <w:ind w:left="360" w:hanging="259"/>
      </w:pPr>
      <w:r>
        <w:rPr>
          <w:b/>
        </w:rPr>
        <w:t xml:space="preserve">6. </w:t>
      </w:r>
      <w:r>
        <w:t>Inject a startup or application failure and roll traffic back.</w:t>
      </w:r>
    </w:p>
    <w:p>
      <w:pPr>
        <w:spacing w:after="60"/>
        <w:ind w:left="360" w:hanging="259"/>
      </w:pPr>
      <w:r>
        <w:rPr>
          <w:b/>
        </w:rPr>
        <w:t xml:space="preserve">7. </w:t>
      </w:r>
      <w:r>
        <w:t>Create a Cloud Run job for a finite reconciliation task and define when a worker pool would be preferable.</w:t>
      </w:r>
    </w:p>
    <w:p>
      <w:pPr>
        <w:pStyle w:val="Heading3"/>
        <w:keepNext/>
      </w:pPr>
      <w:r>
        <w:t>Validation Evidence</w:t>
      </w:r>
    </w:p>
    <w:p>
      <w:pPr>
        <w:pStyle w:val="ListBullet"/>
        <w:spacing w:after="60"/>
      </w:pPr>
      <w:r>
        <w:t>Only authorized identities invoke the service.</w:t>
      </w:r>
    </w:p>
    <w:p>
      <w:pPr>
        <w:pStyle w:val="ListBullet"/>
        <w:spacing w:after="60"/>
      </w:pPr>
      <w:r>
        <w:t>Private networking works without broad ingress.</w:t>
      </w:r>
    </w:p>
    <w:p>
      <w:pPr>
        <w:pStyle w:val="ListBullet"/>
        <w:spacing w:after="60"/>
      </w:pPr>
      <w:r>
        <w:t>Canary and rollback evidence identifies revisions by digest.</w:t>
      </w:r>
    </w:p>
    <w:p>
      <w:pPr>
        <w:pStyle w:val="ListBullet"/>
        <w:spacing w:after="60"/>
      </w:pPr>
      <w:r>
        <w:t>Scaling limits protect the dependency.</w:t>
      </w:r>
    </w:p>
    <w:p>
      <w:pPr>
        <w:pStyle w:val="Heading3"/>
        <w:keepNext/>
      </w:pPr>
      <w:r>
        <w:t>Cleanup</w:t>
      </w:r>
    </w:p>
    <w:p>
      <w:pPr>
        <w:pStyle w:val="ListBullet"/>
        <w:spacing w:after="60"/>
      </w:pPr>
      <w:r>
        <w:t>Delete services, jobs, worker pools if created, VPC rules, service accounts, and images.</w:t>
      </w:r>
    </w:p>
    <w:p>
      <w:pPr>
        <w:pStyle w:val="Heading2"/>
        <w:keepNext/>
      </w:pPr>
      <w:r>
        <w:t>Interview Questions and Model Answers</w:t>
      </w:r>
    </w:p>
    <w:p>
      <w:pPr>
        <w:spacing w:after="40"/>
      </w:pPr>
      <w:r>
        <w:rPr>
          <w:b/>
        </w:rPr>
        <w:t>1. How do services and jobs differ?</w:t>
      </w:r>
    </w:p>
    <w:p>
      <w:pPr>
        <w:spacing w:after="120"/>
        <w:ind w:left="216"/>
      </w:pPr>
      <w:r>
        <w:t>Services handle requests and autoscale; jobs execute finite tasks to completion with task-level retries.</w:t>
      </w:r>
    </w:p>
    <w:p>
      <w:pPr>
        <w:spacing w:after="40"/>
      </w:pPr>
      <w:r>
        <w:rPr>
          <w:b/>
        </w:rPr>
        <w:t>2. Why set maximum instances?</w:t>
      </w:r>
    </w:p>
    <w:p>
      <w:pPr>
        <w:spacing w:after="120"/>
        <w:ind w:left="216"/>
      </w:pPr>
      <w:r>
        <w:t>To bound cost and protect downstream systems from unbounded autoscaling.</w:t>
      </w:r>
    </w:p>
    <w:p>
      <w:pPr>
        <w:spacing w:after="40"/>
      </w:pPr>
      <w:r>
        <w:rPr>
          <w:b/>
        </w:rPr>
        <w:t>3. What is a Cloud Run revision?</w:t>
      </w:r>
    </w:p>
    <w:p>
      <w:pPr>
        <w:spacing w:after="120"/>
        <w:ind w:left="216"/>
      </w:pPr>
      <w:r>
        <w:t>An immutable version of a service configuration and container image used for traffic management and rollback.</w:t>
      </w:r>
    </w:p>
    <w:p>
      <w:pPr>
        <w:spacing w:after="40"/>
      </w:pPr>
      <w:r>
        <w:rPr>
          <w:b/>
        </w:rPr>
        <w:t>4. When use a worker pool?</w:t>
      </w:r>
    </w:p>
    <w:p>
      <w:pPr>
        <w:spacing w:after="120"/>
        <w:ind w:left="216"/>
      </w:pPr>
      <w:r>
        <w:t>For continuous background processing without a public endpoint when explicitly managed capacity is acceptable.</w:t>
      </w:r>
    </w:p>
    <w:p>
      <w:pPr>
        <w:pStyle w:val="Heading2"/>
        <w:keepNext/>
      </w:pPr>
      <w:r>
        <w:t>Chapter Summary</w:t>
      </w:r>
    </w:p>
    <w:p>
      <w:pPr>
        <w:pStyle w:val="ListBullet"/>
        <w:spacing w:after="60"/>
      </w:pPr>
      <w:r>
        <w:t>Cloud Run offers distinct service, job, worker, and function execution models.</w:t>
      </w:r>
    </w:p>
    <w:p>
      <w:pPr>
        <w:pStyle w:val="ListBullet"/>
        <w:spacing w:after="60"/>
      </w:pPr>
      <w:r>
        <w:t>Revisions make gradual delivery and rollback first-class.</w:t>
      </w:r>
    </w:p>
    <w:p>
      <w:pPr>
        <w:pStyle w:val="ListBullet"/>
        <w:spacing w:after="60"/>
      </w:pPr>
      <w:r>
        <w:t>IAM, ingress, and VPC controls are separate layers.</w:t>
      </w:r>
    </w:p>
    <w:p>
      <w:pPr>
        <w:pStyle w:val="ListBullet"/>
        <w:spacing w:after="60"/>
      </w:pPr>
      <w:r>
        <w:t>Autoscaling must be bounded by dependency capacity and cost.</w:t>
      </w:r>
    </w:p>
    <w:p>
      <w:pPr>
        <w:pStyle w:val="Heading1"/>
        <w:keepNext/>
        <w:pageBreakBefore/>
      </w:pPr>
      <w:r>
        <w:t>Chapter 35 - Cloud Run Functions and Event-Driven Compute</w:t>
      </w:r>
    </w:p>
    <w:p>
      <w:pPr>
        <w:spacing w:after="120"/>
      </w:pPr>
      <w:r>
        <w:rPr>
          <w:i/>
          <w:color w:val="505050"/>
        </w:rPr>
        <w:t>Engineering small event handlers with production reliability and lifecycle controls</w:t>
      </w:r>
    </w:p>
    <w:p>
      <w:pPr>
        <w:pStyle w:val="Heading2"/>
        <w:keepNext/>
      </w:pPr>
      <w:r>
        <w:t>Learning Objectives</w:t>
      </w:r>
    </w:p>
    <w:p>
      <w:pPr>
        <w:pStyle w:val="ListBullet"/>
        <w:spacing w:after="60"/>
      </w:pPr>
      <w:r>
        <w:t>Use current Cloud Run functions terminology and deployment models.</w:t>
      </w:r>
    </w:p>
    <w:p>
      <w:pPr>
        <w:pStyle w:val="ListBullet"/>
        <w:spacing w:after="60"/>
      </w:pPr>
      <w:r>
        <w:t>Design HTTP and CloudEvents handlers with idempotency and bounded retries.</w:t>
      </w:r>
    </w:p>
    <w:p>
      <w:pPr>
        <w:pStyle w:val="ListBullet"/>
        <w:spacing w:after="60"/>
      </w:pPr>
      <w:r>
        <w:t>Secure function identity, ingress, secrets, and dependencies.</w:t>
      </w:r>
    </w:p>
    <w:p>
      <w:pPr>
        <w:pStyle w:val="ListBullet"/>
        <w:spacing w:after="60"/>
      </w:pPr>
      <w:r>
        <w:t>Choose functions, Cloud Run services, jobs, or Workflows appropriately.</w:t>
      </w:r>
    </w:p>
    <w:p>
      <w:pPr>
        <w:pStyle w:val="Heading2"/>
        <w:keepNext/>
      </w:pPr>
      <w:r>
        <w:t>35.1 Current Function Model</w:t>
      </w:r>
    </w:p>
    <w:p>
      <w:pPr>
        <w:spacing w:after="120"/>
      </w:pPr>
      <w:r>
        <w:rPr>
          <w:i w:val="0"/>
        </w:rPr>
        <w:t>Cloud Functions (2nd gen) is now Cloud Run functions. Existing Cloud Functions v2 APIs and gcloud functions workflows remain available for compatibility, but Google recommends transitioning to functions in Cloud Run. Functions use language frameworks and can receive HTTP requests or CloudEvents from supported event sources.</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448"/>
            <w:shd w:fill="1A73E8"/>
            <w:tcMar>
              <w:top w:w="80" w:type="dxa"/>
              <w:start w:w="100" w:type="dxa"/>
              <w:bottom w:w="80" w:type="dxa"/>
              <w:end w:w="100" w:type="dxa"/>
            </w:tcMar>
            <w:vAlign w:val="center"/>
          </w:tcPr>
          <w:p>
            <w:pPr>
              <w:jc w:val="center"/>
            </w:pPr>
            <w:r>
              <w:rPr>
                <w:b/>
                <w:color w:val="FFFFFF"/>
                <w:sz w:val="16"/>
              </w:rPr>
              <w:t>Choice</w:t>
            </w:r>
          </w:p>
        </w:tc>
        <w:tc>
          <w:tcPr>
            <w:tcW w:type="dxa" w:w="3600"/>
            <w:shd w:fill="1A73E8"/>
            <w:tcMar>
              <w:top w:w="80" w:type="dxa"/>
              <w:start w:w="100" w:type="dxa"/>
              <w:bottom w:w="80" w:type="dxa"/>
              <w:end w:w="100" w:type="dxa"/>
            </w:tcMar>
            <w:vAlign w:val="center"/>
          </w:tcPr>
          <w:p>
            <w:pPr>
              <w:jc w:val="center"/>
            </w:pPr>
            <w:r>
              <w:rPr>
                <w:b/>
                <w:color w:val="FFFFFF"/>
                <w:sz w:val="16"/>
              </w:rPr>
              <w:t>Strength</w:t>
            </w:r>
          </w:p>
        </w:tc>
        <w:tc>
          <w:tcPr>
            <w:tcW w:type="dxa" w:w="3600"/>
            <w:shd w:fill="1A73E8"/>
            <w:tcMar>
              <w:top w:w="80" w:type="dxa"/>
              <w:start w:w="100" w:type="dxa"/>
              <w:bottom w:w="80" w:type="dxa"/>
              <w:end w:w="100" w:type="dxa"/>
            </w:tcMar>
            <w:vAlign w:val="center"/>
          </w:tcPr>
          <w:p>
            <w:pPr>
              <w:jc w:val="center"/>
            </w:pPr>
            <w:r>
              <w:rPr>
                <w:b/>
                <w:color w:val="FFFFFF"/>
                <w:sz w:val="16"/>
              </w:rPr>
              <w:t>When to Reconsider</w:t>
            </w:r>
          </w:p>
        </w:tc>
      </w:tr>
      <w:tr>
        <w:trPr>
          <w:cantSplit/>
        </w:trPr>
        <w:tc>
          <w:tcPr>
            <w:tcW w:type="dxa" w:w="2448"/>
            <w:tcMar>
              <w:top w:w="80" w:type="dxa"/>
              <w:start w:w="100" w:type="dxa"/>
              <w:bottom w:w="80" w:type="dxa"/>
              <w:end w:w="100" w:type="dxa"/>
            </w:tcMar>
            <w:vAlign w:val="top"/>
          </w:tcPr>
          <w:p>
            <w:pPr>
              <w:spacing w:after="0"/>
            </w:pPr>
            <w:r>
              <w:rPr>
                <w:sz w:val="16"/>
              </w:rPr>
              <w:t>Cloud Run function</w:t>
            </w:r>
          </w:p>
        </w:tc>
        <w:tc>
          <w:tcPr>
            <w:tcW w:type="dxa" w:w="3600"/>
            <w:tcMar>
              <w:top w:w="80" w:type="dxa"/>
              <w:start w:w="100" w:type="dxa"/>
              <w:bottom w:w="80" w:type="dxa"/>
              <w:end w:w="100" w:type="dxa"/>
            </w:tcMar>
            <w:vAlign w:val="top"/>
          </w:tcPr>
          <w:p>
            <w:pPr>
              <w:spacing w:after="0"/>
            </w:pPr>
            <w:r>
              <w:rPr>
                <w:sz w:val="16"/>
              </w:rPr>
              <w:t>Minimal single-purpose handler</w:t>
            </w:r>
          </w:p>
        </w:tc>
        <w:tc>
          <w:tcPr>
            <w:tcW w:type="dxa" w:w="3600"/>
            <w:tcMar>
              <w:top w:w="80" w:type="dxa"/>
              <w:start w:w="100" w:type="dxa"/>
              <w:bottom w:w="80" w:type="dxa"/>
              <w:end w:w="100" w:type="dxa"/>
            </w:tcMar>
            <w:vAlign w:val="top"/>
          </w:tcPr>
          <w:p>
            <w:pPr>
              <w:spacing w:after="0"/>
            </w:pPr>
            <w:r>
              <w:rPr>
                <w:sz w:val="16"/>
              </w:rPr>
              <w:t>Complex container/runtime control or many endpoints</w:t>
            </w:r>
          </w:p>
        </w:tc>
      </w:tr>
      <w:tr>
        <w:trPr>
          <w:cantSplit/>
        </w:trPr>
        <w:tc>
          <w:tcPr>
            <w:tcW w:type="dxa" w:w="2448"/>
            <w:tcMar>
              <w:top w:w="80" w:type="dxa"/>
              <w:start w:w="100" w:type="dxa"/>
              <w:bottom w:w="80" w:type="dxa"/>
              <w:end w:w="100" w:type="dxa"/>
            </w:tcMar>
            <w:vAlign w:val="top"/>
          </w:tcPr>
          <w:p>
            <w:pPr>
              <w:spacing w:after="0"/>
            </w:pPr>
            <w:r>
              <w:rPr>
                <w:sz w:val="16"/>
              </w:rPr>
              <w:t>Cloud Run service</w:t>
            </w:r>
          </w:p>
        </w:tc>
        <w:tc>
          <w:tcPr>
            <w:tcW w:type="dxa" w:w="3600"/>
            <w:tcMar>
              <w:top w:w="80" w:type="dxa"/>
              <w:start w:w="100" w:type="dxa"/>
              <w:bottom w:w="80" w:type="dxa"/>
              <w:end w:w="100" w:type="dxa"/>
            </w:tcMar>
            <w:vAlign w:val="top"/>
          </w:tcPr>
          <w:p>
            <w:pPr>
              <w:spacing w:after="0"/>
            </w:pPr>
            <w:r>
              <w:rPr>
                <w:sz w:val="16"/>
              </w:rPr>
              <w:t>Full container and request lifecycle</w:t>
            </w:r>
          </w:p>
        </w:tc>
        <w:tc>
          <w:tcPr>
            <w:tcW w:type="dxa" w:w="3600"/>
            <w:tcMar>
              <w:top w:w="80" w:type="dxa"/>
              <w:start w:w="100" w:type="dxa"/>
              <w:bottom w:w="80" w:type="dxa"/>
              <w:end w:w="100" w:type="dxa"/>
            </w:tcMar>
            <w:vAlign w:val="top"/>
          </w:tcPr>
          <w:p>
            <w:pPr>
              <w:spacing w:after="0"/>
            </w:pPr>
            <w:r>
              <w:rPr>
                <w:sz w:val="16"/>
              </w:rPr>
              <w:t>Only a tiny handler is required</w:t>
            </w:r>
          </w:p>
        </w:tc>
      </w:tr>
      <w:tr>
        <w:trPr>
          <w:cantSplit/>
        </w:trPr>
        <w:tc>
          <w:tcPr>
            <w:tcW w:type="dxa" w:w="2448"/>
            <w:tcMar>
              <w:top w:w="80" w:type="dxa"/>
              <w:start w:w="100" w:type="dxa"/>
              <w:bottom w:w="80" w:type="dxa"/>
              <w:end w:w="100" w:type="dxa"/>
            </w:tcMar>
            <w:vAlign w:val="top"/>
          </w:tcPr>
          <w:p>
            <w:pPr>
              <w:spacing w:after="0"/>
            </w:pPr>
            <w:r>
              <w:rPr>
                <w:sz w:val="16"/>
              </w:rPr>
              <w:t>Cloud Run job</w:t>
            </w:r>
          </w:p>
        </w:tc>
        <w:tc>
          <w:tcPr>
            <w:tcW w:type="dxa" w:w="3600"/>
            <w:tcMar>
              <w:top w:w="80" w:type="dxa"/>
              <w:start w:w="100" w:type="dxa"/>
              <w:bottom w:w="80" w:type="dxa"/>
              <w:end w:w="100" w:type="dxa"/>
            </w:tcMar>
            <w:vAlign w:val="top"/>
          </w:tcPr>
          <w:p>
            <w:pPr>
              <w:spacing w:after="0"/>
            </w:pPr>
            <w:r>
              <w:rPr>
                <w:sz w:val="16"/>
              </w:rPr>
              <w:t>Finite asynchronous batch</w:t>
            </w:r>
          </w:p>
        </w:tc>
        <w:tc>
          <w:tcPr>
            <w:tcW w:type="dxa" w:w="3600"/>
            <w:tcMar>
              <w:top w:w="80" w:type="dxa"/>
              <w:start w:w="100" w:type="dxa"/>
              <w:bottom w:w="80" w:type="dxa"/>
              <w:end w:w="100" w:type="dxa"/>
            </w:tcMar>
            <w:vAlign w:val="top"/>
          </w:tcPr>
          <w:p>
            <w:pPr>
              <w:spacing w:after="0"/>
            </w:pPr>
            <w:r>
              <w:rPr>
                <w:sz w:val="16"/>
              </w:rPr>
              <w:t>Immediate request/event response is required</w:t>
            </w:r>
          </w:p>
        </w:tc>
      </w:tr>
      <w:tr>
        <w:trPr>
          <w:cantSplit/>
        </w:trPr>
        <w:tc>
          <w:tcPr>
            <w:tcW w:type="dxa" w:w="2448"/>
            <w:tcMar>
              <w:top w:w="80" w:type="dxa"/>
              <w:start w:w="100" w:type="dxa"/>
              <w:bottom w:w="80" w:type="dxa"/>
              <w:end w:w="100" w:type="dxa"/>
            </w:tcMar>
            <w:vAlign w:val="top"/>
          </w:tcPr>
          <w:p>
            <w:pPr>
              <w:spacing w:after="0"/>
            </w:pPr>
            <w:r>
              <w:rPr>
                <w:sz w:val="16"/>
              </w:rPr>
              <w:t>Workflows</w:t>
            </w:r>
          </w:p>
        </w:tc>
        <w:tc>
          <w:tcPr>
            <w:tcW w:type="dxa" w:w="3600"/>
            <w:tcMar>
              <w:top w:w="80" w:type="dxa"/>
              <w:start w:w="100" w:type="dxa"/>
              <w:bottom w:w="80" w:type="dxa"/>
              <w:end w:w="100" w:type="dxa"/>
            </w:tcMar>
            <w:vAlign w:val="top"/>
          </w:tcPr>
          <w:p>
            <w:pPr>
              <w:spacing w:after="0"/>
            </w:pPr>
            <w:r>
              <w:rPr>
                <w:sz w:val="16"/>
              </w:rPr>
              <w:t>Durable orchestration of services/APIs</w:t>
            </w:r>
          </w:p>
        </w:tc>
        <w:tc>
          <w:tcPr>
            <w:tcW w:type="dxa" w:w="3600"/>
            <w:tcMar>
              <w:top w:w="80" w:type="dxa"/>
              <w:start w:w="100" w:type="dxa"/>
              <w:bottom w:w="80" w:type="dxa"/>
              <w:end w:w="100" w:type="dxa"/>
            </w:tcMar>
            <w:vAlign w:val="top"/>
          </w:tcPr>
          <w:p>
            <w:pPr>
              <w:spacing w:after="0"/>
            </w:pPr>
            <w:r>
              <w:rPr>
                <w:sz w:val="16"/>
              </w:rPr>
              <w:t>Heavy compute or custom runtime logic</w:t>
            </w:r>
          </w:p>
        </w:tc>
      </w:tr>
    </w:tbl>
    <w:p>
      <w:pPr>
        <w:spacing w:after="20"/>
      </w:pPr>
    </w:p>
    <w:p>
      <w:pPr>
        <w:pStyle w:val="Heading2"/>
        <w:keepNext/>
      </w:pPr>
      <w:r>
        <w:t>35.2 Idempotency and Event Semantics</w:t>
      </w:r>
    </w:p>
    <w:p>
      <w:pPr>
        <w:spacing w:after="120"/>
      </w:pPr>
      <w:r>
        <w:rPr>
          <w:i w:val="0"/>
        </w:rPr>
        <w:t>Events can be redelivered. Use a stable event or business key, store processing state atomically, and make side effects conditional. Acknowledging before durable completion loses work; retrying non-idempotent effects duplicates work. Poison events need bounded retry and dead-letter or quarantine handling.</w:t>
      </w:r>
    </w:p>
    <w:p>
      <w:pPr>
        <w:pStyle w:val="ListBullet"/>
        <w:spacing w:after="60"/>
      </w:pPr>
      <w:r>
        <w:t>Validate event type, source, subject, schema, and size.</w:t>
      </w:r>
    </w:p>
    <w:p>
      <w:pPr>
        <w:pStyle w:val="ListBullet"/>
        <w:spacing w:after="60"/>
      </w:pPr>
      <w:r>
        <w:t>Record event ID and processing outcome with expiration where appropriate.</w:t>
      </w:r>
    </w:p>
    <w:p>
      <w:pPr>
        <w:pStyle w:val="ListBullet"/>
        <w:spacing w:after="60"/>
      </w:pPr>
      <w:r>
        <w:t>Use transactional outbox/inbox or conditional writes for critical effects.</w:t>
      </w:r>
    </w:p>
    <w:p>
      <w:pPr>
        <w:pStyle w:val="ListBullet"/>
        <w:spacing w:after="60"/>
      </w:pPr>
      <w:r>
        <w:t>Separate transient errors from permanent validation failures.</w:t>
      </w:r>
    </w:p>
    <w:p>
      <w:pPr>
        <w:pStyle w:val="Heading2"/>
        <w:keepNext/>
      </w:pPr>
      <w:r>
        <w:t>35.3 Security and Dependency Controls</w:t>
      </w:r>
    </w:p>
    <w:p>
      <w:pPr>
        <w:spacing w:after="120"/>
      </w:pPr>
      <w:r>
        <w:rPr>
          <w:i w:val="0"/>
        </w:rPr>
        <w:t>Each function needs a dedicated runtime identity. Restrict invocation and ingress, use Secret Manager, and avoid embedding credentials. Cap instances and concurrency to protect databases. Network private dependencies through supported Cloud Run networking, and avoid unrestricted egress for sensitive handlers.</w:t>
      </w:r>
    </w:p>
    <w:p>
      <w:pPr>
        <w:pStyle w:val="CodeBlock"/>
        <w:keepLines/>
        <w:spacing w:after="120"/>
      </w:pPr>
      <w:r>
        <w:rPr>
          <w:rFonts w:ascii="Cascadia Mono" w:hAnsi="Cascadia Mono"/>
          <w:sz w:val="16"/>
        </w:rPr>
        <w:t>gcloud run functions list --region=REGION</w:t>
        <w:br/>
        <w:t>gcloud functions list --regions=REGION</w:t>
        <w:br/>
        <w:t>gcloud run services describe FUNCTION_SERVICE --region=REGION</w:t>
      </w:r>
    </w:p>
    <w:p>
      <w:pPr>
        <w:pStyle w:val="Heading2"/>
        <w:keepNext/>
      </w:pPr>
      <w:r>
        <w:t>35.4 Observability and Lifecycle</w:t>
      </w:r>
    </w:p>
    <w:p>
      <w:pPr>
        <w:spacing w:after="120"/>
      </w:pPr>
      <w:r>
        <w:rPr>
          <w:i w:val="0"/>
        </w:rPr>
        <w:t>Measure invocation count, latency, errors, retries, cold starts, dependency calls, and business outcomes. Structured logs should include trace and event identifiers without sensitive payloads. Runtime versions, dependencies, event providers, and trigger APIs evolve; maintain upgrade and deprecation ownership.</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Function processes event twice</w:t>
            </w:r>
          </w:p>
        </w:tc>
        <w:tc>
          <w:tcPr>
            <w:tcW w:type="dxa" w:w="2592"/>
            <w:tcMar>
              <w:top w:w="80" w:type="dxa"/>
              <w:start w:w="100" w:type="dxa"/>
              <w:bottom w:w="80" w:type="dxa"/>
              <w:end w:w="100" w:type="dxa"/>
            </w:tcMar>
            <w:vAlign w:val="top"/>
          </w:tcPr>
          <w:p>
            <w:pPr>
              <w:spacing w:after="0"/>
            </w:pPr>
            <w:r>
              <w:rPr>
                <w:sz w:val="16"/>
              </w:rPr>
              <w:t>At-least-once delivery and no idempotency record</w:t>
            </w:r>
          </w:p>
        </w:tc>
        <w:tc>
          <w:tcPr>
            <w:tcW w:type="dxa" w:w="5328"/>
            <w:tcMar>
              <w:top w:w="80" w:type="dxa"/>
              <w:start w:w="100" w:type="dxa"/>
              <w:bottom w:w="80" w:type="dxa"/>
              <w:end w:w="100" w:type="dxa"/>
            </w:tcMar>
            <w:vAlign w:val="top"/>
          </w:tcPr>
          <w:p>
            <w:pPr>
              <w:spacing w:after="0"/>
            </w:pPr>
            <w:r>
              <w:rPr>
                <w:sz w:val="16"/>
              </w:rPr>
              <w:t>Use event/business key and atomic deduplication before side effects.</w:t>
            </w:r>
          </w:p>
        </w:tc>
      </w:tr>
      <w:tr>
        <w:trPr>
          <w:cantSplit/>
        </w:trPr>
        <w:tc>
          <w:tcPr>
            <w:tcW w:type="dxa" w:w="2160"/>
            <w:tcMar>
              <w:top w:w="80" w:type="dxa"/>
              <w:start w:w="100" w:type="dxa"/>
              <w:bottom w:w="80" w:type="dxa"/>
              <w:end w:w="100" w:type="dxa"/>
            </w:tcMar>
            <w:vAlign w:val="top"/>
          </w:tcPr>
          <w:p>
            <w:pPr>
              <w:spacing w:after="0"/>
            </w:pPr>
            <w:r>
              <w:rPr>
                <w:sz w:val="16"/>
              </w:rPr>
              <w:t>Function retries forever or floods logs</w:t>
            </w:r>
          </w:p>
        </w:tc>
        <w:tc>
          <w:tcPr>
            <w:tcW w:type="dxa" w:w="2592"/>
            <w:tcMar>
              <w:top w:w="80" w:type="dxa"/>
              <w:start w:w="100" w:type="dxa"/>
              <w:bottom w:w="80" w:type="dxa"/>
              <w:end w:w="100" w:type="dxa"/>
            </w:tcMar>
            <w:vAlign w:val="top"/>
          </w:tcPr>
          <w:p>
            <w:pPr>
              <w:spacing w:after="0"/>
            </w:pPr>
            <w:r>
              <w:rPr>
                <w:sz w:val="16"/>
              </w:rPr>
              <w:t>Transient/permanent errors not separated or retry policy too broad</w:t>
            </w:r>
          </w:p>
        </w:tc>
        <w:tc>
          <w:tcPr>
            <w:tcW w:type="dxa" w:w="5328"/>
            <w:tcMar>
              <w:top w:w="80" w:type="dxa"/>
              <w:start w:w="100" w:type="dxa"/>
              <w:bottom w:w="80" w:type="dxa"/>
              <w:end w:w="100" w:type="dxa"/>
            </w:tcMar>
            <w:vAlign w:val="top"/>
          </w:tcPr>
          <w:p>
            <w:pPr>
              <w:spacing w:after="0"/>
            </w:pPr>
            <w:r>
              <w:rPr>
                <w:sz w:val="16"/>
              </w:rPr>
              <w:t>Classify errors, bound retries, quarantine invalid events, and alert on age.</w:t>
            </w:r>
          </w:p>
        </w:tc>
      </w:tr>
      <w:tr>
        <w:trPr>
          <w:cantSplit/>
        </w:trPr>
        <w:tc>
          <w:tcPr>
            <w:tcW w:type="dxa" w:w="2160"/>
            <w:tcMar>
              <w:top w:w="80" w:type="dxa"/>
              <w:start w:w="100" w:type="dxa"/>
              <w:bottom w:w="80" w:type="dxa"/>
              <w:end w:w="100" w:type="dxa"/>
            </w:tcMar>
            <w:vAlign w:val="top"/>
          </w:tcPr>
          <w:p>
            <w:pPr>
              <w:spacing w:after="0"/>
            </w:pPr>
            <w:r>
              <w:rPr>
                <w:sz w:val="16"/>
              </w:rPr>
              <w:t>HTTP invocation is denied</w:t>
            </w:r>
          </w:p>
        </w:tc>
        <w:tc>
          <w:tcPr>
            <w:tcW w:type="dxa" w:w="2592"/>
            <w:tcMar>
              <w:top w:w="80" w:type="dxa"/>
              <w:start w:w="100" w:type="dxa"/>
              <w:bottom w:w="80" w:type="dxa"/>
              <w:end w:w="100" w:type="dxa"/>
            </w:tcMar>
            <w:vAlign w:val="top"/>
          </w:tcPr>
          <w:p>
            <w:pPr>
              <w:spacing w:after="0"/>
            </w:pPr>
            <w:r>
              <w:rPr>
                <w:sz w:val="16"/>
              </w:rPr>
              <w:t>Invoker IAM, audience, token, or ingress mismatch</w:t>
            </w:r>
          </w:p>
        </w:tc>
        <w:tc>
          <w:tcPr>
            <w:tcW w:type="dxa" w:w="5328"/>
            <w:tcMar>
              <w:top w:w="80" w:type="dxa"/>
              <w:start w:w="100" w:type="dxa"/>
              <w:bottom w:w="80" w:type="dxa"/>
              <w:end w:w="100" w:type="dxa"/>
            </w:tcMar>
            <w:vAlign w:val="top"/>
          </w:tcPr>
          <w:p>
            <w:pPr>
              <w:spacing w:after="0"/>
            </w:pPr>
            <w:r>
              <w:rPr>
                <w:sz w:val="16"/>
              </w:rPr>
              <w:t>Inspect IAM policy, identity token audience, ingress path, and audit logs.</w:t>
            </w:r>
          </w:p>
        </w:tc>
      </w:tr>
      <w:tr>
        <w:trPr>
          <w:cantSplit/>
        </w:trPr>
        <w:tc>
          <w:tcPr>
            <w:tcW w:type="dxa" w:w="2160"/>
            <w:tcMar>
              <w:top w:w="80" w:type="dxa"/>
              <w:start w:w="100" w:type="dxa"/>
              <w:bottom w:w="80" w:type="dxa"/>
              <w:end w:w="100" w:type="dxa"/>
            </w:tcMar>
            <w:vAlign w:val="top"/>
          </w:tcPr>
          <w:p>
            <w:pPr>
              <w:spacing w:after="0"/>
            </w:pPr>
            <w:r>
              <w:rPr>
                <w:sz w:val="16"/>
              </w:rPr>
              <w:t>Deploy succeeds but trigger does not fire</w:t>
            </w:r>
          </w:p>
        </w:tc>
        <w:tc>
          <w:tcPr>
            <w:tcW w:type="dxa" w:w="2592"/>
            <w:tcMar>
              <w:top w:w="80" w:type="dxa"/>
              <w:start w:w="100" w:type="dxa"/>
              <w:bottom w:w="80" w:type="dxa"/>
              <w:end w:w="100" w:type="dxa"/>
            </w:tcMar>
            <w:vAlign w:val="top"/>
          </w:tcPr>
          <w:p>
            <w:pPr>
              <w:spacing w:after="0"/>
            </w:pPr>
            <w:r>
              <w:rPr>
                <w:sz w:val="16"/>
              </w:rPr>
              <w:t>Eventarc trigger, region, service account, filter, or provider permission</w:t>
            </w:r>
          </w:p>
        </w:tc>
        <w:tc>
          <w:tcPr>
            <w:tcW w:type="dxa" w:w="5328"/>
            <w:tcMar>
              <w:top w:w="80" w:type="dxa"/>
              <w:start w:w="100" w:type="dxa"/>
              <w:bottom w:w="80" w:type="dxa"/>
              <w:end w:w="100" w:type="dxa"/>
            </w:tcMar>
            <w:vAlign w:val="top"/>
          </w:tcPr>
          <w:p>
            <w:pPr>
              <w:spacing w:after="0"/>
            </w:pPr>
            <w:r>
              <w:rPr>
                <w:sz w:val="16"/>
              </w:rPr>
              <w:t>Inspect trigger state, audit logs, provider event, filters, and destination logs.</w:t>
            </w:r>
          </w:p>
        </w:tc>
      </w:tr>
    </w:tbl>
    <w:p>
      <w:pPr>
        <w:spacing w:after="20"/>
      </w:pPr>
    </w:p>
    <w:p>
      <w:pPr>
        <w:pStyle w:val="Heading2"/>
        <w:keepNext/>
      </w:pPr>
      <w:r>
        <w:t>Hands-on Lab 35: Build an Idempotent Cloud Run Function</w:t>
      </w:r>
    </w:p>
    <w:p>
      <w:pPr>
        <w:pStyle w:val="Heading3"/>
        <w:keepNext/>
      </w:pPr>
      <w:r>
        <w:t>Prerequisites</w:t>
      </w:r>
    </w:p>
    <w:p>
      <w:pPr>
        <w:pStyle w:val="ListBullet"/>
        <w:spacing w:after="60"/>
      </w:pPr>
      <w:r>
        <w:t>A storage bucket or Pub/Sub topic, Firestore/another state store for deduplication, and permissions for Cloud Run functions and Eventarc.</w:t>
      </w:r>
    </w:p>
    <w:p>
      <w:pPr>
        <w:pStyle w:val="Heading3"/>
        <w:keepNext/>
      </w:pPr>
      <w:r>
        <w:t>Implementation</w:t>
      </w:r>
    </w:p>
    <w:p>
      <w:pPr>
        <w:spacing w:after="60"/>
        <w:ind w:left="360" w:hanging="259"/>
      </w:pPr>
      <w:r>
        <w:rPr>
          <w:b/>
        </w:rPr>
        <w:t xml:space="preserve">1. </w:t>
      </w:r>
      <w:r>
        <w:t>Create a small CloudEvents function that validates event metadata and payload.</w:t>
      </w:r>
    </w:p>
    <w:p>
      <w:pPr>
        <w:spacing w:after="60"/>
        <w:ind w:left="360" w:hanging="259"/>
      </w:pPr>
      <w:r>
        <w:rPr>
          <w:b/>
        </w:rPr>
        <w:t xml:space="preserve">2. </w:t>
      </w:r>
      <w:r>
        <w:t>Deploy it with a dedicated runtime service account and no unnecessary public access.</w:t>
      </w:r>
    </w:p>
    <w:p>
      <w:pPr>
        <w:spacing w:after="60"/>
        <w:ind w:left="360" w:hanging="259"/>
      </w:pPr>
      <w:r>
        <w:rPr>
          <w:b/>
        </w:rPr>
        <w:t xml:space="preserve">3. </w:t>
      </w:r>
      <w:r>
        <w:t>Record event IDs and processing status atomically before a simulated external effect.</w:t>
      </w:r>
    </w:p>
    <w:p>
      <w:pPr>
        <w:spacing w:after="60"/>
        <w:ind w:left="360" w:hanging="259"/>
      </w:pPr>
      <w:r>
        <w:rPr>
          <w:b/>
        </w:rPr>
        <w:t xml:space="preserve">4. </w:t>
      </w:r>
      <w:r>
        <w:t>Publish the same event twice and prove the effect occurs once.</w:t>
      </w:r>
    </w:p>
    <w:p>
      <w:pPr>
        <w:spacing w:after="60"/>
        <w:ind w:left="360" w:hanging="259"/>
      </w:pPr>
      <w:r>
        <w:rPr>
          <w:b/>
        </w:rPr>
        <w:t xml:space="preserve">5. </w:t>
      </w:r>
      <w:r>
        <w:t>Inject a transient dependency failure and observe bounded retry.</w:t>
      </w:r>
    </w:p>
    <w:p>
      <w:pPr>
        <w:spacing w:after="60"/>
        <w:ind w:left="360" w:hanging="259"/>
      </w:pPr>
      <w:r>
        <w:rPr>
          <w:b/>
        </w:rPr>
        <w:t xml:space="preserve">6. </w:t>
      </w:r>
      <w:r>
        <w:t>Inject a permanent invalid event and route it to quarantine or record a terminal failure.</w:t>
      </w:r>
    </w:p>
    <w:p>
      <w:pPr>
        <w:spacing w:after="60"/>
        <w:ind w:left="360" w:hanging="259"/>
      </w:pPr>
      <w:r>
        <w:rPr>
          <w:b/>
        </w:rPr>
        <w:t xml:space="preserve">7. </w:t>
      </w:r>
      <w:r>
        <w:t>Create dashboards or log queries for latency, retries, duplicate suppression, and business outcome.</w:t>
      </w:r>
    </w:p>
    <w:p>
      <w:pPr>
        <w:pStyle w:val="Heading3"/>
        <w:keepNext/>
      </w:pPr>
      <w:r>
        <w:t>Validation Evidence</w:t>
      </w:r>
    </w:p>
    <w:p>
      <w:pPr>
        <w:pStyle w:val="ListBullet"/>
        <w:spacing w:after="60"/>
      </w:pPr>
      <w:r>
        <w:t>Duplicate delivery does not duplicate the business effect.</w:t>
      </w:r>
    </w:p>
    <w:p>
      <w:pPr>
        <w:pStyle w:val="ListBullet"/>
        <w:spacing w:after="60"/>
      </w:pPr>
      <w:r>
        <w:t>Runtime identity has only required roles.</w:t>
      </w:r>
    </w:p>
    <w:p>
      <w:pPr>
        <w:pStyle w:val="ListBullet"/>
        <w:spacing w:after="60"/>
      </w:pPr>
      <w:r>
        <w:t>Transient and permanent failures have different outcomes.</w:t>
      </w:r>
    </w:p>
    <w:p>
      <w:pPr>
        <w:pStyle w:val="ListBullet"/>
        <w:spacing w:after="60"/>
      </w:pPr>
      <w:r>
        <w:t>Logs correlate trigger, event, function execution, and effect.</w:t>
      </w:r>
    </w:p>
    <w:p>
      <w:pPr>
        <w:pStyle w:val="Heading3"/>
        <w:keepNext/>
      </w:pPr>
      <w:r>
        <w:t>Cleanup</w:t>
      </w:r>
    </w:p>
    <w:p>
      <w:pPr>
        <w:pStyle w:val="ListBullet"/>
        <w:spacing w:after="60"/>
      </w:pPr>
      <w:r>
        <w:t>Delete function/service, trigger, topic/bucket, state records, service accounts, and test artifacts.</w:t>
      </w:r>
    </w:p>
    <w:p>
      <w:pPr>
        <w:pStyle w:val="Heading2"/>
        <w:keepNext/>
      </w:pPr>
      <w:r>
        <w:t>Interview Questions and Model Answers</w:t>
      </w:r>
    </w:p>
    <w:p>
      <w:pPr>
        <w:spacing w:after="40"/>
      </w:pPr>
      <w:r>
        <w:rPr>
          <w:b/>
        </w:rPr>
        <w:t>1. Why are functions not automatically exactly once?</w:t>
      </w:r>
    </w:p>
    <w:p>
      <w:pPr>
        <w:spacing w:after="120"/>
        <w:ind w:left="216"/>
      </w:pPr>
      <w:r>
        <w:t>The trigger and downstream side effects can be retried or partially fail; end-to-end idempotency is still required.</w:t>
      </w:r>
    </w:p>
    <w:p>
      <w:pPr>
        <w:spacing w:after="40"/>
      </w:pPr>
      <w:r>
        <w:rPr>
          <w:b/>
        </w:rPr>
        <w:t>2. What changed in product naming?</w:t>
      </w:r>
    </w:p>
    <w:p>
      <w:pPr>
        <w:spacing w:after="120"/>
        <w:ind w:left="216"/>
      </w:pPr>
      <w:r>
        <w:t>Cloud Functions (2nd gen) is now Cloud Run functions; compatibility APIs remain, while new guidance points to Cloud Run.</w:t>
      </w:r>
    </w:p>
    <w:p>
      <w:pPr>
        <w:spacing w:after="40"/>
      </w:pPr>
      <w:r>
        <w:rPr>
          <w:b/>
        </w:rPr>
        <w:t>3. When choose a Cloud Run service instead?</w:t>
      </w:r>
    </w:p>
    <w:p>
      <w:pPr>
        <w:spacing w:after="120"/>
        <w:ind w:left="216"/>
      </w:pPr>
      <w:r>
        <w:t>When you need full container control, multiple routes, custom servers, or more complex request behavior.</w:t>
      </w:r>
    </w:p>
    <w:p>
      <w:pPr>
        <w:spacing w:after="40"/>
      </w:pPr>
      <w:r>
        <w:rPr>
          <w:b/>
        </w:rPr>
        <w:t>4. How should permanent errors be handled?</w:t>
      </w:r>
    </w:p>
    <w:p>
      <w:pPr>
        <w:spacing w:after="120"/>
        <w:ind w:left="216"/>
      </w:pPr>
      <w:r>
        <w:t>Do not retry indefinitely; record/quarantine them with enough evidence for correction and replay.</w:t>
      </w:r>
    </w:p>
    <w:p>
      <w:pPr>
        <w:pStyle w:val="Heading2"/>
        <w:keepNext/>
      </w:pPr>
      <w:r>
        <w:t>Chapter Summary</w:t>
      </w:r>
    </w:p>
    <w:p>
      <w:pPr>
        <w:pStyle w:val="ListBullet"/>
        <w:spacing w:after="60"/>
      </w:pPr>
      <w:r>
        <w:t>Cloud Run functions are lightweight Cloud Run-based handlers.</w:t>
      </w:r>
    </w:p>
    <w:p>
      <w:pPr>
        <w:pStyle w:val="ListBullet"/>
        <w:spacing w:after="60"/>
      </w:pPr>
      <w:r>
        <w:t>Idempotency is the central event-processing requirement.</w:t>
      </w:r>
    </w:p>
    <w:p>
      <w:pPr>
        <w:pStyle w:val="ListBullet"/>
        <w:spacing w:after="60"/>
      </w:pPr>
      <w:r>
        <w:t>Identity, ingress, and scaling limits protect dependencies.</w:t>
      </w:r>
    </w:p>
    <w:p>
      <w:pPr>
        <w:pStyle w:val="ListBullet"/>
        <w:spacing w:after="60"/>
      </w:pPr>
      <w:r>
        <w:t>Runtime and trigger lifecycle need active ownership.</w:t>
      </w:r>
    </w:p>
    <w:p>
      <w:pPr>
        <w:pStyle w:val="Heading1"/>
        <w:keepNext/>
        <w:pageBreakBefore/>
      </w:pPr>
      <w:r>
        <w:t>Chapter 36 - API Gateway, Apigee, and API Platform Engineering</w:t>
      </w:r>
    </w:p>
    <w:p>
      <w:pPr>
        <w:spacing w:after="120"/>
      </w:pPr>
      <w:r>
        <w:rPr>
          <w:i/>
          <w:color w:val="505050"/>
        </w:rPr>
        <w:t>Treating APIs as governed products rather than unmanaged endpoints</w:t>
      </w:r>
    </w:p>
    <w:p>
      <w:pPr>
        <w:pStyle w:val="Heading2"/>
        <w:keepNext/>
      </w:pPr>
      <w:r>
        <w:t>Learning Objectives</w:t>
      </w:r>
    </w:p>
    <w:p>
      <w:pPr>
        <w:pStyle w:val="ListBullet"/>
        <w:spacing w:after="60"/>
      </w:pPr>
      <w:r>
        <w:t>Select API Gateway or Apigee from lifecycle, policy, analytics, and hybrid requirements.</w:t>
      </w:r>
    </w:p>
    <w:p>
      <w:pPr>
        <w:pStyle w:val="ListBullet"/>
        <w:spacing w:after="60"/>
      </w:pPr>
      <w:r>
        <w:t>Design API contracts, authentication, quotas, versioning, and error behavior.</w:t>
      </w:r>
    </w:p>
    <w:p>
      <w:pPr>
        <w:pStyle w:val="ListBullet"/>
        <w:spacing w:after="60"/>
      </w:pPr>
      <w:r>
        <w:t>Operate gateways with private backends, observability, rollout, and rollback.</w:t>
      </w:r>
    </w:p>
    <w:p>
      <w:pPr>
        <w:pStyle w:val="ListBullet"/>
        <w:spacing w:after="60"/>
      </w:pPr>
      <w:r>
        <w:t>Establish API product ownership and consumer governance.</w:t>
      </w:r>
    </w:p>
    <w:p>
      <w:pPr>
        <w:pStyle w:val="Heading2"/>
        <w:keepNext/>
      </w:pPr>
      <w:r>
        <w:t>36.1 API Platform Selection</w:t>
      </w:r>
    </w:p>
    <w:p>
      <w:pPr>
        <w:spacing w:after="120"/>
      </w:pPr>
      <w:r>
        <w:rPr>
          <w:i w:val="0"/>
        </w:rPr>
        <w:t>API Gateway provides a managed front door for well-defined REST APIs backed by services such as Cloud Run. Apigee is Google Cloud's enterprise API management platform for proxies, products, developer onboarding, advanced policies, analytics, monetization, and hybrid deployment models. The right choice depends on API program maturity, not traffic alone.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3024"/>
            <w:shd w:fill="1A73E8"/>
            <w:tcMar>
              <w:top w:w="80" w:type="dxa"/>
              <w:start w:w="100" w:type="dxa"/>
              <w:bottom w:w="80" w:type="dxa"/>
              <w:end w:w="100" w:type="dxa"/>
            </w:tcMar>
            <w:vAlign w:val="center"/>
          </w:tcPr>
          <w:p>
            <w:pPr>
              <w:jc w:val="center"/>
            </w:pPr>
            <w:r>
              <w:rPr>
                <w:b/>
                <w:color w:val="FFFFFF"/>
                <w:sz w:val="16"/>
              </w:rPr>
              <w:t>Requirement</w:t>
            </w:r>
          </w:p>
        </w:tc>
        <w:tc>
          <w:tcPr>
            <w:tcW w:type="dxa" w:w="3312"/>
            <w:shd w:fill="1A73E8"/>
            <w:tcMar>
              <w:top w:w="80" w:type="dxa"/>
              <w:start w:w="100" w:type="dxa"/>
              <w:bottom w:w="80" w:type="dxa"/>
              <w:end w:w="100" w:type="dxa"/>
            </w:tcMar>
            <w:vAlign w:val="center"/>
          </w:tcPr>
          <w:p>
            <w:pPr>
              <w:jc w:val="center"/>
            </w:pPr>
            <w:r>
              <w:rPr>
                <w:b/>
                <w:color w:val="FFFFFF"/>
                <w:sz w:val="16"/>
              </w:rPr>
              <w:t>API Gateway</w:t>
            </w:r>
          </w:p>
        </w:tc>
        <w:tc>
          <w:tcPr>
            <w:tcW w:type="dxa" w:w="3312"/>
            <w:shd w:fill="1A73E8"/>
            <w:tcMar>
              <w:top w:w="80" w:type="dxa"/>
              <w:start w:w="100" w:type="dxa"/>
              <w:bottom w:w="80" w:type="dxa"/>
              <w:end w:w="100" w:type="dxa"/>
            </w:tcMar>
            <w:vAlign w:val="center"/>
          </w:tcPr>
          <w:p>
            <w:pPr>
              <w:jc w:val="center"/>
            </w:pPr>
            <w:r>
              <w:rPr>
                <w:b/>
                <w:color w:val="FFFFFF"/>
                <w:sz w:val="16"/>
              </w:rPr>
              <w:t>Apigee</w:t>
            </w:r>
          </w:p>
        </w:tc>
      </w:tr>
      <w:tr>
        <w:trPr>
          <w:cantSplit/>
        </w:trPr>
        <w:tc>
          <w:tcPr>
            <w:tcW w:type="dxa" w:w="3024"/>
            <w:tcMar>
              <w:top w:w="80" w:type="dxa"/>
              <w:start w:w="100" w:type="dxa"/>
              <w:bottom w:w="80" w:type="dxa"/>
              <w:end w:w="100" w:type="dxa"/>
            </w:tcMar>
            <w:vAlign w:val="top"/>
          </w:tcPr>
          <w:p>
            <w:pPr>
              <w:spacing w:after="0"/>
            </w:pPr>
            <w:r>
              <w:rPr>
                <w:sz w:val="16"/>
              </w:rPr>
              <w:t>Managed REST front door</w:t>
            </w:r>
          </w:p>
        </w:tc>
        <w:tc>
          <w:tcPr>
            <w:tcW w:type="dxa" w:w="3312"/>
            <w:tcMar>
              <w:top w:w="80" w:type="dxa"/>
              <w:start w:w="100" w:type="dxa"/>
              <w:bottom w:w="80" w:type="dxa"/>
              <w:end w:w="100" w:type="dxa"/>
            </w:tcMar>
            <w:vAlign w:val="top"/>
          </w:tcPr>
          <w:p>
            <w:pPr>
              <w:spacing w:after="0"/>
            </w:pPr>
            <w:r>
              <w:rPr>
                <w:sz w:val="16"/>
              </w:rPr>
              <w:t>Strong fit</w:t>
            </w:r>
          </w:p>
        </w:tc>
        <w:tc>
          <w:tcPr>
            <w:tcW w:type="dxa" w:w="3312"/>
            <w:tcMar>
              <w:top w:w="80" w:type="dxa"/>
              <w:start w:w="100" w:type="dxa"/>
              <w:bottom w:w="80" w:type="dxa"/>
              <w:end w:w="100" w:type="dxa"/>
            </w:tcMar>
            <w:vAlign w:val="top"/>
          </w:tcPr>
          <w:p>
            <w:pPr>
              <w:spacing w:after="0"/>
            </w:pPr>
            <w:r>
              <w:rPr>
                <w:sz w:val="16"/>
              </w:rPr>
              <w:t>Supported but may be more platform than needed</w:t>
            </w:r>
          </w:p>
        </w:tc>
      </w:tr>
      <w:tr>
        <w:trPr>
          <w:cantSplit/>
        </w:trPr>
        <w:tc>
          <w:tcPr>
            <w:tcW w:type="dxa" w:w="3024"/>
            <w:tcMar>
              <w:top w:w="80" w:type="dxa"/>
              <w:start w:w="100" w:type="dxa"/>
              <w:bottom w:w="80" w:type="dxa"/>
              <w:end w:w="100" w:type="dxa"/>
            </w:tcMar>
            <w:vAlign w:val="top"/>
          </w:tcPr>
          <w:p>
            <w:pPr>
              <w:spacing w:after="0"/>
            </w:pPr>
            <w:r>
              <w:rPr>
                <w:sz w:val="16"/>
              </w:rPr>
              <w:t>Advanced policy and mediation</w:t>
            </w:r>
          </w:p>
        </w:tc>
        <w:tc>
          <w:tcPr>
            <w:tcW w:type="dxa" w:w="3312"/>
            <w:tcMar>
              <w:top w:w="80" w:type="dxa"/>
              <w:start w:w="100" w:type="dxa"/>
              <w:bottom w:w="80" w:type="dxa"/>
              <w:end w:w="100" w:type="dxa"/>
            </w:tcMar>
            <w:vAlign w:val="top"/>
          </w:tcPr>
          <w:p>
            <w:pPr>
              <w:spacing w:after="0"/>
            </w:pPr>
            <w:r>
              <w:rPr>
                <w:sz w:val="16"/>
              </w:rPr>
              <w:t>Basic contract/auth/routing use cases</w:t>
            </w:r>
          </w:p>
        </w:tc>
        <w:tc>
          <w:tcPr>
            <w:tcW w:type="dxa" w:w="3312"/>
            <w:tcMar>
              <w:top w:w="80" w:type="dxa"/>
              <w:start w:w="100" w:type="dxa"/>
              <w:bottom w:w="80" w:type="dxa"/>
              <w:end w:w="100" w:type="dxa"/>
            </w:tcMar>
            <w:vAlign w:val="top"/>
          </w:tcPr>
          <w:p>
            <w:pPr>
              <w:spacing w:after="0"/>
            </w:pPr>
            <w:r>
              <w:rPr>
                <w:sz w:val="16"/>
              </w:rPr>
              <w:t>Rich policy, transformation, threat, quota, caching</w:t>
            </w:r>
          </w:p>
        </w:tc>
      </w:tr>
      <w:tr>
        <w:trPr>
          <w:cantSplit/>
        </w:trPr>
        <w:tc>
          <w:tcPr>
            <w:tcW w:type="dxa" w:w="3024"/>
            <w:tcMar>
              <w:top w:w="80" w:type="dxa"/>
              <w:start w:w="100" w:type="dxa"/>
              <w:bottom w:w="80" w:type="dxa"/>
              <w:end w:w="100" w:type="dxa"/>
            </w:tcMar>
            <w:vAlign w:val="top"/>
          </w:tcPr>
          <w:p>
            <w:pPr>
              <w:spacing w:after="0"/>
            </w:pPr>
            <w:r>
              <w:rPr>
                <w:sz w:val="16"/>
              </w:rPr>
              <w:t>Developer portal/API products</w:t>
            </w:r>
          </w:p>
        </w:tc>
        <w:tc>
          <w:tcPr>
            <w:tcW w:type="dxa" w:w="3312"/>
            <w:tcMar>
              <w:top w:w="80" w:type="dxa"/>
              <w:start w:w="100" w:type="dxa"/>
              <w:bottom w:w="80" w:type="dxa"/>
              <w:end w:w="100" w:type="dxa"/>
            </w:tcMar>
            <w:vAlign w:val="top"/>
          </w:tcPr>
          <w:p>
            <w:pPr>
              <w:spacing w:after="0"/>
            </w:pPr>
            <w:r>
              <w:rPr>
                <w:sz w:val="16"/>
              </w:rPr>
              <w:t>Limited</w:t>
            </w:r>
          </w:p>
        </w:tc>
        <w:tc>
          <w:tcPr>
            <w:tcW w:type="dxa" w:w="3312"/>
            <w:tcMar>
              <w:top w:w="80" w:type="dxa"/>
              <w:start w:w="100" w:type="dxa"/>
              <w:bottom w:w="80" w:type="dxa"/>
              <w:end w:w="100" w:type="dxa"/>
            </w:tcMar>
            <w:vAlign w:val="top"/>
          </w:tcPr>
          <w:p>
            <w:pPr>
              <w:spacing w:after="0"/>
            </w:pPr>
            <w:r>
              <w:rPr>
                <w:sz w:val="16"/>
              </w:rPr>
              <w:t>Core capability</w:t>
            </w:r>
          </w:p>
        </w:tc>
      </w:tr>
      <w:tr>
        <w:trPr>
          <w:cantSplit/>
        </w:trPr>
        <w:tc>
          <w:tcPr>
            <w:tcW w:type="dxa" w:w="3024"/>
            <w:tcMar>
              <w:top w:w="80" w:type="dxa"/>
              <w:start w:w="100" w:type="dxa"/>
              <w:bottom w:w="80" w:type="dxa"/>
              <w:end w:w="100" w:type="dxa"/>
            </w:tcMar>
            <w:vAlign w:val="top"/>
          </w:tcPr>
          <w:p>
            <w:pPr>
              <w:spacing w:after="0"/>
            </w:pPr>
            <w:r>
              <w:rPr>
                <w:sz w:val="16"/>
              </w:rPr>
              <w:t>Hybrid or multi-cloud gateway</w:t>
            </w:r>
          </w:p>
        </w:tc>
        <w:tc>
          <w:tcPr>
            <w:tcW w:type="dxa" w:w="3312"/>
            <w:tcMar>
              <w:top w:w="80" w:type="dxa"/>
              <w:start w:w="100" w:type="dxa"/>
              <w:bottom w:w="80" w:type="dxa"/>
              <w:end w:w="100" w:type="dxa"/>
            </w:tcMar>
            <w:vAlign w:val="top"/>
          </w:tcPr>
          <w:p>
            <w:pPr>
              <w:spacing w:after="0"/>
            </w:pPr>
            <w:r>
              <w:rPr>
                <w:sz w:val="16"/>
              </w:rPr>
              <w:t>Not primary design</w:t>
            </w:r>
          </w:p>
        </w:tc>
        <w:tc>
          <w:tcPr>
            <w:tcW w:type="dxa" w:w="3312"/>
            <w:tcMar>
              <w:top w:w="80" w:type="dxa"/>
              <w:start w:w="100" w:type="dxa"/>
              <w:bottom w:w="80" w:type="dxa"/>
              <w:end w:w="100" w:type="dxa"/>
            </w:tcMar>
            <w:vAlign w:val="top"/>
          </w:tcPr>
          <w:p>
            <w:pPr>
              <w:spacing w:after="0"/>
            </w:pPr>
            <w:r>
              <w:rPr>
                <w:sz w:val="16"/>
              </w:rPr>
              <w:t>Apigee hybrid supports distributed runtime</w:t>
            </w:r>
          </w:p>
        </w:tc>
      </w:tr>
      <w:tr>
        <w:trPr>
          <w:cantSplit/>
        </w:trPr>
        <w:tc>
          <w:tcPr>
            <w:tcW w:type="dxa" w:w="3024"/>
            <w:tcMar>
              <w:top w:w="80" w:type="dxa"/>
              <w:start w:w="100" w:type="dxa"/>
              <w:bottom w:w="80" w:type="dxa"/>
              <w:end w:w="100" w:type="dxa"/>
            </w:tcMar>
            <w:vAlign w:val="top"/>
          </w:tcPr>
          <w:p>
            <w:pPr>
              <w:spacing w:after="0"/>
            </w:pPr>
            <w:r>
              <w:rPr>
                <w:sz w:val="16"/>
              </w:rPr>
              <w:t>Enterprise analytics/lifecycle</w:t>
            </w:r>
          </w:p>
        </w:tc>
        <w:tc>
          <w:tcPr>
            <w:tcW w:type="dxa" w:w="3312"/>
            <w:tcMar>
              <w:top w:w="80" w:type="dxa"/>
              <w:start w:w="100" w:type="dxa"/>
              <w:bottom w:w="80" w:type="dxa"/>
              <w:end w:w="100" w:type="dxa"/>
            </w:tcMar>
            <w:vAlign w:val="top"/>
          </w:tcPr>
          <w:p>
            <w:pPr>
              <w:spacing w:after="0"/>
            </w:pPr>
            <w:r>
              <w:rPr>
                <w:sz w:val="16"/>
              </w:rPr>
              <w:t>Basic operational data</w:t>
            </w:r>
          </w:p>
        </w:tc>
        <w:tc>
          <w:tcPr>
            <w:tcW w:type="dxa" w:w="3312"/>
            <w:tcMar>
              <w:top w:w="80" w:type="dxa"/>
              <w:start w:w="100" w:type="dxa"/>
              <w:bottom w:w="80" w:type="dxa"/>
              <w:end w:w="100" w:type="dxa"/>
            </w:tcMar>
            <w:vAlign w:val="top"/>
          </w:tcPr>
          <w:p>
            <w:pPr>
              <w:spacing w:after="0"/>
            </w:pPr>
            <w:r>
              <w:rPr>
                <w:sz w:val="16"/>
              </w:rPr>
              <w:t>Deep API analytics and product governance</w:t>
            </w:r>
          </w:p>
        </w:tc>
      </w:tr>
    </w:tbl>
    <w:p>
      <w:pPr>
        <w:spacing w:after="20"/>
      </w:pPr>
    </w:p>
    <w:p>
      <w:pPr>
        <w:pStyle w:val="Heading2"/>
        <w:keepNext/>
      </w:pPr>
      <w:r>
        <w:t>36.2 Contract and Consumer Design</w:t>
      </w:r>
    </w:p>
    <w:p>
      <w:pPr>
        <w:spacing w:after="120"/>
      </w:pPr>
      <w:r>
        <w:rPr>
          <w:i w:val="0"/>
        </w:rPr>
        <w:t>An API is a contract. Use OpenAPI or another governed specification, semantic versioning, predictable errors, idempotency keys, pagination, timeouts, and compatibility rules. Separate internal, partner, and public products because identity, support, quotas, and change expectations differ.</w:t>
      </w:r>
    </w:p>
    <w:p>
      <w:pPr>
        <w:pStyle w:val="ListBullet"/>
        <w:spacing w:after="60"/>
      </w:pPr>
      <w:r>
        <w:t>Authenticate users and workloads with the appropriate identity protocol.</w:t>
      </w:r>
    </w:p>
    <w:p>
      <w:pPr>
        <w:pStyle w:val="ListBullet"/>
        <w:spacing w:after="60"/>
      </w:pPr>
      <w:r>
        <w:t>Authorize at both gateway and backend; do not trust headers from untrusted clients.</w:t>
      </w:r>
    </w:p>
    <w:p>
      <w:pPr>
        <w:pStyle w:val="ListBullet"/>
        <w:spacing w:after="60"/>
      </w:pPr>
      <w:r>
        <w:t>Use quotas and spike arrest to protect products and dependencies.</w:t>
      </w:r>
    </w:p>
    <w:p>
      <w:pPr>
        <w:pStyle w:val="ListBullet"/>
        <w:spacing w:after="60"/>
      </w:pPr>
      <w:r>
        <w:t>Avoid leaking backend errors or sensitive implementation details.</w:t>
      </w:r>
    </w:p>
    <w:p>
      <w:pPr>
        <w:pStyle w:val="Heading2"/>
        <w:keepNext/>
      </w:pPr>
      <w:r>
        <w:t>36.3 Backend Security and Release</w:t>
      </w:r>
    </w:p>
    <w:p>
      <w:pPr>
        <w:spacing w:after="120"/>
      </w:pPr>
      <w:r>
        <w:rPr>
          <w:i w:val="0"/>
        </w:rPr>
        <w:t>The gateway should invoke private backends using a dedicated identity. Deploy API configuration and proxy revisions through version control and staged environments. Test policy ordering, token validation, CORS, payload limits, timeout alignment, and rollback. A gateway is not a substitute for backend authorization.</w:t>
      </w:r>
    </w:p>
    <w:p>
      <w:pPr>
        <w:pStyle w:val="CodeBlock"/>
        <w:keepLines/>
        <w:spacing w:after="120"/>
      </w:pPr>
      <w:r>
        <w:rPr>
          <w:rFonts w:ascii="Cascadia Mono" w:hAnsi="Cascadia Mono"/>
          <w:sz w:val="16"/>
        </w:rPr>
        <w:t>gcloud api-gateway gateways list --location=REGION</w:t>
        <w:br/>
        <w:t>gcloud api-gateway api-configs list --api=orders-api</w:t>
        <w:br/>
        <w:t>gcloud run services get-iam-policy orders --region=REGION</w:t>
      </w:r>
    </w:p>
    <w:p>
      <w:pPr>
        <w:pStyle w:val="Heading2"/>
        <w:keepNext/>
      </w:pPr>
      <w:r>
        <w:t>36.4 API Operations and Product Metrics</w:t>
      </w:r>
    </w:p>
    <w:p>
      <w:pPr>
        <w:spacing w:after="120"/>
      </w:pPr>
      <w:r>
        <w:rPr>
          <w:i w:val="0"/>
        </w:rPr>
        <w:t>Monitor availability, p50/p95/p99 latency, 4xx/5xx by consumer and operation, quota rejection, backend latency, token failures, and business transactions. API product owners need deprecation notices, support objectives, consumer inventory, and incident communication.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Gateway returns 401/403</w:t>
            </w:r>
          </w:p>
        </w:tc>
        <w:tc>
          <w:tcPr>
            <w:tcW w:type="dxa" w:w="2592"/>
            <w:tcMar>
              <w:top w:w="80" w:type="dxa"/>
              <w:start w:w="100" w:type="dxa"/>
              <w:bottom w:w="80" w:type="dxa"/>
              <w:end w:w="100" w:type="dxa"/>
            </w:tcMar>
            <w:vAlign w:val="top"/>
          </w:tcPr>
          <w:p>
            <w:pPr>
              <w:spacing w:after="0"/>
            </w:pPr>
            <w:r>
              <w:rPr>
                <w:sz w:val="16"/>
              </w:rPr>
              <w:t>Token issuer/audience, API key, IAM, or backend authorization</w:t>
            </w:r>
          </w:p>
        </w:tc>
        <w:tc>
          <w:tcPr>
            <w:tcW w:type="dxa" w:w="5328"/>
            <w:tcMar>
              <w:top w:w="80" w:type="dxa"/>
              <w:start w:w="100" w:type="dxa"/>
              <w:bottom w:w="80" w:type="dxa"/>
              <w:end w:w="100" w:type="dxa"/>
            </w:tcMar>
            <w:vAlign w:val="top"/>
          </w:tcPr>
          <w:p>
            <w:pPr>
              <w:spacing w:after="0"/>
            </w:pPr>
            <w:r>
              <w:rPr>
                <w:sz w:val="16"/>
              </w:rPr>
              <w:t>Trace gateway auth decision, token claims, invoker role, and backend audit logs.</w:t>
            </w:r>
          </w:p>
        </w:tc>
      </w:tr>
      <w:tr>
        <w:trPr>
          <w:cantSplit/>
        </w:trPr>
        <w:tc>
          <w:tcPr>
            <w:tcW w:type="dxa" w:w="2160"/>
            <w:tcMar>
              <w:top w:w="80" w:type="dxa"/>
              <w:start w:w="100" w:type="dxa"/>
              <w:bottom w:w="80" w:type="dxa"/>
              <w:end w:w="100" w:type="dxa"/>
            </w:tcMar>
            <w:vAlign w:val="top"/>
          </w:tcPr>
          <w:p>
            <w:pPr>
              <w:spacing w:after="0"/>
            </w:pPr>
            <w:r>
              <w:rPr>
                <w:sz w:val="16"/>
              </w:rPr>
              <w:t>Gateway 5xx but backend looks healthy</w:t>
            </w:r>
          </w:p>
        </w:tc>
        <w:tc>
          <w:tcPr>
            <w:tcW w:type="dxa" w:w="2592"/>
            <w:tcMar>
              <w:top w:w="80" w:type="dxa"/>
              <w:start w:w="100" w:type="dxa"/>
              <w:bottom w:w="80" w:type="dxa"/>
              <w:end w:w="100" w:type="dxa"/>
            </w:tcMar>
            <w:vAlign w:val="top"/>
          </w:tcPr>
          <w:p>
            <w:pPr>
              <w:spacing w:after="0"/>
            </w:pPr>
            <w:r>
              <w:rPr>
                <w:sz w:val="16"/>
              </w:rPr>
              <w:t>Timeout mismatch, policy error, payload transformation, or DNS/network issue</w:t>
            </w:r>
          </w:p>
        </w:tc>
        <w:tc>
          <w:tcPr>
            <w:tcW w:type="dxa" w:w="5328"/>
            <w:tcMar>
              <w:top w:w="80" w:type="dxa"/>
              <w:start w:w="100" w:type="dxa"/>
              <w:bottom w:w="80" w:type="dxa"/>
              <w:end w:w="100" w:type="dxa"/>
            </w:tcMar>
            <w:vAlign w:val="top"/>
          </w:tcPr>
          <w:p>
            <w:pPr>
              <w:spacing w:after="0"/>
            </w:pPr>
            <w:r>
              <w:rPr>
                <w:sz w:val="16"/>
              </w:rPr>
              <w:t>Compare gateway and backend traces; inspect config/proxy revision and backend latency.</w:t>
            </w:r>
          </w:p>
        </w:tc>
      </w:tr>
      <w:tr>
        <w:trPr>
          <w:cantSplit/>
        </w:trPr>
        <w:tc>
          <w:tcPr>
            <w:tcW w:type="dxa" w:w="2160"/>
            <w:tcMar>
              <w:top w:w="80" w:type="dxa"/>
              <w:start w:w="100" w:type="dxa"/>
              <w:bottom w:w="80" w:type="dxa"/>
              <w:end w:w="100" w:type="dxa"/>
            </w:tcMar>
            <w:vAlign w:val="top"/>
          </w:tcPr>
          <w:p>
            <w:pPr>
              <w:spacing w:after="0"/>
            </w:pPr>
            <w:r>
              <w:rPr>
                <w:sz w:val="16"/>
              </w:rPr>
              <w:t>One consumer degrades everyone</w:t>
            </w:r>
          </w:p>
        </w:tc>
        <w:tc>
          <w:tcPr>
            <w:tcW w:type="dxa" w:w="2592"/>
            <w:tcMar>
              <w:top w:w="80" w:type="dxa"/>
              <w:start w:w="100" w:type="dxa"/>
              <w:bottom w:w="80" w:type="dxa"/>
              <w:end w:w="100" w:type="dxa"/>
            </w:tcMar>
            <w:vAlign w:val="top"/>
          </w:tcPr>
          <w:p>
            <w:pPr>
              <w:spacing w:after="0"/>
            </w:pPr>
            <w:r>
              <w:rPr>
                <w:sz w:val="16"/>
              </w:rPr>
              <w:t>No quota, shared credential, or expensive endpoint</w:t>
            </w:r>
          </w:p>
        </w:tc>
        <w:tc>
          <w:tcPr>
            <w:tcW w:type="dxa" w:w="5328"/>
            <w:tcMar>
              <w:top w:w="80" w:type="dxa"/>
              <w:start w:w="100" w:type="dxa"/>
              <w:bottom w:w="80" w:type="dxa"/>
              <w:end w:w="100" w:type="dxa"/>
            </w:tcMar>
            <w:vAlign w:val="top"/>
          </w:tcPr>
          <w:p>
            <w:pPr>
              <w:spacing w:after="0"/>
            </w:pPr>
            <w:r>
              <w:rPr>
                <w:sz w:val="16"/>
              </w:rPr>
              <w:t>Identify consumer key/identity; add product quotas, caching, pagination, or async design.</w:t>
            </w:r>
          </w:p>
        </w:tc>
      </w:tr>
      <w:tr>
        <w:trPr>
          <w:cantSplit/>
        </w:trPr>
        <w:tc>
          <w:tcPr>
            <w:tcW w:type="dxa" w:w="2160"/>
            <w:tcMar>
              <w:top w:w="80" w:type="dxa"/>
              <w:start w:w="100" w:type="dxa"/>
              <w:bottom w:w="80" w:type="dxa"/>
              <w:end w:w="100" w:type="dxa"/>
            </w:tcMar>
            <w:vAlign w:val="top"/>
          </w:tcPr>
          <w:p>
            <w:pPr>
              <w:spacing w:after="0"/>
            </w:pPr>
            <w:r>
              <w:rPr>
                <w:sz w:val="16"/>
              </w:rPr>
              <w:t>New API config has no effect</w:t>
            </w:r>
          </w:p>
        </w:tc>
        <w:tc>
          <w:tcPr>
            <w:tcW w:type="dxa" w:w="2592"/>
            <w:tcMar>
              <w:top w:w="80" w:type="dxa"/>
              <w:start w:w="100" w:type="dxa"/>
              <w:bottom w:w="80" w:type="dxa"/>
              <w:end w:w="100" w:type="dxa"/>
            </w:tcMar>
            <w:vAlign w:val="top"/>
          </w:tcPr>
          <w:p>
            <w:pPr>
              <w:spacing w:after="0"/>
            </w:pPr>
            <w:r>
              <w:rPr>
                <w:sz w:val="16"/>
              </w:rPr>
              <w:t>Gateway still references old config or rollout incomplete</w:t>
            </w:r>
          </w:p>
        </w:tc>
        <w:tc>
          <w:tcPr>
            <w:tcW w:type="dxa" w:w="5328"/>
            <w:tcMar>
              <w:top w:w="80" w:type="dxa"/>
              <w:start w:w="100" w:type="dxa"/>
              <w:bottom w:w="80" w:type="dxa"/>
              <w:end w:w="100" w:type="dxa"/>
            </w:tcMar>
            <w:vAlign w:val="top"/>
          </w:tcPr>
          <w:p>
            <w:pPr>
              <w:spacing w:after="0"/>
            </w:pPr>
            <w:r>
              <w:rPr>
                <w:sz w:val="16"/>
              </w:rPr>
              <w:t>Describe gateway/config, verify revision, propagate, test canary hostname, and roll back if needed.</w:t>
            </w:r>
          </w:p>
        </w:tc>
      </w:tr>
    </w:tbl>
    <w:p>
      <w:pPr>
        <w:spacing w:after="20"/>
      </w:pPr>
    </w:p>
    <w:p>
      <w:pPr>
        <w:pStyle w:val="Heading2"/>
        <w:keepNext/>
      </w:pPr>
      <w:r>
        <w:t>Hands-on Lab 36: Publish and Protect a Cloud Run API</w:t>
      </w:r>
    </w:p>
    <w:p>
      <w:pPr>
        <w:pStyle w:val="Heading3"/>
        <w:keepNext/>
      </w:pPr>
      <w:r>
        <w:t>Prerequisites</w:t>
      </w:r>
    </w:p>
    <w:p>
      <w:pPr>
        <w:pStyle w:val="ListBullet"/>
        <w:spacing w:after="60"/>
      </w:pPr>
      <w:r>
        <w:t>A private Cloud Run backend, an OpenAPI contract, and permissions for API Gateway; Apigee optional for comparison.</w:t>
      </w:r>
    </w:p>
    <w:p>
      <w:pPr>
        <w:pStyle w:val="Heading3"/>
        <w:keepNext/>
      </w:pPr>
      <w:r>
        <w:t>Implementation</w:t>
      </w:r>
    </w:p>
    <w:p>
      <w:pPr>
        <w:spacing w:after="60"/>
        <w:ind w:left="360" w:hanging="259"/>
      </w:pPr>
      <w:r>
        <w:rPr>
          <w:b/>
        </w:rPr>
        <w:t xml:space="preserve">1. </w:t>
      </w:r>
      <w:r>
        <w:t>Define an OpenAPI contract with operations, schemas, errors, authentication, and versioning.</w:t>
      </w:r>
    </w:p>
    <w:p>
      <w:pPr>
        <w:spacing w:after="60"/>
        <w:ind w:left="360" w:hanging="259"/>
      </w:pPr>
      <w:r>
        <w:rPr>
          <w:b/>
        </w:rPr>
        <w:t xml:space="preserve">2. </w:t>
      </w:r>
      <w:r>
        <w:t>Deploy the backend privately with a dedicated service identity.</w:t>
      </w:r>
    </w:p>
    <w:p>
      <w:pPr>
        <w:spacing w:after="60"/>
        <w:ind w:left="360" w:hanging="259"/>
      </w:pPr>
      <w:r>
        <w:rPr>
          <w:b/>
        </w:rPr>
        <w:t xml:space="preserve">3. </w:t>
      </w:r>
      <w:r>
        <w:t>Create an API Gateway API, config, and gateway that authenticates callers and invokes the backend.</w:t>
      </w:r>
    </w:p>
    <w:p>
      <w:pPr>
        <w:spacing w:after="60"/>
        <w:ind w:left="360" w:hanging="259"/>
      </w:pPr>
      <w:r>
        <w:rPr>
          <w:b/>
        </w:rPr>
        <w:t xml:space="preserve">4. </w:t>
      </w:r>
      <w:r>
        <w:t>Add request limits, timeout behavior, and backend authorization.</w:t>
      </w:r>
    </w:p>
    <w:p>
      <w:pPr>
        <w:spacing w:after="60"/>
        <w:ind w:left="360" w:hanging="259"/>
      </w:pPr>
      <w:r>
        <w:rPr>
          <w:b/>
        </w:rPr>
        <w:t xml:space="preserve">5. </w:t>
      </w:r>
      <w:r>
        <w:t>Run positive, invalid-token, over-limit, malformed-payload, and backend-timeout tests.</w:t>
      </w:r>
    </w:p>
    <w:p>
      <w:pPr>
        <w:spacing w:after="60"/>
        <w:ind w:left="360" w:hanging="259"/>
      </w:pPr>
      <w:r>
        <w:rPr>
          <w:b/>
        </w:rPr>
        <w:t xml:space="preserve">6. </w:t>
      </w:r>
      <w:r>
        <w:t>Deploy a backward-compatible second config and rehearse rollback.</w:t>
      </w:r>
    </w:p>
    <w:p>
      <w:pPr>
        <w:spacing w:after="60"/>
        <w:ind w:left="360" w:hanging="259"/>
      </w:pPr>
      <w:r>
        <w:rPr>
          <w:b/>
        </w:rPr>
        <w:t xml:space="preserve">7. </w:t>
      </w:r>
      <w:r>
        <w:t>Write an architecture decision describing when the organization should graduate to Apigee.</w:t>
      </w:r>
    </w:p>
    <w:p>
      <w:pPr>
        <w:pStyle w:val="Heading3"/>
        <w:keepNext/>
      </w:pPr>
      <w:r>
        <w:t>Validation Evidence</w:t>
      </w:r>
    </w:p>
    <w:p>
      <w:pPr>
        <w:pStyle w:val="ListBullet"/>
        <w:spacing w:after="60"/>
      </w:pPr>
      <w:r>
        <w:t>The backend is not directly exposed to unapproved callers.</w:t>
      </w:r>
    </w:p>
    <w:p>
      <w:pPr>
        <w:pStyle w:val="ListBullet"/>
        <w:spacing w:after="60"/>
      </w:pPr>
      <w:r>
        <w:t>Contract and runtime behavior match for success and error cases.</w:t>
      </w:r>
    </w:p>
    <w:p>
      <w:pPr>
        <w:pStyle w:val="ListBullet"/>
        <w:spacing w:after="60"/>
      </w:pPr>
      <w:r>
        <w:t>Gateway and backend logs correlate the request.</w:t>
      </w:r>
    </w:p>
    <w:p>
      <w:pPr>
        <w:pStyle w:val="ListBullet"/>
        <w:spacing w:after="60"/>
      </w:pPr>
      <w:r>
        <w:t>Rollback restores the prior API behavior.</w:t>
      </w:r>
    </w:p>
    <w:p>
      <w:pPr>
        <w:pStyle w:val="Heading3"/>
        <w:keepNext/>
      </w:pPr>
      <w:r>
        <w:t>Cleanup</w:t>
      </w:r>
    </w:p>
    <w:p>
      <w:pPr>
        <w:pStyle w:val="ListBullet"/>
        <w:spacing w:after="60"/>
      </w:pPr>
      <w:r>
        <w:t>Delete gateway, API configs, backend, service accounts, DNS if used, and test credentials.</w:t>
      </w:r>
    </w:p>
    <w:p>
      <w:pPr>
        <w:pStyle w:val="Heading2"/>
        <w:keepNext/>
      </w:pPr>
      <w:r>
        <w:t>Interview Questions and Model Answers</w:t>
      </w:r>
    </w:p>
    <w:p>
      <w:pPr>
        <w:spacing w:after="40"/>
      </w:pPr>
      <w:r>
        <w:rPr>
          <w:b/>
        </w:rPr>
        <w:t>1. When is API Gateway sufficient?</w:t>
      </w:r>
    </w:p>
    <w:p>
      <w:pPr>
        <w:spacing w:after="120"/>
        <w:ind w:left="216"/>
      </w:pPr>
      <w:r>
        <w:t>For a managed REST front door with contract-based routing, authentication, and simpler API governance.</w:t>
      </w:r>
    </w:p>
    <w:p>
      <w:pPr>
        <w:spacing w:after="40"/>
      </w:pPr>
      <w:r>
        <w:rPr>
          <w:b/>
        </w:rPr>
        <w:t>2. Why use Apigee?</w:t>
      </w:r>
    </w:p>
    <w:p>
      <w:pPr>
        <w:spacing w:after="120"/>
        <w:ind w:left="216"/>
      </w:pPr>
      <w:r>
        <w:t>For enterprise API products, rich policies, developer ecosystem, analytics, and hybrid or multi-environment management.</w:t>
      </w:r>
    </w:p>
    <w:p>
      <w:pPr>
        <w:spacing w:after="40"/>
      </w:pPr>
      <w:r>
        <w:rPr>
          <w:b/>
        </w:rPr>
        <w:t>3. Should backend authorization remain?</w:t>
      </w:r>
    </w:p>
    <w:p>
      <w:pPr>
        <w:spacing w:after="120"/>
        <w:ind w:left="216"/>
      </w:pPr>
      <w:r>
        <w:t>Yes. Gateway authentication is one layer; the backend must still enforce trusted identity and resource authorization.</w:t>
      </w:r>
    </w:p>
    <w:p>
      <w:pPr>
        <w:spacing w:after="40"/>
      </w:pPr>
      <w:r>
        <w:rPr>
          <w:b/>
        </w:rPr>
        <w:t>4. What is an API product?</w:t>
      </w:r>
    </w:p>
    <w:p>
      <w:pPr>
        <w:spacing w:after="120"/>
        <w:ind w:left="216"/>
      </w:pPr>
      <w:r>
        <w:t>A managed package of API operations, access terms, quotas, consumers, lifecycle, support, and business ownership.</w:t>
      </w:r>
    </w:p>
    <w:p>
      <w:pPr>
        <w:pStyle w:val="Heading2"/>
        <w:keepNext/>
      </w:pPr>
      <w:r>
        <w:t>Chapter Summary</w:t>
      </w:r>
    </w:p>
    <w:p>
      <w:pPr>
        <w:pStyle w:val="ListBullet"/>
        <w:spacing w:after="60"/>
      </w:pPr>
      <w:r>
        <w:t>API management is a product and governance discipline.</w:t>
      </w:r>
    </w:p>
    <w:p>
      <w:pPr>
        <w:pStyle w:val="ListBullet"/>
        <w:spacing w:after="60"/>
      </w:pPr>
      <w:r>
        <w:t>API Gateway and Apigee solve different maturity levels.</w:t>
      </w:r>
    </w:p>
    <w:p>
      <w:pPr>
        <w:pStyle w:val="ListBullet"/>
        <w:spacing w:after="60"/>
      </w:pPr>
      <w:r>
        <w:t>Gateway and backend authorization must reinforce each other.</w:t>
      </w:r>
    </w:p>
    <w:p>
      <w:pPr>
        <w:pStyle w:val="ListBullet"/>
        <w:spacing w:after="60"/>
      </w:pPr>
      <w:r>
        <w:t>Contracts, telemetry, quotas, and deprecation are production requirements.</w:t>
      </w:r>
    </w:p>
    <w:p>
      <w:pPr>
        <w:pStyle w:val="Heading1"/>
        <w:keepNext/>
        <w:pageBreakBefore/>
      </w:pPr>
      <w:r>
        <w:t>Chapter 37 - Pub/Sub Messaging and Delivery Engineering</w:t>
      </w:r>
    </w:p>
    <w:p>
      <w:pPr>
        <w:spacing w:after="120"/>
      </w:pPr>
      <w:r>
        <w:rPr>
          <w:i/>
          <w:color w:val="505050"/>
        </w:rPr>
        <w:t>Designing asynchronous systems for replay, duplicates, ordering, and backpressure</w:t>
      </w:r>
    </w:p>
    <w:p>
      <w:pPr>
        <w:pStyle w:val="Heading2"/>
        <w:keepNext/>
      </w:pPr>
      <w:r>
        <w:t>Learning Objectives</w:t>
      </w:r>
    </w:p>
    <w:p>
      <w:pPr>
        <w:pStyle w:val="ListBullet"/>
        <w:spacing w:after="60"/>
      </w:pPr>
      <w:r>
        <w:t>Model topics, subscriptions, publishers, and subscriber delivery types.</w:t>
      </w:r>
    </w:p>
    <w:p>
      <w:pPr>
        <w:pStyle w:val="ListBullet"/>
        <w:spacing w:after="60"/>
      </w:pPr>
      <w:r>
        <w:t>Engineer idempotency, ordering, exactly-once options, dead-lettering, and replay.</w:t>
      </w:r>
    </w:p>
    <w:p>
      <w:pPr>
        <w:pStyle w:val="ListBullet"/>
        <w:spacing w:after="60"/>
      </w:pPr>
      <w:r>
        <w:t>Control flow, backlog, retention, security, and regional reliability.</w:t>
      </w:r>
    </w:p>
    <w:p>
      <w:pPr>
        <w:pStyle w:val="ListBullet"/>
        <w:spacing w:after="60"/>
      </w:pPr>
      <w:r>
        <w:t>Operate message-driven systems with business and platform telemetry.</w:t>
      </w:r>
    </w:p>
    <w:p>
      <w:pPr>
        <w:pStyle w:val="Heading2"/>
        <w:keepNext/>
      </w:pPr>
      <w:r>
        <w:t>37.1 Messaging Model and Subscription Types</w:t>
      </w:r>
    </w:p>
    <w:p>
      <w:pPr>
        <w:spacing w:after="120"/>
      </w:pPr>
      <w:r>
        <w:rPr>
          <w:i w:val="0"/>
        </w:rPr>
        <w:t>Publishers send messages to topics; subscriptions define independent delivery state for consumers. Pull gives subscribers flow control; push sends authenticated HTTP requests; BigQuery and Cloud Storage subscriptions can deliver directly to supported sinks. Decouple producer event contracts from consumer processing state.</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304"/>
            <w:shd w:fill="1A73E8"/>
            <w:tcMar>
              <w:top w:w="80" w:type="dxa"/>
              <w:start w:w="100" w:type="dxa"/>
              <w:bottom w:w="80" w:type="dxa"/>
              <w:end w:w="100" w:type="dxa"/>
            </w:tcMar>
            <w:vAlign w:val="center"/>
          </w:tcPr>
          <w:p>
            <w:pPr>
              <w:jc w:val="center"/>
            </w:pPr>
            <w:r>
              <w:rPr>
                <w:b/>
                <w:color w:val="FFFFFF"/>
                <w:sz w:val="16"/>
              </w:rPr>
              <w:t>Subscription</w:t>
            </w:r>
          </w:p>
        </w:tc>
        <w:tc>
          <w:tcPr>
            <w:tcW w:type="dxa" w:w="3744"/>
            <w:shd w:fill="1A73E8"/>
            <w:tcMar>
              <w:top w:w="80" w:type="dxa"/>
              <w:start w:w="100" w:type="dxa"/>
              <w:bottom w:w="80" w:type="dxa"/>
              <w:end w:w="100" w:type="dxa"/>
            </w:tcMar>
            <w:vAlign w:val="center"/>
          </w:tcPr>
          <w:p>
            <w:pPr>
              <w:jc w:val="center"/>
            </w:pPr>
            <w:r>
              <w:rPr>
                <w:b/>
                <w:color w:val="FFFFFF"/>
                <w:sz w:val="16"/>
              </w:rPr>
              <w:t>Best Fit</w:t>
            </w:r>
          </w:p>
        </w:tc>
        <w:tc>
          <w:tcPr>
            <w:tcW w:type="dxa" w:w="3600"/>
            <w:shd w:fill="1A73E8"/>
            <w:tcMar>
              <w:top w:w="80" w:type="dxa"/>
              <w:start w:w="100" w:type="dxa"/>
              <w:bottom w:w="80" w:type="dxa"/>
              <w:end w:w="100" w:type="dxa"/>
            </w:tcMar>
            <w:vAlign w:val="center"/>
          </w:tcPr>
          <w:p>
            <w:pPr>
              <w:jc w:val="center"/>
            </w:pPr>
            <w:r>
              <w:rPr>
                <w:b/>
                <w:color w:val="FFFFFF"/>
                <w:sz w:val="16"/>
              </w:rPr>
              <w:t>Primary Control</w:t>
            </w:r>
          </w:p>
        </w:tc>
      </w:tr>
      <w:tr>
        <w:trPr>
          <w:cantSplit/>
        </w:trPr>
        <w:tc>
          <w:tcPr>
            <w:tcW w:type="dxa" w:w="2304"/>
            <w:tcMar>
              <w:top w:w="80" w:type="dxa"/>
              <w:start w:w="100" w:type="dxa"/>
              <w:bottom w:w="80" w:type="dxa"/>
              <w:end w:w="100" w:type="dxa"/>
            </w:tcMar>
            <w:vAlign w:val="top"/>
          </w:tcPr>
          <w:p>
            <w:pPr>
              <w:spacing w:after="0"/>
            </w:pPr>
            <w:r>
              <w:rPr>
                <w:sz w:val="16"/>
              </w:rPr>
              <w:t>Pull/streaming pull</w:t>
            </w:r>
          </w:p>
        </w:tc>
        <w:tc>
          <w:tcPr>
            <w:tcW w:type="dxa" w:w="3744"/>
            <w:tcMar>
              <w:top w:w="80" w:type="dxa"/>
              <w:start w:w="100" w:type="dxa"/>
              <w:bottom w:w="80" w:type="dxa"/>
              <w:end w:w="100" w:type="dxa"/>
            </w:tcMar>
            <w:vAlign w:val="top"/>
          </w:tcPr>
          <w:p>
            <w:pPr>
              <w:spacing w:after="0"/>
            </w:pPr>
            <w:r>
              <w:rPr>
                <w:sz w:val="16"/>
              </w:rPr>
              <w:t>High-throughput workers</w:t>
            </w:r>
          </w:p>
        </w:tc>
        <w:tc>
          <w:tcPr>
            <w:tcW w:type="dxa" w:w="3600"/>
            <w:tcMar>
              <w:top w:w="80" w:type="dxa"/>
              <w:start w:w="100" w:type="dxa"/>
              <w:bottom w:w="80" w:type="dxa"/>
              <w:end w:w="100" w:type="dxa"/>
            </w:tcMar>
            <w:vAlign w:val="top"/>
          </w:tcPr>
          <w:p>
            <w:pPr>
              <w:spacing w:after="0"/>
            </w:pPr>
            <w:r>
              <w:rPr>
                <w:sz w:val="16"/>
              </w:rPr>
              <w:t>Client flow control, leases, concurrency</w:t>
            </w:r>
          </w:p>
        </w:tc>
      </w:tr>
      <w:tr>
        <w:trPr>
          <w:cantSplit/>
        </w:trPr>
        <w:tc>
          <w:tcPr>
            <w:tcW w:type="dxa" w:w="2304"/>
            <w:tcMar>
              <w:top w:w="80" w:type="dxa"/>
              <w:start w:w="100" w:type="dxa"/>
              <w:bottom w:w="80" w:type="dxa"/>
              <w:end w:w="100" w:type="dxa"/>
            </w:tcMar>
            <w:vAlign w:val="top"/>
          </w:tcPr>
          <w:p>
            <w:pPr>
              <w:spacing w:after="0"/>
            </w:pPr>
            <w:r>
              <w:rPr>
                <w:sz w:val="16"/>
              </w:rPr>
              <w:t>Push</w:t>
            </w:r>
          </w:p>
        </w:tc>
        <w:tc>
          <w:tcPr>
            <w:tcW w:type="dxa" w:w="3744"/>
            <w:tcMar>
              <w:top w:w="80" w:type="dxa"/>
              <w:start w:w="100" w:type="dxa"/>
              <w:bottom w:w="80" w:type="dxa"/>
              <w:end w:w="100" w:type="dxa"/>
            </w:tcMar>
            <w:vAlign w:val="top"/>
          </w:tcPr>
          <w:p>
            <w:pPr>
              <w:spacing w:after="0"/>
            </w:pPr>
            <w:r>
              <w:rPr>
                <w:sz w:val="16"/>
              </w:rPr>
              <w:t>HTTP service or serverless consumer</w:t>
            </w:r>
          </w:p>
        </w:tc>
        <w:tc>
          <w:tcPr>
            <w:tcW w:type="dxa" w:w="3600"/>
            <w:tcMar>
              <w:top w:w="80" w:type="dxa"/>
              <w:start w:w="100" w:type="dxa"/>
              <w:bottom w:w="80" w:type="dxa"/>
              <w:end w:w="100" w:type="dxa"/>
            </w:tcMar>
            <w:vAlign w:val="top"/>
          </w:tcPr>
          <w:p>
            <w:pPr>
              <w:spacing w:after="0"/>
            </w:pPr>
            <w:r>
              <w:rPr>
                <w:sz w:val="16"/>
              </w:rPr>
              <w:t>Endpoint auth, response codes, max instances</w:t>
            </w:r>
          </w:p>
        </w:tc>
      </w:tr>
      <w:tr>
        <w:trPr>
          <w:cantSplit/>
        </w:trPr>
        <w:tc>
          <w:tcPr>
            <w:tcW w:type="dxa" w:w="2304"/>
            <w:tcMar>
              <w:top w:w="80" w:type="dxa"/>
              <w:start w:w="100" w:type="dxa"/>
              <w:bottom w:w="80" w:type="dxa"/>
              <w:end w:w="100" w:type="dxa"/>
            </w:tcMar>
            <w:vAlign w:val="top"/>
          </w:tcPr>
          <w:p>
            <w:pPr>
              <w:spacing w:after="0"/>
            </w:pPr>
            <w:r>
              <w:rPr>
                <w:sz w:val="16"/>
              </w:rPr>
              <w:t>BigQuery</w:t>
            </w:r>
          </w:p>
        </w:tc>
        <w:tc>
          <w:tcPr>
            <w:tcW w:type="dxa" w:w="3744"/>
            <w:tcMar>
              <w:top w:w="80" w:type="dxa"/>
              <w:start w:w="100" w:type="dxa"/>
              <w:bottom w:w="80" w:type="dxa"/>
              <w:end w:w="100" w:type="dxa"/>
            </w:tcMar>
            <w:vAlign w:val="top"/>
          </w:tcPr>
          <w:p>
            <w:pPr>
              <w:spacing w:after="0"/>
            </w:pPr>
            <w:r>
              <w:rPr>
                <w:sz w:val="16"/>
              </w:rPr>
              <w:t>Direct analytical ingestion</w:t>
            </w:r>
          </w:p>
        </w:tc>
        <w:tc>
          <w:tcPr>
            <w:tcW w:type="dxa" w:w="3600"/>
            <w:tcMar>
              <w:top w:w="80" w:type="dxa"/>
              <w:start w:w="100" w:type="dxa"/>
              <w:bottom w:w="80" w:type="dxa"/>
              <w:end w:w="100" w:type="dxa"/>
            </w:tcMar>
            <w:vAlign w:val="top"/>
          </w:tcPr>
          <w:p>
            <w:pPr>
              <w:spacing w:after="0"/>
            </w:pPr>
            <w:r>
              <w:rPr>
                <w:sz w:val="16"/>
              </w:rPr>
              <w:t>Schema/table mapping and permissions</w:t>
            </w:r>
          </w:p>
        </w:tc>
      </w:tr>
      <w:tr>
        <w:trPr>
          <w:cantSplit/>
        </w:trPr>
        <w:tc>
          <w:tcPr>
            <w:tcW w:type="dxa" w:w="2304"/>
            <w:tcMar>
              <w:top w:w="80" w:type="dxa"/>
              <w:start w:w="100" w:type="dxa"/>
              <w:bottom w:w="80" w:type="dxa"/>
              <w:end w:w="100" w:type="dxa"/>
            </w:tcMar>
            <w:vAlign w:val="top"/>
          </w:tcPr>
          <w:p>
            <w:pPr>
              <w:spacing w:after="0"/>
            </w:pPr>
            <w:r>
              <w:rPr>
                <w:sz w:val="16"/>
              </w:rPr>
              <w:t>Cloud Storage</w:t>
            </w:r>
          </w:p>
        </w:tc>
        <w:tc>
          <w:tcPr>
            <w:tcW w:type="dxa" w:w="3744"/>
            <w:tcMar>
              <w:top w:w="80" w:type="dxa"/>
              <w:start w:w="100" w:type="dxa"/>
              <w:bottom w:w="80" w:type="dxa"/>
              <w:end w:w="100" w:type="dxa"/>
            </w:tcMar>
            <w:vAlign w:val="top"/>
          </w:tcPr>
          <w:p>
            <w:pPr>
              <w:spacing w:after="0"/>
            </w:pPr>
            <w:r>
              <w:rPr>
                <w:sz w:val="16"/>
              </w:rPr>
              <w:t>Batch/object delivery</w:t>
            </w:r>
          </w:p>
        </w:tc>
        <w:tc>
          <w:tcPr>
            <w:tcW w:type="dxa" w:w="3600"/>
            <w:tcMar>
              <w:top w:w="80" w:type="dxa"/>
              <w:start w:w="100" w:type="dxa"/>
              <w:bottom w:w="80" w:type="dxa"/>
              <w:end w:w="100" w:type="dxa"/>
            </w:tcMar>
            <w:vAlign w:val="top"/>
          </w:tcPr>
          <w:p>
            <w:pPr>
              <w:spacing w:after="0"/>
            </w:pPr>
            <w:r>
              <w:rPr>
                <w:sz w:val="16"/>
              </w:rPr>
              <w:t>File size/time thresholds and downstream processing</w:t>
            </w:r>
          </w:p>
        </w:tc>
      </w:tr>
    </w:tbl>
    <w:p>
      <w:pPr>
        <w:spacing w:after="20"/>
      </w:pPr>
    </w:p>
    <w:p>
      <w:pPr>
        <w:pStyle w:val="Heading2"/>
        <w:keepNext/>
      </w:pPr>
      <w:r>
        <w:t>37.2 Delivery Semantics and Ordering</w:t>
      </w:r>
    </w:p>
    <w:p>
      <w:pPr>
        <w:spacing w:after="120"/>
      </w:pPr>
      <w:r>
        <w:rPr>
          <w:i w:val="0"/>
        </w:rPr>
        <w:t>At-least-once delivery is the safe default assumption. Exactly-once delivery helps subscribers determine successful acknowledgments and prevent redelivery after a successful ack, but guarantees are regional and do not automatically make downstream side effects exactly once. Ordering keys preserve order for related messages within documented regional semantics and reduce parallelism for a hot key.</w:t>
      </w:r>
    </w:p>
    <w:p>
      <w:pPr>
        <w:pStyle w:val="ListBullet"/>
        <w:spacing w:after="60"/>
      </w:pPr>
      <w:r>
        <w:t>Use idempotency keys and transactional state.</w:t>
      </w:r>
    </w:p>
    <w:p>
      <w:pPr>
        <w:pStyle w:val="ListBullet"/>
        <w:spacing w:after="60"/>
      </w:pPr>
      <w:r>
        <w:t>Acknowledge only after durable processing.</w:t>
      </w:r>
    </w:p>
    <w:p>
      <w:pPr>
        <w:pStyle w:val="ListBullet"/>
        <w:spacing w:after="60"/>
      </w:pPr>
      <w:r>
        <w:t>Use ordering only when business correctness requires it.</w:t>
      </w:r>
    </w:p>
    <w:p>
      <w:pPr>
        <w:pStyle w:val="ListBullet"/>
        <w:spacing w:after="60"/>
      </w:pPr>
      <w:r>
        <w:t>Keep messages small; store large payloads in durable storage and publish references.</w:t>
      </w:r>
    </w:p>
    <w:p>
      <w:pPr>
        <w:pStyle w:val="Heading2"/>
        <w:keepNext/>
      </w:pPr>
      <w:r>
        <w:t>37.3 Dead Letters, Retry, Retention, and Replay</w:t>
      </w:r>
    </w:p>
    <w:p>
      <w:pPr>
        <w:spacing w:after="120"/>
      </w:pPr>
      <w:r>
        <w:rPr>
          <w:i w:val="0"/>
        </w:rPr>
        <w:t>Subscriptions can use retry policies and dead-letter topics. Dead-letter forwarding is best-effort and depends on correct service-agent IAM. Message retention, topic retention, snapshots, and seek support recovery and replay. Replaying can reproduce side effects, so consumer idempotency and change controls remain mandatory.</w:t>
      </w:r>
    </w:p>
    <w:p>
      <w:pPr>
        <w:pStyle w:val="CodeBlock"/>
        <w:keepLines/>
        <w:spacing w:after="120"/>
      </w:pPr>
      <w:r>
        <w:rPr>
          <w:rFonts w:ascii="Cascadia Mono" w:hAnsi="Cascadia Mono"/>
          <w:sz w:val="16"/>
        </w:rPr>
        <w:t>gcloud pubsub topics create orders</w:t>
        <w:br/>
        <w:t>gcloud pubsub subscriptions create orders-worker --topic=orders --dead-letter-topic=orders-dlq --max-delivery-attempts=10</w:t>
        <w:br/>
        <w:t>gcloud pubsub subscriptions describe orders-worker</w:t>
      </w:r>
    </w:p>
    <w:p>
      <w:pPr>
        <w:pStyle w:val="Heading2"/>
        <w:keepNext/>
      </w:pPr>
      <w:r>
        <w:t>37.4 Flow Control, Reliability, and Observability</w:t>
      </w:r>
    </w:p>
    <w:p>
      <w:pPr>
        <w:spacing w:after="120"/>
      </w:pPr>
      <w:r>
        <w:rPr>
          <w:i w:val="0"/>
        </w:rPr>
        <w:t>Track oldest unacked message age, backlog bytes/messages, delivery latency, nack/expiration, dead-letter rate, publisher errors, quota, and business completion. Flow control prevents a subscriber from accepting more work than it can process. Cross-region failover designs must account for regional ordering/exactly-once scope and duplicate publication.</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Backlog grows while CPU is low</w:t>
            </w:r>
          </w:p>
        </w:tc>
        <w:tc>
          <w:tcPr>
            <w:tcW w:type="dxa" w:w="2592"/>
            <w:tcMar>
              <w:top w:w="80" w:type="dxa"/>
              <w:start w:w="100" w:type="dxa"/>
              <w:bottom w:w="80" w:type="dxa"/>
              <w:end w:w="100" w:type="dxa"/>
            </w:tcMar>
            <w:vAlign w:val="top"/>
          </w:tcPr>
          <w:p>
            <w:pPr>
              <w:spacing w:after="0"/>
            </w:pPr>
            <w:r>
              <w:rPr>
                <w:sz w:val="16"/>
              </w:rPr>
              <w:t>Blocked dependency, one hot ordering key, flow limit, or ack issue</w:t>
            </w:r>
          </w:p>
        </w:tc>
        <w:tc>
          <w:tcPr>
            <w:tcW w:type="dxa" w:w="5328"/>
            <w:tcMar>
              <w:top w:w="80" w:type="dxa"/>
              <w:start w:w="100" w:type="dxa"/>
              <w:bottom w:w="80" w:type="dxa"/>
              <w:end w:w="100" w:type="dxa"/>
            </w:tcMar>
            <w:vAlign w:val="top"/>
          </w:tcPr>
          <w:p>
            <w:pPr>
              <w:spacing w:after="0"/>
            </w:pPr>
            <w:r>
              <w:rPr>
                <w:sz w:val="16"/>
              </w:rPr>
              <w:t>Inspect oldest age, per-key distribution, dependency latency, ack deadline, and client logs.</w:t>
            </w:r>
          </w:p>
        </w:tc>
      </w:tr>
      <w:tr>
        <w:trPr>
          <w:cantSplit/>
        </w:trPr>
        <w:tc>
          <w:tcPr>
            <w:tcW w:type="dxa" w:w="2160"/>
            <w:tcMar>
              <w:top w:w="80" w:type="dxa"/>
              <w:start w:w="100" w:type="dxa"/>
              <w:bottom w:w="80" w:type="dxa"/>
              <w:end w:w="100" w:type="dxa"/>
            </w:tcMar>
            <w:vAlign w:val="top"/>
          </w:tcPr>
          <w:p>
            <w:pPr>
              <w:spacing w:after="0"/>
            </w:pPr>
            <w:r>
              <w:rPr>
                <w:sz w:val="16"/>
              </w:rPr>
              <w:t>Messages appear multiple times</w:t>
            </w:r>
          </w:p>
        </w:tc>
        <w:tc>
          <w:tcPr>
            <w:tcW w:type="dxa" w:w="2592"/>
            <w:tcMar>
              <w:top w:w="80" w:type="dxa"/>
              <w:start w:w="100" w:type="dxa"/>
              <w:bottom w:w="80" w:type="dxa"/>
              <w:end w:w="100" w:type="dxa"/>
            </w:tcMar>
            <w:vAlign w:val="top"/>
          </w:tcPr>
          <w:p>
            <w:pPr>
              <w:spacing w:after="0"/>
            </w:pPr>
            <w:r>
              <w:rPr>
                <w:sz w:val="16"/>
              </w:rPr>
              <w:t>Expected redelivery, failed ack, retry, or publisher duplicate</w:t>
            </w:r>
          </w:p>
        </w:tc>
        <w:tc>
          <w:tcPr>
            <w:tcW w:type="dxa" w:w="5328"/>
            <w:tcMar>
              <w:top w:w="80" w:type="dxa"/>
              <w:start w:w="100" w:type="dxa"/>
              <w:bottom w:w="80" w:type="dxa"/>
              <w:end w:w="100" w:type="dxa"/>
            </w:tcMar>
            <w:vAlign w:val="top"/>
          </w:tcPr>
          <w:p>
            <w:pPr>
              <w:spacing w:after="0"/>
            </w:pPr>
            <w:r>
              <w:rPr>
                <w:sz w:val="16"/>
              </w:rPr>
              <w:t>Correlate message ID and business key; enforce idempotency and ack after durable completion.</w:t>
            </w:r>
          </w:p>
        </w:tc>
      </w:tr>
      <w:tr>
        <w:trPr>
          <w:cantSplit/>
        </w:trPr>
        <w:tc>
          <w:tcPr>
            <w:tcW w:type="dxa" w:w="2160"/>
            <w:tcMar>
              <w:top w:w="80" w:type="dxa"/>
              <w:start w:w="100" w:type="dxa"/>
              <w:bottom w:w="80" w:type="dxa"/>
              <w:end w:w="100" w:type="dxa"/>
            </w:tcMar>
            <w:vAlign w:val="top"/>
          </w:tcPr>
          <w:p>
            <w:pPr>
              <w:spacing w:after="0"/>
            </w:pPr>
            <w:r>
              <w:rPr>
                <w:sz w:val="16"/>
              </w:rPr>
              <w:t>Dead-letter topic remains empty</w:t>
            </w:r>
          </w:p>
        </w:tc>
        <w:tc>
          <w:tcPr>
            <w:tcW w:type="dxa" w:w="2592"/>
            <w:tcMar>
              <w:top w:w="80" w:type="dxa"/>
              <w:start w:w="100" w:type="dxa"/>
              <w:bottom w:w="80" w:type="dxa"/>
              <w:end w:w="100" w:type="dxa"/>
            </w:tcMar>
            <w:vAlign w:val="top"/>
          </w:tcPr>
          <w:p>
            <w:pPr>
              <w:spacing w:after="0"/>
            </w:pPr>
            <w:r>
              <w:rPr>
                <w:sz w:val="16"/>
              </w:rPr>
              <w:t>Missing Pub/Sub service-agent roles or misconfigured subscription</w:t>
            </w:r>
          </w:p>
        </w:tc>
        <w:tc>
          <w:tcPr>
            <w:tcW w:type="dxa" w:w="5328"/>
            <w:tcMar>
              <w:top w:w="80" w:type="dxa"/>
              <w:start w:w="100" w:type="dxa"/>
              <w:bottom w:w="80" w:type="dxa"/>
              <w:end w:w="100" w:type="dxa"/>
            </w:tcMar>
            <w:vAlign w:val="top"/>
          </w:tcPr>
          <w:p>
            <w:pPr>
              <w:spacing w:after="0"/>
            </w:pPr>
            <w:r>
              <w:rPr>
                <w:sz w:val="16"/>
              </w:rPr>
              <w:t>Check subscription dead-letter settings, service-agent IAM, attempts, and active consumers.</w:t>
            </w:r>
          </w:p>
        </w:tc>
      </w:tr>
      <w:tr>
        <w:trPr>
          <w:cantSplit/>
        </w:trPr>
        <w:tc>
          <w:tcPr>
            <w:tcW w:type="dxa" w:w="2160"/>
            <w:tcMar>
              <w:top w:w="80" w:type="dxa"/>
              <w:start w:w="100" w:type="dxa"/>
              <w:bottom w:w="80" w:type="dxa"/>
              <w:end w:w="100" w:type="dxa"/>
            </w:tcMar>
            <w:vAlign w:val="top"/>
          </w:tcPr>
          <w:p>
            <w:pPr>
              <w:spacing w:after="0"/>
            </w:pPr>
            <w:r>
              <w:rPr>
                <w:sz w:val="16"/>
              </w:rPr>
              <w:t>Push subscription returns 403</w:t>
            </w:r>
          </w:p>
        </w:tc>
        <w:tc>
          <w:tcPr>
            <w:tcW w:type="dxa" w:w="2592"/>
            <w:tcMar>
              <w:top w:w="80" w:type="dxa"/>
              <w:start w:w="100" w:type="dxa"/>
              <w:bottom w:w="80" w:type="dxa"/>
              <w:end w:w="100" w:type="dxa"/>
            </w:tcMar>
            <w:vAlign w:val="top"/>
          </w:tcPr>
          <w:p>
            <w:pPr>
              <w:spacing w:after="0"/>
            </w:pPr>
            <w:r>
              <w:rPr>
                <w:sz w:val="16"/>
              </w:rPr>
              <w:t>OIDC token audience, invoker IAM, or endpoint ingress</w:t>
            </w:r>
          </w:p>
        </w:tc>
        <w:tc>
          <w:tcPr>
            <w:tcW w:type="dxa" w:w="5328"/>
            <w:tcMar>
              <w:top w:w="80" w:type="dxa"/>
              <w:start w:w="100" w:type="dxa"/>
              <w:bottom w:w="80" w:type="dxa"/>
              <w:end w:w="100" w:type="dxa"/>
            </w:tcMar>
            <w:vAlign w:val="top"/>
          </w:tcPr>
          <w:p>
            <w:pPr>
              <w:spacing w:after="0"/>
            </w:pPr>
            <w:r>
              <w:rPr>
                <w:sz w:val="16"/>
              </w:rPr>
              <w:t>Inspect push auth config, token claims, Cloud Run invoker policy, and endpoint logs.</w:t>
            </w:r>
          </w:p>
        </w:tc>
      </w:tr>
    </w:tbl>
    <w:p>
      <w:pPr>
        <w:spacing w:after="20"/>
      </w:pPr>
    </w:p>
    <w:p>
      <w:pPr>
        <w:pStyle w:val="Heading2"/>
        <w:keepNext/>
      </w:pPr>
      <w:r>
        <w:t>Hands-on Lab 37: Build an Idempotent Pub/Sub Processing Pipeline</w:t>
      </w:r>
    </w:p>
    <w:p>
      <w:pPr>
        <w:pStyle w:val="Heading3"/>
        <w:keepNext/>
      </w:pPr>
      <w:r>
        <w:t>Prerequisites</w:t>
      </w:r>
    </w:p>
    <w:p>
      <w:pPr>
        <w:pStyle w:val="ListBullet"/>
        <w:spacing w:after="60"/>
      </w:pPr>
      <w:r>
        <w:t>Pub/Sub, a Cloud Run service or worker, and Firestore/SQL for processing state.</w:t>
      </w:r>
    </w:p>
    <w:p>
      <w:pPr>
        <w:pStyle w:val="Heading3"/>
        <w:keepNext/>
      </w:pPr>
      <w:r>
        <w:t>Implementation</w:t>
      </w:r>
    </w:p>
    <w:p>
      <w:pPr>
        <w:spacing w:after="60"/>
        <w:ind w:left="360" w:hanging="259"/>
      </w:pPr>
      <w:r>
        <w:rPr>
          <w:b/>
        </w:rPr>
        <w:t xml:space="preserve">1. </w:t>
      </w:r>
      <w:r>
        <w:t>Create an orders topic, primary subscription, dead-letter topic, and dead-letter subscription.</w:t>
      </w:r>
    </w:p>
    <w:p>
      <w:pPr>
        <w:spacing w:after="60"/>
        <w:ind w:left="360" w:hanging="259"/>
      </w:pPr>
      <w:r>
        <w:rPr>
          <w:b/>
        </w:rPr>
        <w:t xml:space="preserve">2. </w:t>
      </w:r>
      <w:r>
        <w:t>Implement a subscriber that uses a business event ID and atomic processing record.</w:t>
      </w:r>
    </w:p>
    <w:p>
      <w:pPr>
        <w:spacing w:after="60"/>
        <w:ind w:left="360" w:hanging="259"/>
      </w:pPr>
      <w:r>
        <w:rPr>
          <w:b/>
        </w:rPr>
        <w:t xml:space="preserve">3. </w:t>
      </w:r>
      <w:r>
        <w:t>Publish normal, duplicate, malformed, and dependency-failure messages.</w:t>
      </w:r>
    </w:p>
    <w:p>
      <w:pPr>
        <w:spacing w:after="60"/>
        <w:ind w:left="360" w:hanging="259"/>
      </w:pPr>
      <w:r>
        <w:rPr>
          <w:b/>
        </w:rPr>
        <w:t xml:space="preserve">4. </w:t>
      </w:r>
      <w:r>
        <w:t>Configure bounded retry and prove malformed messages reach dead-letter handling.</w:t>
      </w:r>
    </w:p>
    <w:p>
      <w:pPr>
        <w:spacing w:after="60"/>
        <w:ind w:left="360" w:hanging="259"/>
      </w:pPr>
      <w:r>
        <w:rPr>
          <w:b/>
        </w:rPr>
        <w:t xml:space="preserve">5. </w:t>
      </w:r>
      <w:r>
        <w:t>Create a snapshot, process messages, then seek/replay in a controlled test.</w:t>
      </w:r>
    </w:p>
    <w:p>
      <w:pPr>
        <w:spacing w:after="60"/>
        <w:ind w:left="360" w:hanging="259"/>
      </w:pPr>
      <w:r>
        <w:rPr>
          <w:b/>
        </w:rPr>
        <w:t xml:space="preserve">6. </w:t>
      </w:r>
      <w:r>
        <w:t>Apply flow control and measure backlog, oldest age, processing throughput, and dependency latency.</w:t>
      </w:r>
    </w:p>
    <w:p>
      <w:pPr>
        <w:spacing w:after="60"/>
        <w:ind w:left="360" w:hanging="259"/>
      </w:pPr>
      <w:r>
        <w:rPr>
          <w:b/>
        </w:rPr>
        <w:t xml:space="preserve">7. </w:t>
      </w:r>
      <w:r>
        <w:t>Document when ordered delivery or exactly-once subscription mode would be justified.</w:t>
      </w:r>
    </w:p>
    <w:p>
      <w:pPr>
        <w:pStyle w:val="Heading3"/>
        <w:keepNext/>
      </w:pPr>
      <w:r>
        <w:t>Validation Evidence</w:t>
      </w:r>
    </w:p>
    <w:p>
      <w:pPr>
        <w:pStyle w:val="ListBullet"/>
        <w:spacing w:after="60"/>
      </w:pPr>
      <w:r>
        <w:t>Duplicate messages create one business outcome.</w:t>
      </w:r>
    </w:p>
    <w:p>
      <w:pPr>
        <w:pStyle w:val="ListBullet"/>
        <w:spacing w:after="60"/>
      </w:pPr>
      <w:r>
        <w:t>Poison messages are isolated and diagnosable.</w:t>
      </w:r>
    </w:p>
    <w:p>
      <w:pPr>
        <w:pStyle w:val="ListBullet"/>
        <w:spacing w:after="60"/>
      </w:pPr>
      <w:r>
        <w:t>Replay does not duplicate completed effects.</w:t>
      </w:r>
    </w:p>
    <w:p>
      <w:pPr>
        <w:pStyle w:val="ListBullet"/>
        <w:spacing w:after="60"/>
      </w:pPr>
      <w:r>
        <w:t>Backlog alerts identify capacity or dependency failure.</w:t>
      </w:r>
    </w:p>
    <w:p>
      <w:pPr>
        <w:pStyle w:val="Heading3"/>
        <w:keepNext/>
      </w:pPr>
      <w:r>
        <w:t>Cleanup</w:t>
      </w:r>
    </w:p>
    <w:p>
      <w:pPr>
        <w:pStyle w:val="ListBullet"/>
        <w:spacing w:after="60"/>
      </w:pPr>
      <w:r>
        <w:t>Delete subscriptions, topics, services, state records, service accounts, and dashboards created only for the lab.</w:t>
      </w:r>
    </w:p>
    <w:p>
      <w:pPr>
        <w:pStyle w:val="Heading2"/>
        <w:keepNext/>
      </w:pPr>
      <w:r>
        <w:t>Interview Questions and Model Answers</w:t>
      </w:r>
    </w:p>
    <w:p>
      <w:pPr>
        <w:spacing w:after="40"/>
      </w:pPr>
      <w:r>
        <w:rPr>
          <w:b/>
        </w:rPr>
        <w:t>1. Does Pub/Sub exactly-once make the whole business transaction exactly once?</w:t>
      </w:r>
    </w:p>
    <w:p>
      <w:pPr>
        <w:spacing w:after="120"/>
        <w:ind w:left="216"/>
      </w:pPr>
      <w:r>
        <w:t>No. It improves delivery/ack semantics; downstream side effects still require idempotency or transactions.</w:t>
      </w:r>
    </w:p>
    <w:p>
      <w:pPr>
        <w:spacing w:after="40"/>
      </w:pPr>
      <w:r>
        <w:rPr>
          <w:b/>
        </w:rPr>
        <w:t>2. Why is a topic not a queue?</w:t>
      </w:r>
    </w:p>
    <w:p>
      <w:pPr>
        <w:spacing w:after="120"/>
        <w:ind w:left="216"/>
      </w:pPr>
      <w:r>
        <w:t>Each subscription has independent delivery state, allowing multiple consumers to receive the same published message.</w:t>
      </w:r>
    </w:p>
    <w:p>
      <w:pPr>
        <w:spacing w:after="40"/>
      </w:pPr>
      <w:r>
        <w:rPr>
          <w:b/>
        </w:rPr>
        <w:t>3. What does oldest unacked age show?</w:t>
      </w:r>
    </w:p>
    <w:p>
      <w:pPr>
        <w:spacing w:after="120"/>
        <w:ind w:left="216"/>
      </w:pPr>
      <w:r>
        <w:t>How far the slowest unprocessed work is falling behind, often a stronger SLO signal than message count.</w:t>
      </w:r>
    </w:p>
    <w:p>
      <w:pPr>
        <w:spacing w:after="40"/>
      </w:pPr>
      <w:r>
        <w:rPr>
          <w:b/>
        </w:rPr>
        <w:t>4. Why can ordering reduce throughput?</w:t>
      </w:r>
    </w:p>
    <w:p>
      <w:pPr>
        <w:spacing w:after="120"/>
        <w:ind w:left="216"/>
      </w:pPr>
      <w:r>
        <w:t>Messages sharing an ordering key must be delivered in sequence, limiting parallelism for that key.</w:t>
      </w:r>
    </w:p>
    <w:p>
      <w:pPr>
        <w:pStyle w:val="Heading2"/>
        <w:keepNext/>
      </w:pPr>
      <w:r>
        <w:t>Chapter Summary</w:t>
      </w:r>
    </w:p>
    <w:p>
      <w:pPr>
        <w:pStyle w:val="ListBullet"/>
        <w:spacing w:after="60"/>
      </w:pPr>
      <w:r>
        <w:t>Subscriptions isolate consumer delivery state.</w:t>
      </w:r>
    </w:p>
    <w:p>
      <w:pPr>
        <w:pStyle w:val="ListBullet"/>
        <w:spacing w:after="60"/>
      </w:pPr>
      <w:r>
        <w:t>At-least-once processing requires idempotency.</w:t>
      </w:r>
    </w:p>
    <w:p>
      <w:pPr>
        <w:pStyle w:val="ListBullet"/>
        <w:spacing w:after="60"/>
      </w:pPr>
      <w:r>
        <w:t>Dead letters and replay need correct IAM and operational runbooks.</w:t>
      </w:r>
    </w:p>
    <w:p>
      <w:pPr>
        <w:pStyle w:val="ListBullet"/>
        <w:spacing w:after="60"/>
      </w:pPr>
      <w:r>
        <w:t>Backlog age, flow control, and dependency capacity drive reliability.</w:t>
      </w:r>
    </w:p>
    <w:p>
      <w:pPr>
        <w:pStyle w:val="Heading1"/>
        <w:keepNext/>
        <w:pageBreakBefore/>
      </w:pPr>
      <w:r>
        <w:t>Chapter 38 - Eventarc Event Routing and Event-Mesh Engineering</w:t>
      </w:r>
    </w:p>
    <w:p>
      <w:pPr>
        <w:spacing w:after="120"/>
      </w:pPr>
      <w:r>
        <w:rPr>
          <w:i/>
          <w:color w:val="505050"/>
        </w:rPr>
        <w:t>Routing CloudEvents with centralized governance and distributed ownership</w:t>
      </w:r>
    </w:p>
    <w:p>
      <w:pPr>
        <w:pStyle w:val="Heading2"/>
        <w:keepNext/>
      </w:pPr>
      <w:r>
        <w:t>Learning Objectives</w:t>
      </w:r>
    </w:p>
    <w:p>
      <w:pPr>
        <w:pStyle w:val="ListBullet"/>
        <w:spacing w:after="60"/>
      </w:pPr>
      <w:r>
        <w:t>Compare Eventarc Standard and Advanced.</w:t>
      </w:r>
    </w:p>
    <w:p>
      <w:pPr>
        <w:pStyle w:val="ListBullet"/>
        <w:spacing w:after="60"/>
      </w:pPr>
      <w:r>
        <w:t>Design event sources, filters, destinations, identities, and CloudEvents contracts.</w:t>
      </w:r>
    </w:p>
    <w:p>
      <w:pPr>
        <w:pStyle w:val="ListBullet"/>
        <w:spacing w:after="60"/>
      </w:pPr>
      <w:r>
        <w:t>Engineer retries, dead-lettering, observability, and regional placement.</w:t>
      </w:r>
    </w:p>
    <w:p>
      <w:pPr>
        <w:pStyle w:val="ListBullet"/>
        <w:spacing w:after="60"/>
      </w:pPr>
      <w:r>
        <w:t>Establish event governance without recreating a centralized monolith.</w:t>
      </w:r>
    </w:p>
    <w:p>
      <w:pPr>
        <w:pStyle w:val="Heading2"/>
        <w:keepNext/>
      </w:pPr>
      <w:r>
        <w:t>38.1 Standard and Advanced Editions</w:t>
      </w:r>
    </w:p>
    <w:p>
      <w:pPr>
        <w:spacing w:after="120"/>
      </w:pPr>
      <w:r>
        <w:rPr>
          <w:i w:val="0"/>
        </w:rPr>
        <w:t>Eventarc builds event-driven architectures without maintaining routing infrastructure. Eventarc Standard connects supported Google sources, Pub/Sub, and destinations with managed triggers. Eventarc Advanced adds event buses and pipelines for centralized governance, richer routing, transformation, and organization-scale eventing. Use Advanced when the governance and routing model justifies the additional platform layer.</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592"/>
            <w:shd w:fill="1A73E8"/>
            <w:tcMar>
              <w:top w:w="80" w:type="dxa"/>
              <w:start w:w="100" w:type="dxa"/>
              <w:bottom w:w="80" w:type="dxa"/>
              <w:end w:w="100" w:type="dxa"/>
            </w:tcMar>
            <w:vAlign w:val="center"/>
          </w:tcPr>
          <w:p>
            <w:pPr>
              <w:jc w:val="center"/>
            </w:pPr>
            <w:r>
              <w:rPr>
                <w:b/>
                <w:color w:val="FFFFFF"/>
                <w:sz w:val="16"/>
              </w:rPr>
              <w:t>Capability</w:t>
            </w:r>
          </w:p>
        </w:tc>
        <w:tc>
          <w:tcPr>
            <w:tcW w:type="dxa" w:w="3600"/>
            <w:shd w:fill="1A73E8"/>
            <w:tcMar>
              <w:top w:w="80" w:type="dxa"/>
              <w:start w:w="100" w:type="dxa"/>
              <w:bottom w:w="80" w:type="dxa"/>
              <w:end w:w="100" w:type="dxa"/>
            </w:tcMar>
            <w:vAlign w:val="center"/>
          </w:tcPr>
          <w:p>
            <w:pPr>
              <w:jc w:val="center"/>
            </w:pPr>
            <w:r>
              <w:rPr>
                <w:b/>
                <w:color w:val="FFFFFF"/>
                <w:sz w:val="16"/>
              </w:rPr>
              <w:t>Standard</w:t>
            </w:r>
          </w:p>
        </w:tc>
        <w:tc>
          <w:tcPr>
            <w:tcW w:type="dxa" w:w="3600"/>
            <w:shd w:fill="1A73E8"/>
            <w:tcMar>
              <w:top w:w="80" w:type="dxa"/>
              <w:start w:w="100" w:type="dxa"/>
              <w:bottom w:w="80" w:type="dxa"/>
              <w:end w:w="100" w:type="dxa"/>
            </w:tcMar>
            <w:vAlign w:val="center"/>
          </w:tcPr>
          <w:p>
            <w:pPr>
              <w:jc w:val="center"/>
            </w:pPr>
            <w:r>
              <w:rPr>
                <w:b/>
                <w:color w:val="FFFFFF"/>
                <w:sz w:val="16"/>
              </w:rPr>
              <w:t>Advanced</w:t>
            </w:r>
          </w:p>
        </w:tc>
      </w:tr>
      <w:tr>
        <w:trPr>
          <w:cantSplit/>
        </w:trPr>
        <w:tc>
          <w:tcPr>
            <w:tcW w:type="dxa" w:w="2592"/>
            <w:tcMar>
              <w:top w:w="80" w:type="dxa"/>
              <w:start w:w="100" w:type="dxa"/>
              <w:bottom w:w="80" w:type="dxa"/>
              <w:end w:w="100" w:type="dxa"/>
            </w:tcMar>
            <w:vAlign w:val="top"/>
          </w:tcPr>
          <w:p>
            <w:pPr>
              <w:spacing w:after="0"/>
            </w:pPr>
            <w:r>
              <w:rPr>
                <w:sz w:val="16"/>
              </w:rPr>
              <w:t>Primary resource</w:t>
            </w:r>
          </w:p>
        </w:tc>
        <w:tc>
          <w:tcPr>
            <w:tcW w:type="dxa" w:w="3600"/>
            <w:tcMar>
              <w:top w:w="80" w:type="dxa"/>
              <w:start w:w="100" w:type="dxa"/>
              <w:bottom w:w="80" w:type="dxa"/>
              <w:end w:w="100" w:type="dxa"/>
            </w:tcMar>
            <w:vAlign w:val="top"/>
          </w:tcPr>
          <w:p>
            <w:pPr>
              <w:spacing w:after="0"/>
            </w:pPr>
            <w:r>
              <w:rPr>
                <w:sz w:val="16"/>
              </w:rPr>
              <w:t>Trigger</w:t>
            </w:r>
          </w:p>
        </w:tc>
        <w:tc>
          <w:tcPr>
            <w:tcW w:type="dxa" w:w="3600"/>
            <w:tcMar>
              <w:top w:w="80" w:type="dxa"/>
              <w:start w:w="100" w:type="dxa"/>
              <w:bottom w:w="80" w:type="dxa"/>
              <w:end w:w="100" w:type="dxa"/>
            </w:tcMar>
            <w:vAlign w:val="top"/>
          </w:tcPr>
          <w:p>
            <w:pPr>
              <w:spacing w:after="0"/>
            </w:pPr>
            <w:r>
              <w:rPr>
                <w:sz w:val="16"/>
              </w:rPr>
              <w:t>Bus plus pipeline</w:t>
            </w:r>
          </w:p>
        </w:tc>
      </w:tr>
      <w:tr>
        <w:trPr>
          <w:cantSplit/>
        </w:trPr>
        <w:tc>
          <w:tcPr>
            <w:tcW w:type="dxa" w:w="2592"/>
            <w:tcMar>
              <w:top w:w="80" w:type="dxa"/>
              <w:start w:w="100" w:type="dxa"/>
              <w:bottom w:w="80" w:type="dxa"/>
              <w:end w:w="100" w:type="dxa"/>
            </w:tcMar>
            <w:vAlign w:val="top"/>
          </w:tcPr>
          <w:p>
            <w:pPr>
              <w:spacing w:after="0"/>
            </w:pPr>
            <w:r>
              <w:rPr>
                <w:sz w:val="16"/>
              </w:rPr>
              <w:t>Operating model</w:t>
            </w:r>
          </w:p>
        </w:tc>
        <w:tc>
          <w:tcPr>
            <w:tcW w:type="dxa" w:w="3600"/>
            <w:tcMar>
              <w:top w:w="80" w:type="dxa"/>
              <w:start w:w="100" w:type="dxa"/>
              <w:bottom w:w="80" w:type="dxa"/>
              <w:end w:w="100" w:type="dxa"/>
            </w:tcMar>
            <w:vAlign w:val="top"/>
          </w:tcPr>
          <w:p>
            <w:pPr>
              <w:spacing w:after="0"/>
            </w:pPr>
            <w:r>
              <w:rPr>
                <w:sz w:val="16"/>
              </w:rPr>
              <w:t>Application/team-level routing</w:t>
            </w:r>
          </w:p>
        </w:tc>
        <w:tc>
          <w:tcPr>
            <w:tcW w:type="dxa" w:w="3600"/>
            <w:tcMar>
              <w:top w:w="80" w:type="dxa"/>
              <w:start w:w="100" w:type="dxa"/>
              <w:bottom w:w="80" w:type="dxa"/>
              <w:end w:w="100" w:type="dxa"/>
            </w:tcMar>
            <w:vAlign w:val="top"/>
          </w:tcPr>
          <w:p>
            <w:pPr>
              <w:spacing w:after="0"/>
            </w:pPr>
            <w:r>
              <w:rPr>
                <w:sz w:val="16"/>
              </w:rPr>
              <w:t>Central policy with distributed integration logic</w:t>
            </w:r>
          </w:p>
        </w:tc>
      </w:tr>
      <w:tr>
        <w:trPr>
          <w:cantSplit/>
        </w:trPr>
        <w:tc>
          <w:tcPr>
            <w:tcW w:type="dxa" w:w="2592"/>
            <w:tcMar>
              <w:top w:w="80" w:type="dxa"/>
              <w:start w:w="100" w:type="dxa"/>
              <w:bottom w:w="80" w:type="dxa"/>
              <w:end w:w="100" w:type="dxa"/>
            </w:tcMar>
            <w:vAlign w:val="top"/>
          </w:tcPr>
          <w:p>
            <w:pPr>
              <w:spacing w:after="0"/>
            </w:pPr>
            <w:r>
              <w:rPr>
                <w:sz w:val="16"/>
              </w:rPr>
              <w:t>Transformation/routing</w:t>
            </w:r>
          </w:p>
        </w:tc>
        <w:tc>
          <w:tcPr>
            <w:tcW w:type="dxa" w:w="3600"/>
            <w:tcMar>
              <w:top w:w="80" w:type="dxa"/>
              <w:start w:w="100" w:type="dxa"/>
              <w:bottom w:w="80" w:type="dxa"/>
              <w:end w:w="100" w:type="dxa"/>
            </w:tcMar>
            <w:vAlign w:val="top"/>
          </w:tcPr>
          <w:p>
            <w:pPr>
              <w:spacing w:after="0"/>
            </w:pPr>
            <w:r>
              <w:rPr>
                <w:sz w:val="16"/>
              </w:rPr>
              <w:t>Source filters and destination routing</w:t>
            </w:r>
          </w:p>
        </w:tc>
        <w:tc>
          <w:tcPr>
            <w:tcW w:type="dxa" w:w="3600"/>
            <w:tcMar>
              <w:top w:w="80" w:type="dxa"/>
              <w:start w:w="100" w:type="dxa"/>
              <w:bottom w:w="80" w:type="dxa"/>
              <w:end w:w="100" w:type="dxa"/>
            </w:tcMar>
            <w:vAlign w:val="top"/>
          </w:tcPr>
          <w:p>
            <w:pPr>
              <w:spacing w:after="0"/>
            </w:pPr>
            <w:r>
              <w:rPr>
                <w:sz w:val="16"/>
              </w:rPr>
              <w:t>Richer content-aware processing and routing</w:t>
            </w:r>
          </w:p>
        </w:tc>
      </w:tr>
      <w:tr>
        <w:trPr>
          <w:cantSplit/>
        </w:trPr>
        <w:tc>
          <w:tcPr>
            <w:tcW w:type="dxa" w:w="2592"/>
            <w:tcMar>
              <w:top w:w="80" w:type="dxa"/>
              <w:start w:w="100" w:type="dxa"/>
              <w:bottom w:w="80" w:type="dxa"/>
              <w:end w:w="100" w:type="dxa"/>
            </w:tcMar>
            <w:vAlign w:val="top"/>
          </w:tcPr>
          <w:p>
            <w:pPr>
              <w:spacing w:after="0"/>
            </w:pPr>
            <w:r>
              <w:rPr>
                <w:sz w:val="16"/>
              </w:rPr>
              <w:t>Best fit</w:t>
            </w:r>
          </w:p>
        </w:tc>
        <w:tc>
          <w:tcPr>
            <w:tcW w:type="dxa" w:w="3600"/>
            <w:tcMar>
              <w:top w:w="80" w:type="dxa"/>
              <w:start w:w="100" w:type="dxa"/>
              <w:bottom w:w="80" w:type="dxa"/>
              <w:end w:w="100" w:type="dxa"/>
            </w:tcMar>
            <w:vAlign w:val="top"/>
          </w:tcPr>
          <w:p>
            <w:pPr>
              <w:spacing w:after="0"/>
            </w:pPr>
            <w:r>
              <w:rPr>
                <w:sz w:val="16"/>
              </w:rPr>
              <w:t>Direct event source to service/workflow</w:t>
            </w:r>
          </w:p>
        </w:tc>
        <w:tc>
          <w:tcPr>
            <w:tcW w:type="dxa" w:w="3600"/>
            <w:tcMar>
              <w:top w:w="80" w:type="dxa"/>
              <w:start w:w="100" w:type="dxa"/>
              <w:bottom w:w="80" w:type="dxa"/>
              <w:end w:w="100" w:type="dxa"/>
            </w:tcMar>
            <w:vAlign w:val="top"/>
          </w:tcPr>
          <w:p>
            <w:pPr>
              <w:spacing w:after="0"/>
            </w:pPr>
            <w:r>
              <w:rPr>
                <w:sz w:val="16"/>
              </w:rPr>
              <w:t>Enterprise event mesh and cross-team governance</w:t>
            </w:r>
          </w:p>
        </w:tc>
      </w:tr>
    </w:tbl>
    <w:p>
      <w:pPr>
        <w:spacing w:after="20"/>
      </w:pPr>
    </w:p>
    <w:p>
      <w:pPr>
        <w:pStyle w:val="Heading2"/>
        <w:keepNext/>
      </w:pPr>
      <w:r>
        <w:t>38.2 CloudEvents Contract and Filtering</w:t>
      </w:r>
    </w:p>
    <w:p>
      <w:pPr>
        <w:spacing w:after="120"/>
      </w:pPr>
      <w:r>
        <w:rPr>
          <w:i w:val="0"/>
        </w:rPr>
        <w:t>Eventarc delivers events in CloudEvents format. Govern type, source, subject, ID, time, data schema, and business extension attributes. Filters reduce unwanted delivery but should not replace consumer validation. Schema compatibility and ownership are necessary because independent producers and consumers evolve.</w:t>
      </w:r>
    </w:p>
    <w:p>
      <w:pPr>
        <w:pStyle w:val="ListBullet"/>
        <w:spacing w:after="60"/>
      </w:pPr>
      <w:r>
        <w:t>Version event contracts and define additive versus breaking changes.</w:t>
      </w:r>
    </w:p>
    <w:p>
      <w:pPr>
        <w:pStyle w:val="ListBullet"/>
        <w:spacing w:after="60"/>
      </w:pPr>
      <w:r>
        <w:t>Keep event payloads minimal and avoid sensitive data unless approved.</w:t>
      </w:r>
    </w:p>
    <w:p>
      <w:pPr>
        <w:pStyle w:val="ListBullet"/>
        <w:spacing w:after="60"/>
      </w:pPr>
      <w:r>
        <w:t>Use stable business identifiers separate from transport message IDs.</w:t>
      </w:r>
    </w:p>
    <w:p>
      <w:pPr>
        <w:pStyle w:val="ListBullet"/>
        <w:spacing w:after="60"/>
      </w:pPr>
      <w:r>
        <w:t>Document source and destination region compatibility.</w:t>
      </w:r>
    </w:p>
    <w:p>
      <w:pPr>
        <w:pStyle w:val="Heading2"/>
        <w:keepNext/>
      </w:pPr>
      <w:r>
        <w:t>38.3 Destination Security and Delivery</w:t>
      </w:r>
    </w:p>
    <w:p>
      <w:pPr>
        <w:spacing w:after="120"/>
      </w:pPr>
      <w:r>
        <w:rPr>
          <w:i w:val="0"/>
        </w:rPr>
        <w:t>Each trigger or pipeline uses service identities and requires permission to receive source events and invoke the destination. Destinations should be private by default and grant invocation only to the routing identity. Retries can produce duplicate delivery, so destinations remain idempotent.</w:t>
      </w:r>
    </w:p>
    <w:p>
      <w:pPr>
        <w:pStyle w:val="CodeBlock"/>
        <w:keepLines/>
        <w:spacing w:after="120"/>
      </w:pPr>
      <w:r>
        <w:rPr>
          <w:rFonts w:ascii="Cascadia Mono" w:hAnsi="Cascadia Mono"/>
          <w:sz w:val="16"/>
        </w:rPr>
        <w:t>gcloud eventarc triggers list --location=REGION</w:t>
        <w:br/>
        <w:t>gcloud eventarc triggers describe storage-finalized --location=REGION</w:t>
        <w:br/>
        <w:t>gcloud run services get-iam-policy event-handler --region=REGION</w:t>
      </w:r>
    </w:p>
    <w:p>
      <w:pPr>
        <w:pStyle w:val="Heading2"/>
        <w:keepNext/>
      </w:pPr>
      <w:r>
        <w:t>38.4 Event Mesh Governance and Operations</w:t>
      </w:r>
    </w:p>
    <w:p>
      <w:pPr>
        <w:spacing w:after="120"/>
      </w:pPr>
      <w:r>
        <w:rPr>
          <w:i w:val="0"/>
        </w:rPr>
        <w:t>An event catalog should record owner, purpose, schema, classification, retention, consumers, region, SLO, and deprecation. Platform teams govern buses, identity, observability, and policy; product teams own event meaning and processing. Monitor delivery errors, retry age, destination latency, filtered volume, and business completeness.</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Trigger is active but no events arrive</w:t>
            </w:r>
          </w:p>
        </w:tc>
        <w:tc>
          <w:tcPr>
            <w:tcW w:type="dxa" w:w="2592"/>
            <w:tcMar>
              <w:top w:w="80" w:type="dxa"/>
              <w:start w:w="100" w:type="dxa"/>
              <w:bottom w:w="80" w:type="dxa"/>
              <w:end w:w="100" w:type="dxa"/>
            </w:tcMar>
            <w:vAlign w:val="top"/>
          </w:tcPr>
          <w:p>
            <w:pPr>
              <w:spacing w:after="0"/>
            </w:pPr>
            <w:r>
              <w:rPr>
                <w:sz w:val="16"/>
              </w:rPr>
              <w:t>Filter mismatch, source audit/API config, region, service agent, or destination IAM</w:t>
            </w:r>
          </w:p>
        </w:tc>
        <w:tc>
          <w:tcPr>
            <w:tcW w:type="dxa" w:w="5328"/>
            <w:tcMar>
              <w:top w:w="80" w:type="dxa"/>
              <w:start w:w="100" w:type="dxa"/>
              <w:bottom w:w="80" w:type="dxa"/>
              <w:end w:w="100" w:type="dxa"/>
            </w:tcMar>
            <w:vAlign w:val="top"/>
          </w:tcPr>
          <w:p>
            <w:pPr>
              <w:spacing w:after="0"/>
            </w:pPr>
            <w:r>
              <w:rPr>
                <w:sz w:val="16"/>
              </w:rPr>
              <w:t>Inspect trigger conditions, source event/audit log, service-agent roles, and destination invocation logs.</w:t>
            </w:r>
          </w:p>
        </w:tc>
      </w:tr>
      <w:tr>
        <w:trPr>
          <w:cantSplit/>
        </w:trPr>
        <w:tc>
          <w:tcPr>
            <w:tcW w:type="dxa" w:w="2160"/>
            <w:tcMar>
              <w:top w:w="80" w:type="dxa"/>
              <w:start w:w="100" w:type="dxa"/>
              <w:bottom w:w="80" w:type="dxa"/>
              <w:end w:w="100" w:type="dxa"/>
            </w:tcMar>
            <w:vAlign w:val="top"/>
          </w:tcPr>
          <w:p>
            <w:pPr>
              <w:spacing w:after="0"/>
            </w:pPr>
            <w:r>
              <w:rPr>
                <w:sz w:val="16"/>
              </w:rPr>
              <w:t>Destination receives duplicates</w:t>
            </w:r>
          </w:p>
        </w:tc>
        <w:tc>
          <w:tcPr>
            <w:tcW w:type="dxa" w:w="2592"/>
            <w:tcMar>
              <w:top w:w="80" w:type="dxa"/>
              <w:start w:w="100" w:type="dxa"/>
              <w:bottom w:w="80" w:type="dxa"/>
              <w:end w:w="100" w:type="dxa"/>
            </w:tcMar>
            <w:vAlign w:val="top"/>
          </w:tcPr>
          <w:p>
            <w:pPr>
              <w:spacing w:after="0"/>
            </w:pPr>
            <w:r>
              <w:rPr>
                <w:sz w:val="16"/>
              </w:rPr>
              <w:t>Retry after timeout or at-least-once transport</w:t>
            </w:r>
          </w:p>
        </w:tc>
        <w:tc>
          <w:tcPr>
            <w:tcW w:type="dxa" w:w="5328"/>
            <w:tcMar>
              <w:top w:w="80" w:type="dxa"/>
              <w:start w:w="100" w:type="dxa"/>
              <w:bottom w:w="80" w:type="dxa"/>
              <w:end w:w="100" w:type="dxa"/>
            </w:tcMar>
            <w:vAlign w:val="top"/>
          </w:tcPr>
          <w:p>
            <w:pPr>
              <w:spacing w:after="0"/>
            </w:pPr>
            <w:r>
              <w:rPr>
                <w:sz w:val="16"/>
              </w:rPr>
              <w:t>Use CloudEvent/business ID and idempotent state; return success only after durable completion.</w:t>
            </w:r>
          </w:p>
        </w:tc>
      </w:tr>
      <w:tr>
        <w:trPr>
          <w:cantSplit/>
        </w:trPr>
        <w:tc>
          <w:tcPr>
            <w:tcW w:type="dxa" w:w="2160"/>
            <w:tcMar>
              <w:top w:w="80" w:type="dxa"/>
              <w:start w:w="100" w:type="dxa"/>
              <w:bottom w:w="80" w:type="dxa"/>
              <w:end w:w="100" w:type="dxa"/>
            </w:tcMar>
            <w:vAlign w:val="top"/>
          </w:tcPr>
          <w:p>
            <w:pPr>
              <w:spacing w:after="0"/>
            </w:pPr>
            <w:r>
              <w:rPr>
                <w:sz w:val="16"/>
              </w:rPr>
              <w:t>Events cross wrong trust boundary</w:t>
            </w:r>
          </w:p>
        </w:tc>
        <w:tc>
          <w:tcPr>
            <w:tcW w:type="dxa" w:w="2592"/>
            <w:tcMar>
              <w:top w:w="80" w:type="dxa"/>
              <w:start w:w="100" w:type="dxa"/>
              <w:bottom w:w="80" w:type="dxa"/>
              <w:end w:w="100" w:type="dxa"/>
            </w:tcMar>
            <w:vAlign w:val="top"/>
          </w:tcPr>
          <w:p>
            <w:pPr>
              <w:spacing w:after="0"/>
            </w:pPr>
            <w:r>
              <w:rPr>
                <w:sz w:val="16"/>
              </w:rPr>
              <w:t>Overbroad bus/pipeline, IAM, or classification</w:t>
            </w:r>
          </w:p>
        </w:tc>
        <w:tc>
          <w:tcPr>
            <w:tcW w:type="dxa" w:w="5328"/>
            <w:tcMar>
              <w:top w:w="80" w:type="dxa"/>
              <w:start w:w="100" w:type="dxa"/>
              <w:bottom w:w="80" w:type="dxa"/>
              <w:end w:w="100" w:type="dxa"/>
            </w:tcMar>
            <w:vAlign w:val="top"/>
          </w:tcPr>
          <w:p>
            <w:pPr>
              <w:spacing w:after="0"/>
            </w:pPr>
            <w:r>
              <w:rPr>
                <w:sz w:val="16"/>
              </w:rPr>
              <w:t>Review event catalog, routing policy, payload classification, and project/folder boundaries.</w:t>
            </w:r>
          </w:p>
        </w:tc>
      </w:tr>
      <w:tr>
        <w:trPr>
          <w:cantSplit/>
        </w:trPr>
        <w:tc>
          <w:tcPr>
            <w:tcW w:type="dxa" w:w="2160"/>
            <w:tcMar>
              <w:top w:w="80" w:type="dxa"/>
              <w:start w:w="100" w:type="dxa"/>
              <w:bottom w:w="80" w:type="dxa"/>
              <w:end w:w="100" w:type="dxa"/>
            </w:tcMar>
            <w:vAlign w:val="top"/>
          </w:tcPr>
          <w:p>
            <w:pPr>
              <w:spacing w:after="0"/>
            </w:pPr>
            <w:r>
              <w:rPr>
                <w:sz w:val="16"/>
              </w:rPr>
              <w:t>Advanced pipeline rejects/changes payload</w:t>
            </w:r>
          </w:p>
        </w:tc>
        <w:tc>
          <w:tcPr>
            <w:tcW w:type="dxa" w:w="2592"/>
            <w:tcMar>
              <w:top w:w="80" w:type="dxa"/>
              <w:start w:w="100" w:type="dxa"/>
              <w:bottom w:w="80" w:type="dxa"/>
              <w:end w:w="100" w:type="dxa"/>
            </w:tcMar>
            <w:vAlign w:val="top"/>
          </w:tcPr>
          <w:p>
            <w:pPr>
              <w:spacing w:after="0"/>
            </w:pPr>
            <w:r>
              <w:rPr>
                <w:sz w:val="16"/>
              </w:rPr>
              <w:t>Transformation or schema policy mismatch</w:t>
            </w:r>
          </w:p>
        </w:tc>
        <w:tc>
          <w:tcPr>
            <w:tcW w:type="dxa" w:w="5328"/>
            <w:tcMar>
              <w:top w:w="80" w:type="dxa"/>
              <w:start w:w="100" w:type="dxa"/>
              <w:bottom w:w="80" w:type="dxa"/>
              <w:end w:w="100" w:type="dxa"/>
            </w:tcMar>
            <w:vAlign w:val="top"/>
          </w:tcPr>
          <w:p>
            <w:pPr>
              <w:spacing w:after="0"/>
            </w:pPr>
            <w:r>
              <w:rPr>
                <w:sz w:val="16"/>
              </w:rPr>
              <w:t>Inspect pipeline stages and dead-letter/error records; version and test transformations.</w:t>
            </w:r>
          </w:p>
        </w:tc>
      </w:tr>
    </w:tbl>
    <w:p>
      <w:pPr>
        <w:spacing w:after="20"/>
      </w:pPr>
    </w:p>
    <w:p>
      <w:pPr>
        <w:pStyle w:val="Heading2"/>
        <w:keepNext/>
      </w:pPr>
      <w:r>
        <w:t>Hands-on Lab 38: Route Governed Events to a Private Service</w:t>
      </w:r>
    </w:p>
    <w:p>
      <w:pPr>
        <w:pStyle w:val="Heading3"/>
        <w:keepNext/>
      </w:pPr>
      <w:r>
        <w:t>Prerequisites</w:t>
      </w:r>
    </w:p>
    <w:p>
      <w:pPr>
        <w:pStyle w:val="ListBullet"/>
        <w:spacing w:after="60"/>
      </w:pPr>
      <w:r>
        <w:t>A Cloud Storage bucket or Pub/Sub source, Eventarc, a private Cloud Run destination, and a state store.</w:t>
      </w:r>
    </w:p>
    <w:p>
      <w:pPr>
        <w:pStyle w:val="Heading3"/>
        <w:keepNext/>
      </w:pPr>
      <w:r>
        <w:t>Implementation</w:t>
      </w:r>
    </w:p>
    <w:p>
      <w:pPr>
        <w:spacing w:after="60"/>
        <w:ind w:left="360" w:hanging="259"/>
      </w:pPr>
      <w:r>
        <w:rPr>
          <w:b/>
        </w:rPr>
        <w:t xml:space="preserve">1. </w:t>
      </w:r>
      <w:r>
        <w:t>Define an event contract with required CloudEvents and business attributes.</w:t>
      </w:r>
    </w:p>
    <w:p>
      <w:pPr>
        <w:spacing w:after="60"/>
        <w:ind w:left="360" w:hanging="259"/>
      </w:pPr>
      <w:r>
        <w:rPr>
          <w:b/>
        </w:rPr>
        <w:t xml:space="preserve">2. </w:t>
      </w:r>
      <w:r>
        <w:t>Deploy a private idempotent Cloud Run event handler.</w:t>
      </w:r>
    </w:p>
    <w:p>
      <w:pPr>
        <w:spacing w:after="60"/>
        <w:ind w:left="360" w:hanging="259"/>
      </w:pPr>
      <w:r>
        <w:rPr>
          <w:b/>
        </w:rPr>
        <w:t xml:space="preserve">3. </w:t>
      </w:r>
      <w:r>
        <w:t>Create an Eventarc Standard trigger with narrow source filters and a dedicated identity.</w:t>
      </w:r>
    </w:p>
    <w:p>
      <w:pPr>
        <w:spacing w:after="60"/>
        <w:ind w:left="360" w:hanging="259"/>
      </w:pPr>
      <w:r>
        <w:rPr>
          <w:b/>
        </w:rPr>
        <w:t xml:space="preserve">4. </w:t>
      </w:r>
      <w:r>
        <w:t>Generate matching and non-matching events; verify filtering and authenticated delivery.</w:t>
      </w:r>
    </w:p>
    <w:p>
      <w:pPr>
        <w:spacing w:after="60"/>
        <w:ind w:left="360" w:hanging="259"/>
      </w:pPr>
      <w:r>
        <w:rPr>
          <w:b/>
        </w:rPr>
        <w:t xml:space="preserve">5. </w:t>
      </w:r>
      <w:r>
        <w:t>Inject destination timeout and prove redelivery does not duplicate the business effect.</w:t>
      </w:r>
    </w:p>
    <w:p>
      <w:pPr>
        <w:spacing w:after="60"/>
        <w:ind w:left="360" w:hanging="259"/>
      </w:pPr>
      <w:r>
        <w:rPr>
          <w:b/>
        </w:rPr>
        <w:t xml:space="preserve">6. </w:t>
      </w:r>
      <w:r>
        <w:t>Create a dead-letter or error-handling design and an event-catalog entry.</w:t>
      </w:r>
    </w:p>
    <w:p>
      <w:pPr>
        <w:spacing w:after="60"/>
        <w:ind w:left="360" w:hanging="259"/>
      </w:pPr>
      <w:r>
        <w:rPr>
          <w:b/>
        </w:rPr>
        <w:t xml:space="preserve">7. </w:t>
      </w:r>
      <w:r>
        <w:t>Write an architecture decision for when Eventarc Advanced buses and pipelines would be adopted.</w:t>
      </w:r>
    </w:p>
    <w:p>
      <w:pPr>
        <w:pStyle w:val="Heading3"/>
        <w:keepNext/>
      </w:pPr>
      <w:r>
        <w:t>Validation Evidence</w:t>
      </w:r>
    </w:p>
    <w:p>
      <w:pPr>
        <w:pStyle w:val="ListBullet"/>
        <w:spacing w:after="60"/>
      </w:pPr>
      <w:r>
        <w:t>Only matching events invoke the destination.</w:t>
      </w:r>
    </w:p>
    <w:p>
      <w:pPr>
        <w:pStyle w:val="ListBullet"/>
        <w:spacing w:after="60"/>
      </w:pPr>
      <w:r>
        <w:t>The destination is not anonymously callable.</w:t>
      </w:r>
    </w:p>
    <w:p>
      <w:pPr>
        <w:pStyle w:val="ListBullet"/>
        <w:spacing w:after="60"/>
      </w:pPr>
      <w:r>
        <w:t>Duplicate delivery is harmless.</w:t>
      </w:r>
    </w:p>
    <w:p>
      <w:pPr>
        <w:pStyle w:val="ListBullet"/>
        <w:spacing w:after="60"/>
      </w:pPr>
      <w:r>
        <w:t>Event ownership, classification, SLO, and deprecation are documented.</w:t>
      </w:r>
    </w:p>
    <w:p>
      <w:pPr>
        <w:pStyle w:val="Heading3"/>
        <w:keepNext/>
      </w:pPr>
      <w:r>
        <w:t>Cleanup</w:t>
      </w:r>
    </w:p>
    <w:p>
      <w:pPr>
        <w:pStyle w:val="ListBullet"/>
        <w:spacing w:after="60"/>
      </w:pPr>
      <w:r>
        <w:t>Delete trigger, service, bucket/topic, state records, IAM bindings, and test events.</w:t>
      </w:r>
    </w:p>
    <w:p>
      <w:pPr>
        <w:pStyle w:val="Heading2"/>
        <w:keepNext/>
      </w:pPr>
      <w:r>
        <w:t>Interview Questions and Model Answers</w:t>
      </w:r>
    </w:p>
    <w:p>
      <w:pPr>
        <w:spacing w:after="40"/>
      </w:pPr>
      <w:r>
        <w:rPr>
          <w:b/>
        </w:rPr>
        <w:t>1. What is Eventarc Standard?</w:t>
      </w:r>
    </w:p>
    <w:p>
      <w:pPr>
        <w:spacing w:after="120"/>
        <w:ind w:left="216"/>
      </w:pPr>
      <w:r>
        <w:t>Managed trigger-based routing from supported event sources to services and workflows.</w:t>
      </w:r>
    </w:p>
    <w:p>
      <w:pPr>
        <w:spacing w:after="40"/>
      </w:pPr>
      <w:r>
        <w:rPr>
          <w:b/>
        </w:rPr>
        <w:t>2. Why use Eventarc Advanced?</w:t>
      </w:r>
    </w:p>
    <w:p>
      <w:pPr>
        <w:spacing w:after="120"/>
        <w:ind w:left="216"/>
      </w:pPr>
      <w:r>
        <w:t>For organization-scale event buses and pipelines with centralized governance and richer distributed routing logic.</w:t>
      </w:r>
    </w:p>
    <w:p>
      <w:pPr>
        <w:spacing w:after="40"/>
      </w:pPr>
      <w:r>
        <w:rPr>
          <w:b/>
        </w:rPr>
        <w:t>3. Why use CloudEvents?</w:t>
      </w:r>
    </w:p>
    <w:p>
      <w:pPr>
        <w:spacing w:after="120"/>
        <w:ind w:left="216"/>
      </w:pPr>
      <w:r>
        <w:t>It standardizes event metadata so producers, routers, and consumers can interoperate and govern events consistently.</w:t>
      </w:r>
    </w:p>
    <w:p>
      <w:pPr>
        <w:spacing w:after="40"/>
      </w:pPr>
      <w:r>
        <w:rPr>
          <w:b/>
        </w:rPr>
        <w:t>4. Do filters eliminate consumer validation?</w:t>
      </w:r>
    </w:p>
    <w:p>
      <w:pPr>
        <w:spacing w:after="120"/>
        <w:ind w:left="216"/>
      </w:pPr>
      <w:r>
        <w:t>No. Consumers must still validate type, source, schema, authorization context, and business rules.</w:t>
      </w:r>
    </w:p>
    <w:p>
      <w:pPr>
        <w:pStyle w:val="Heading2"/>
        <w:keepNext/>
      </w:pPr>
      <w:r>
        <w:t>Chapter Summary</w:t>
      </w:r>
    </w:p>
    <w:p>
      <w:pPr>
        <w:pStyle w:val="ListBullet"/>
        <w:spacing w:after="60"/>
      </w:pPr>
      <w:r>
        <w:t>Eventarc separates event routing from application code.</w:t>
      </w:r>
    </w:p>
    <w:p>
      <w:pPr>
        <w:pStyle w:val="ListBullet"/>
        <w:spacing w:after="60"/>
      </w:pPr>
      <w:r>
        <w:t>Standard and Advanced support different governance scales.</w:t>
      </w:r>
    </w:p>
    <w:p>
      <w:pPr>
        <w:pStyle w:val="ListBullet"/>
        <w:spacing w:after="60"/>
      </w:pPr>
      <w:r>
        <w:t>CloudEvents contracts require ownership and compatibility rules.</w:t>
      </w:r>
    </w:p>
    <w:p>
      <w:pPr>
        <w:pStyle w:val="ListBullet"/>
        <w:spacing w:after="60"/>
      </w:pPr>
      <w:r>
        <w:t>Idempotency and authenticated destinations remain mandatory.</w:t>
      </w:r>
    </w:p>
    <w:p>
      <w:pPr>
        <w:pStyle w:val="Heading1"/>
        <w:keepNext/>
        <w:pageBreakBefore/>
      </w:pPr>
      <w:r>
        <w:t>Chapter 39 - Workflows, Cloud Tasks, and Cloud Scheduler</w:t>
      </w:r>
    </w:p>
    <w:p>
      <w:pPr>
        <w:spacing w:after="120"/>
      </w:pPr>
      <w:r>
        <w:rPr>
          <w:i/>
          <w:color w:val="505050"/>
        </w:rPr>
        <w:t>Combining durable orchestration, controlled task delivery, and scheduled execution</w:t>
      </w:r>
    </w:p>
    <w:p>
      <w:pPr>
        <w:pStyle w:val="Heading2"/>
        <w:keepNext/>
      </w:pPr>
      <w:r>
        <w:t>Learning Objectives</w:t>
      </w:r>
    </w:p>
    <w:p>
      <w:pPr>
        <w:pStyle w:val="ListBullet"/>
        <w:spacing w:after="60"/>
      </w:pPr>
      <w:r>
        <w:t>Select Workflows, Cloud Tasks, Cloud Scheduler, Pub/Sub, and jobs correctly.</w:t>
      </w:r>
    </w:p>
    <w:p>
      <w:pPr>
        <w:pStyle w:val="ListBullet"/>
        <w:spacing w:after="60"/>
      </w:pPr>
      <w:r>
        <w:t>Build durable orchestration with connectors, retries, callbacks, and compensation.</w:t>
      </w:r>
    </w:p>
    <w:p>
      <w:pPr>
        <w:pStyle w:val="ListBullet"/>
        <w:spacing w:after="60"/>
      </w:pPr>
      <w:r>
        <w:t>Control task queues, rate, retry, deduplication, and authenticated targets.</w:t>
      </w:r>
    </w:p>
    <w:p>
      <w:pPr>
        <w:pStyle w:val="ListBullet"/>
        <w:spacing w:after="60"/>
      </w:pPr>
      <w:r>
        <w:t>Operate schedules and workflows with traceability and reconciliation.</w:t>
      </w:r>
    </w:p>
    <w:p>
      <w:pPr>
        <w:pStyle w:val="Heading2"/>
        <w:keepNext/>
      </w:pPr>
      <w:r>
        <w:t>39.1 Selecting the Coordination Primitive</w:t>
      </w:r>
    </w:p>
    <w:p>
      <w:pPr>
        <w:spacing w:after="120"/>
      </w:pPr>
      <w:r>
        <w:rPr>
          <w:i w:val="0"/>
        </w:rPr>
        <w:t>Workflows orchestrates steps and API calls with durable execution state. Cloud Tasks delivers individual HTTP tasks with queue-level rate and retry controls. Cloud Scheduler triggers work on a schedule. Pub/Sub distributes events to independent consumers. Cloud Run jobs perform finite compute. Combining them intentionally is more reliable than forcing one product into every role.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4032"/>
            <w:shd w:fill="1A73E8"/>
            <w:tcMar>
              <w:top w:w="80" w:type="dxa"/>
              <w:start w:w="100" w:type="dxa"/>
              <w:bottom w:w="80" w:type="dxa"/>
              <w:end w:w="100" w:type="dxa"/>
            </w:tcMar>
            <w:vAlign w:val="center"/>
          </w:tcPr>
          <w:p>
            <w:pPr>
              <w:jc w:val="center"/>
            </w:pPr>
            <w:r>
              <w:rPr>
                <w:b/>
                <w:color w:val="FFFFFF"/>
                <w:sz w:val="16"/>
              </w:rPr>
              <w:t>Need</w:t>
            </w:r>
          </w:p>
        </w:tc>
        <w:tc>
          <w:tcPr>
            <w:tcW w:type="dxa" w:w="5616"/>
            <w:shd w:fill="1A73E8"/>
            <w:tcMar>
              <w:top w:w="80" w:type="dxa"/>
              <w:start w:w="100" w:type="dxa"/>
              <w:bottom w:w="80" w:type="dxa"/>
              <w:end w:w="100" w:type="dxa"/>
            </w:tcMar>
            <w:vAlign w:val="center"/>
          </w:tcPr>
          <w:p>
            <w:pPr>
              <w:jc w:val="center"/>
            </w:pPr>
            <w:r>
              <w:rPr>
                <w:b/>
                <w:color w:val="FFFFFF"/>
                <w:sz w:val="16"/>
              </w:rPr>
              <w:t>Best Starting Point</w:t>
            </w:r>
          </w:p>
        </w:tc>
      </w:tr>
      <w:tr>
        <w:trPr>
          <w:cantSplit/>
        </w:trPr>
        <w:tc>
          <w:tcPr>
            <w:tcW w:type="dxa" w:w="4032"/>
            <w:tcMar>
              <w:top w:w="80" w:type="dxa"/>
              <w:start w:w="100" w:type="dxa"/>
              <w:bottom w:w="80" w:type="dxa"/>
              <w:end w:w="100" w:type="dxa"/>
            </w:tcMar>
            <w:vAlign w:val="top"/>
          </w:tcPr>
          <w:p>
            <w:pPr>
              <w:spacing w:after="0"/>
            </w:pPr>
            <w:r>
              <w:rPr>
                <w:sz w:val="16"/>
              </w:rPr>
              <w:t>Durable multi-step orchestration</w:t>
            </w:r>
          </w:p>
        </w:tc>
        <w:tc>
          <w:tcPr>
            <w:tcW w:type="dxa" w:w="5616"/>
            <w:tcMar>
              <w:top w:w="80" w:type="dxa"/>
              <w:start w:w="100" w:type="dxa"/>
              <w:bottom w:w="80" w:type="dxa"/>
              <w:end w:w="100" w:type="dxa"/>
            </w:tcMar>
            <w:vAlign w:val="top"/>
          </w:tcPr>
          <w:p>
            <w:pPr>
              <w:spacing w:after="0"/>
            </w:pPr>
            <w:r>
              <w:rPr>
                <w:sz w:val="16"/>
              </w:rPr>
              <w:t>Workflows</w:t>
            </w:r>
          </w:p>
        </w:tc>
      </w:tr>
      <w:tr>
        <w:trPr>
          <w:cantSplit/>
        </w:trPr>
        <w:tc>
          <w:tcPr>
            <w:tcW w:type="dxa" w:w="4032"/>
            <w:tcMar>
              <w:top w:w="80" w:type="dxa"/>
              <w:start w:w="100" w:type="dxa"/>
              <w:bottom w:w="80" w:type="dxa"/>
              <w:end w:w="100" w:type="dxa"/>
            </w:tcMar>
            <w:vAlign w:val="top"/>
          </w:tcPr>
          <w:p>
            <w:pPr>
              <w:spacing w:after="0"/>
            </w:pPr>
            <w:r>
              <w:rPr>
                <w:sz w:val="16"/>
              </w:rPr>
              <w:t>Per-request asynchronous HTTP delivery</w:t>
            </w:r>
          </w:p>
        </w:tc>
        <w:tc>
          <w:tcPr>
            <w:tcW w:type="dxa" w:w="5616"/>
            <w:tcMar>
              <w:top w:w="80" w:type="dxa"/>
              <w:start w:w="100" w:type="dxa"/>
              <w:bottom w:w="80" w:type="dxa"/>
              <w:end w:w="100" w:type="dxa"/>
            </w:tcMar>
            <w:vAlign w:val="top"/>
          </w:tcPr>
          <w:p>
            <w:pPr>
              <w:spacing w:after="0"/>
            </w:pPr>
            <w:r>
              <w:rPr>
                <w:sz w:val="16"/>
              </w:rPr>
              <w:t>Cloud Tasks</w:t>
            </w:r>
          </w:p>
        </w:tc>
      </w:tr>
      <w:tr>
        <w:trPr>
          <w:cantSplit/>
        </w:trPr>
        <w:tc>
          <w:tcPr>
            <w:tcW w:type="dxa" w:w="4032"/>
            <w:tcMar>
              <w:top w:w="80" w:type="dxa"/>
              <w:start w:w="100" w:type="dxa"/>
              <w:bottom w:w="80" w:type="dxa"/>
              <w:end w:w="100" w:type="dxa"/>
            </w:tcMar>
            <w:vAlign w:val="top"/>
          </w:tcPr>
          <w:p>
            <w:pPr>
              <w:spacing w:after="0"/>
            </w:pPr>
            <w:r>
              <w:rPr>
                <w:sz w:val="16"/>
              </w:rPr>
              <w:t>Cron or calendar trigger</w:t>
            </w:r>
          </w:p>
        </w:tc>
        <w:tc>
          <w:tcPr>
            <w:tcW w:type="dxa" w:w="5616"/>
            <w:tcMar>
              <w:top w:w="80" w:type="dxa"/>
              <w:start w:w="100" w:type="dxa"/>
              <w:bottom w:w="80" w:type="dxa"/>
              <w:end w:w="100" w:type="dxa"/>
            </w:tcMar>
            <w:vAlign w:val="top"/>
          </w:tcPr>
          <w:p>
            <w:pPr>
              <w:spacing w:after="0"/>
            </w:pPr>
            <w:r>
              <w:rPr>
                <w:sz w:val="16"/>
              </w:rPr>
              <w:t>Cloud Scheduler</w:t>
            </w:r>
          </w:p>
        </w:tc>
      </w:tr>
      <w:tr>
        <w:trPr>
          <w:cantSplit/>
        </w:trPr>
        <w:tc>
          <w:tcPr>
            <w:tcW w:type="dxa" w:w="4032"/>
            <w:tcMar>
              <w:top w:w="80" w:type="dxa"/>
              <w:start w:w="100" w:type="dxa"/>
              <w:bottom w:w="80" w:type="dxa"/>
              <w:end w:w="100" w:type="dxa"/>
            </w:tcMar>
            <w:vAlign w:val="top"/>
          </w:tcPr>
          <w:p>
            <w:pPr>
              <w:spacing w:after="0"/>
            </w:pPr>
            <w:r>
              <w:rPr>
                <w:sz w:val="16"/>
              </w:rPr>
              <w:t>Fan-out event distribution</w:t>
            </w:r>
          </w:p>
        </w:tc>
        <w:tc>
          <w:tcPr>
            <w:tcW w:type="dxa" w:w="5616"/>
            <w:tcMar>
              <w:top w:w="80" w:type="dxa"/>
              <w:start w:w="100" w:type="dxa"/>
              <w:bottom w:w="80" w:type="dxa"/>
              <w:end w:w="100" w:type="dxa"/>
            </w:tcMar>
            <w:vAlign w:val="top"/>
          </w:tcPr>
          <w:p>
            <w:pPr>
              <w:spacing w:after="0"/>
            </w:pPr>
            <w:r>
              <w:rPr>
                <w:sz w:val="16"/>
              </w:rPr>
              <w:t>Pub/Sub/Eventarc</w:t>
            </w:r>
          </w:p>
        </w:tc>
      </w:tr>
      <w:tr>
        <w:trPr>
          <w:cantSplit/>
        </w:trPr>
        <w:tc>
          <w:tcPr>
            <w:tcW w:type="dxa" w:w="4032"/>
            <w:tcMar>
              <w:top w:w="80" w:type="dxa"/>
              <w:start w:w="100" w:type="dxa"/>
              <w:bottom w:w="80" w:type="dxa"/>
              <w:end w:w="100" w:type="dxa"/>
            </w:tcMar>
            <w:vAlign w:val="top"/>
          </w:tcPr>
          <w:p>
            <w:pPr>
              <w:spacing w:after="0"/>
            </w:pPr>
            <w:r>
              <w:rPr>
                <w:sz w:val="16"/>
              </w:rPr>
              <w:t>Finite parallel batch compute</w:t>
            </w:r>
          </w:p>
        </w:tc>
        <w:tc>
          <w:tcPr>
            <w:tcW w:type="dxa" w:w="5616"/>
            <w:tcMar>
              <w:top w:w="80" w:type="dxa"/>
              <w:start w:w="100" w:type="dxa"/>
              <w:bottom w:w="80" w:type="dxa"/>
              <w:end w:w="100" w:type="dxa"/>
            </w:tcMar>
            <w:vAlign w:val="top"/>
          </w:tcPr>
          <w:p>
            <w:pPr>
              <w:spacing w:after="0"/>
            </w:pPr>
            <w:r>
              <w:rPr>
                <w:sz w:val="16"/>
              </w:rPr>
              <w:t>Cloud Run jobs or managed batch platform</w:t>
            </w:r>
          </w:p>
        </w:tc>
      </w:tr>
      <w:tr>
        <w:trPr>
          <w:cantSplit/>
        </w:trPr>
        <w:tc>
          <w:tcPr>
            <w:tcW w:type="dxa" w:w="4032"/>
            <w:tcMar>
              <w:top w:w="80" w:type="dxa"/>
              <w:start w:w="100" w:type="dxa"/>
              <w:bottom w:w="80" w:type="dxa"/>
              <w:end w:w="100" w:type="dxa"/>
            </w:tcMar>
            <w:vAlign w:val="top"/>
          </w:tcPr>
          <w:p>
            <w:pPr>
              <w:spacing w:after="0"/>
            </w:pPr>
            <w:r>
              <w:rPr>
                <w:sz w:val="16"/>
              </w:rPr>
              <w:t>Human/external callback wait</w:t>
            </w:r>
          </w:p>
        </w:tc>
        <w:tc>
          <w:tcPr>
            <w:tcW w:type="dxa" w:w="5616"/>
            <w:tcMar>
              <w:top w:w="80" w:type="dxa"/>
              <w:start w:w="100" w:type="dxa"/>
              <w:bottom w:w="80" w:type="dxa"/>
              <w:end w:w="100" w:type="dxa"/>
            </w:tcMar>
            <w:vAlign w:val="top"/>
          </w:tcPr>
          <w:p>
            <w:pPr>
              <w:spacing w:after="0"/>
            </w:pPr>
            <w:r>
              <w:rPr>
                <w:sz w:val="16"/>
              </w:rPr>
              <w:t>Workflows callbacks</w:t>
            </w:r>
          </w:p>
        </w:tc>
      </w:tr>
    </w:tbl>
    <w:p>
      <w:pPr>
        <w:spacing w:after="20"/>
      </w:pPr>
    </w:p>
    <w:p>
      <w:pPr>
        <w:pStyle w:val="Heading2"/>
        <w:keepNext/>
      </w:pPr>
      <w:r>
        <w:t>39.2 Workflows Design</w:t>
      </w:r>
    </w:p>
    <w:p>
      <w:pPr>
        <w:spacing w:after="120"/>
      </w:pPr>
      <w:r>
        <w:rPr>
          <w:i w:val="0"/>
        </w:rPr>
        <w:t>Workflows definitions support calls, assignments, conditions, loops, parallel branches, subworkflows, retries, error handling, and returns. Google Cloud connectors simplify API calls and include behavior for retries and long-running operations. Design explicit compensation for operations that cannot be rolled back atomically.</w:t>
      </w:r>
    </w:p>
    <w:p>
      <w:pPr>
        <w:pStyle w:val="ListBullet"/>
        <w:spacing w:after="60"/>
      </w:pPr>
      <w:r>
        <w:t>Use a dedicated workflow service account.</w:t>
      </w:r>
    </w:p>
    <w:p>
      <w:pPr>
        <w:pStyle w:val="ListBullet"/>
        <w:spacing w:after="60"/>
      </w:pPr>
      <w:r>
        <w:t>Pass references, not large sensitive payloads.</w:t>
      </w:r>
    </w:p>
    <w:p>
      <w:pPr>
        <w:pStyle w:val="ListBullet"/>
        <w:spacing w:after="60"/>
      </w:pPr>
      <w:r>
        <w:t>Define retry predicates only for transient and idempotent operations.</w:t>
      </w:r>
    </w:p>
    <w:p>
      <w:pPr>
        <w:pStyle w:val="ListBullet"/>
        <w:spacing w:after="60"/>
      </w:pPr>
      <w:r>
        <w:t>Record business state outside workflow execution history when long-term reconciliation is required.</w:t>
      </w:r>
    </w:p>
    <w:p>
      <w:pPr>
        <w:pStyle w:val="CodeBlock"/>
        <w:keepLines/>
        <w:spacing w:after="120"/>
      </w:pPr>
      <w:r>
        <w:rPr>
          <w:rFonts w:ascii="Cascadia Mono" w:hAnsi="Cascadia Mono"/>
          <w:sz w:val="16"/>
        </w:rPr>
        <w:t>gcloud workflows deploy order-orchestrator --source=workflow.yaml --location=REGION --service-account=workflow-sa@PROJECT.iam.gserviceaccount.com</w:t>
        <w:br/>
        <w:t>gcloud workflows run order-orchestrator --location=REGION --data='{"orderId":"o-123"}'</w:t>
      </w:r>
    </w:p>
    <w:p>
      <w:pPr>
        <w:pStyle w:val="Heading2"/>
        <w:keepNext/>
      </w:pPr>
      <w:r>
        <w:t>39.3 Cloud Tasks Queue Engineering</w:t>
      </w:r>
    </w:p>
    <w:p>
      <w:pPr>
        <w:spacing w:after="120"/>
      </w:pPr>
      <w:r>
        <w:rPr>
          <w:i w:val="0"/>
        </w:rPr>
        <w:t>Cloud Tasks decouples request acceptance from controlled HTTP delivery. Queue dispatch rate and concurrent dispatch limits protect targets. Task names can support bounded deduplication, but business idempotency remains necessary. OIDC-authenticated requests let queues invoke private Cloud Run services.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168"/>
            <w:shd w:fill="1A73E8"/>
            <w:tcMar>
              <w:top w:w="80" w:type="dxa"/>
              <w:start w:w="100" w:type="dxa"/>
              <w:bottom w:w="80" w:type="dxa"/>
              <w:end w:w="100" w:type="dxa"/>
            </w:tcMar>
            <w:vAlign w:val="center"/>
          </w:tcPr>
          <w:p>
            <w:pPr>
              <w:jc w:val="center"/>
            </w:pPr>
            <w:r>
              <w:rPr>
                <w:b/>
                <w:color w:val="FFFFFF"/>
                <w:sz w:val="16"/>
              </w:rPr>
              <w:t>Queue Control</w:t>
            </w:r>
          </w:p>
        </w:tc>
        <w:tc>
          <w:tcPr>
            <w:tcW w:type="dxa" w:w="6480"/>
            <w:shd w:fill="1A73E8"/>
            <w:tcMar>
              <w:top w:w="80" w:type="dxa"/>
              <w:start w:w="100" w:type="dxa"/>
              <w:bottom w:w="80" w:type="dxa"/>
              <w:end w:w="100" w:type="dxa"/>
            </w:tcMar>
            <w:vAlign w:val="center"/>
          </w:tcPr>
          <w:p>
            <w:pPr>
              <w:jc w:val="center"/>
            </w:pPr>
            <w:r>
              <w:rPr>
                <w:b/>
                <w:color w:val="FFFFFF"/>
                <w:sz w:val="16"/>
              </w:rPr>
              <w:t>Purpose</w:t>
            </w:r>
          </w:p>
        </w:tc>
      </w:tr>
      <w:tr>
        <w:trPr>
          <w:cantSplit/>
        </w:trPr>
        <w:tc>
          <w:tcPr>
            <w:tcW w:type="dxa" w:w="3168"/>
            <w:tcMar>
              <w:top w:w="80" w:type="dxa"/>
              <w:start w:w="100" w:type="dxa"/>
              <w:bottom w:w="80" w:type="dxa"/>
              <w:end w:w="100" w:type="dxa"/>
            </w:tcMar>
            <w:vAlign w:val="top"/>
          </w:tcPr>
          <w:p>
            <w:pPr>
              <w:spacing w:after="0"/>
            </w:pPr>
            <w:r>
              <w:rPr>
                <w:sz w:val="16"/>
              </w:rPr>
              <w:t>Dispatch rate</w:t>
            </w:r>
          </w:p>
        </w:tc>
        <w:tc>
          <w:tcPr>
            <w:tcW w:type="dxa" w:w="6480"/>
            <w:tcMar>
              <w:top w:w="80" w:type="dxa"/>
              <w:start w:w="100" w:type="dxa"/>
              <w:bottom w:w="80" w:type="dxa"/>
              <w:end w:w="100" w:type="dxa"/>
            </w:tcMar>
            <w:vAlign w:val="top"/>
          </w:tcPr>
          <w:p>
            <w:pPr>
              <w:spacing w:after="0"/>
            </w:pPr>
            <w:r>
              <w:rPr>
                <w:sz w:val="16"/>
              </w:rPr>
              <w:t>Limit requests per second</w:t>
            </w:r>
          </w:p>
        </w:tc>
      </w:tr>
      <w:tr>
        <w:trPr>
          <w:cantSplit/>
        </w:trPr>
        <w:tc>
          <w:tcPr>
            <w:tcW w:type="dxa" w:w="3168"/>
            <w:tcMar>
              <w:top w:w="80" w:type="dxa"/>
              <w:start w:w="100" w:type="dxa"/>
              <w:bottom w:w="80" w:type="dxa"/>
              <w:end w:w="100" w:type="dxa"/>
            </w:tcMar>
            <w:vAlign w:val="top"/>
          </w:tcPr>
          <w:p>
            <w:pPr>
              <w:spacing w:after="0"/>
            </w:pPr>
            <w:r>
              <w:rPr>
                <w:sz w:val="16"/>
              </w:rPr>
              <w:t>Max concurrent dispatches</w:t>
            </w:r>
          </w:p>
        </w:tc>
        <w:tc>
          <w:tcPr>
            <w:tcW w:type="dxa" w:w="6480"/>
            <w:tcMar>
              <w:top w:w="80" w:type="dxa"/>
              <w:start w:w="100" w:type="dxa"/>
              <w:bottom w:w="80" w:type="dxa"/>
              <w:end w:w="100" w:type="dxa"/>
            </w:tcMar>
            <w:vAlign w:val="top"/>
          </w:tcPr>
          <w:p>
            <w:pPr>
              <w:spacing w:after="0"/>
            </w:pPr>
            <w:r>
              <w:rPr>
                <w:sz w:val="16"/>
              </w:rPr>
              <w:t>Bound in-flight pressure on target</w:t>
            </w:r>
          </w:p>
        </w:tc>
      </w:tr>
      <w:tr>
        <w:trPr>
          <w:cantSplit/>
        </w:trPr>
        <w:tc>
          <w:tcPr>
            <w:tcW w:type="dxa" w:w="3168"/>
            <w:tcMar>
              <w:top w:w="80" w:type="dxa"/>
              <w:start w:w="100" w:type="dxa"/>
              <w:bottom w:w="80" w:type="dxa"/>
              <w:end w:w="100" w:type="dxa"/>
            </w:tcMar>
            <w:vAlign w:val="top"/>
          </w:tcPr>
          <w:p>
            <w:pPr>
              <w:spacing w:after="0"/>
            </w:pPr>
            <w:r>
              <w:rPr>
                <w:sz w:val="16"/>
              </w:rPr>
              <w:t>Retry configuration</w:t>
            </w:r>
          </w:p>
        </w:tc>
        <w:tc>
          <w:tcPr>
            <w:tcW w:type="dxa" w:w="6480"/>
            <w:tcMar>
              <w:top w:w="80" w:type="dxa"/>
              <w:start w:w="100" w:type="dxa"/>
              <w:bottom w:w="80" w:type="dxa"/>
              <w:end w:w="100" w:type="dxa"/>
            </w:tcMar>
            <w:vAlign w:val="top"/>
          </w:tcPr>
          <w:p>
            <w:pPr>
              <w:spacing w:after="0"/>
            </w:pPr>
            <w:r>
              <w:rPr>
                <w:sz w:val="16"/>
              </w:rPr>
              <w:t>Control backoff, attempts, and age</w:t>
            </w:r>
          </w:p>
        </w:tc>
      </w:tr>
      <w:tr>
        <w:trPr>
          <w:cantSplit/>
        </w:trPr>
        <w:tc>
          <w:tcPr>
            <w:tcW w:type="dxa" w:w="3168"/>
            <w:tcMar>
              <w:top w:w="80" w:type="dxa"/>
              <w:start w:w="100" w:type="dxa"/>
              <w:bottom w:w="80" w:type="dxa"/>
              <w:end w:w="100" w:type="dxa"/>
            </w:tcMar>
            <w:vAlign w:val="top"/>
          </w:tcPr>
          <w:p>
            <w:pPr>
              <w:spacing w:after="0"/>
            </w:pPr>
            <w:r>
              <w:rPr>
                <w:sz w:val="16"/>
              </w:rPr>
              <w:t>Task schedule time</w:t>
            </w:r>
          </w:p>
        </w:tc>
        <w:tc>
          <w:tcPr>
            <w:tcW w:type="dxa" w:w="6480"/>
            <w:tcMar>
              <w:top w:w="80" w:type="dxa"/>
              <w:start w:w="100" w:type="dxa"/>
              <w:bottom w:w="80" w:type="dxa"/>
              <w:end w:w="100" w:type="dxa"/>
            </w:tcMar>
            <w:vAlign w:val="top"/>
          </w:tcPr>
          <w:p>
            <w:pPr>
              <w:spacing w:after="0"/>
            </w:pPr>
            <w:r>
              <w:rPr>
                <w:sz w:val="16"/>
              </w:rPr>
              <w:t>Delay delivery until a specific time</w:t>
            </w:r>
          </w:p>
        </w:tc>
      </w:tr>
      <w:tr>
        <w:trPr>
          <w:cantSplit/>
        </w:trPr>
        <w:tc>
          <w:tcPr>
            <w:tcW w:type="dxa" w:w="3168"/>
            <w:tcMar>
              <w:top w:w="80" w:type="dxa"/>
              <w:start w:w="100" w:type="dxa"/>
              <w:bottom w:w="80" w:type="dxa"/>
              <w:end w:w="100" w:type="dxa"/>
            </w:tcMar>
            <w:vAlign w:val="top"/>
          </w:tcPr>
          <w:p>
            <w:pPr>
              <w:spacing w:after="0"/>
            </w:pPr>
            <w:r>
              <w:rPr>
                <w:sz w:val="16"/>
              </w:rPr>
              <w:t>OIDC service account</w:t>
            </w:r>
          </w:p>
        </w:tc>
        <w:tc>
          <w:tcPr>
            <w:tcW w:type="dxa" w:w="6480"/>
            <w:tcMar>
              <w:top w:w="80" w:type="dxa"/>
              <w:start w:w="100" w:type="dxa"/>
              <w:bottom w:w="80" w:type="dxa"/>
              <w:end w:w="100" w:type="dxa"/>
            </w:tcMar>
            <w:vAlign w:val="top"/>
          </w:tcPr>
          <w:p>
            <w:pPr>
              <w:spacing w:after="0"/>
            </w:pPr>
            <w:r>
              <w:rPr>
                <w:sz w:val="16"/>
              </w:rPr>
              <w:t>Authenticate to private HTTP target</w:t>
            </w:r>
          </w:p>
        </w:tc>
      </w:tr>
      <w:tr>
        <w:trPr>
          <w:cantSplit/>
        </w:trPr>
        <w:tc>
          <w:tcPr>
            <w:tcW w:type="dxa" w:w="3168"/>
            <w:tcMar>
              <w:top w:w="80" w:type="dxa"/>
              <w:start w:w="100" w:type="dxa"/>
              <w:bottom w:w="80" w:type="dxa"/>
              <w:end w:w="100" w:type="dxa"/>
            </w:tcMar>
            <w:vAlign w:val="top"/>
          </w:tcPr>
          <w:p>
            <w:pPr>
              <w:spacing w:after="0"/>
            </w:pPr>
            <w:r>
              <w:rPr>
                <w:sz w:val="16"/>
              </w:rPr>
              <w:t>Task name</w:t>
            </w:r>
          </w:p>
        </w:tc>
        <w:tc>
          <w:tcPr>
            <w:tcW w:type="dxa" w:w="6480"/>
            <w:tcMar>
              <w:top w:w="80" w:type="dxa"/>
              <w:start w:w="100" w:type="dxa"/>
              <w:bottom w:w="80" w:type="dxa"/>
              <w:end w:w="100" w:type="dxa"/>
            </w:tcMar>
            <w:vAlign w:val="top"/>
          </w:tcPr>
          <w:p>
            <w:pPr>
              <w:spacing w:after="0"/>
            </w:pPr>
            <w:r>
              <w:rPr>
                <w:sz w:val="16"/>
              </w:rPr>
              <w:t>Support operational traceability and bounded duplicate prevention</w:t>
            </w:r>
          </w:p>
        </w:tc>
      </w:tr>
    </w:tbl>
    <w:p>
      <w:pPr>
        <w:spacing w:after="20"/>
      </w:pPr>
    </w:p>
    <w:p>
      <w:pPr>
        <w:pStyle w:val="Heading2"/>
        <w:keepNext/>
      </w:pPr>
      <w:r>
        <w:t>39.4 Scheduling, Failure, and Reconciliation</w:t>
      </w:r>
    </w:p>
    <w:p>
      <w:pPr>
        <w:spacing w:after="120"/>
      </w:pPr>
      <w:r>
        <w:rPr>
          <w:i w:val="0"/>
        </w:rPr>
        <w:t>Cloud Scheduler invokes HTTP, Pub/Sub, or supported targets on a cron schedule. Scheduled execution is not proof of business completion. Every scheduled process should be idempotent, observable, and reconcilable. For workflows, handle execution concurrency and backlogging deliberately; time-sensitive work may require backlogging to be disabled and alternative admission control.</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Workflow stops after partial success</w:t>
            </w:r>
          </w:p>
        </w:tc>
        <w:tc>
          <w:tcPr>
            <w:tcW w:type="dxa" w:w="2592"/>
            <w:tcMar>
              <w:top w:w="80" w:type="dxa"/>
              <w:start w:w="100" w:type="dxa"/>
              <w:bottom w:w="80" w:type="dxa"/>
              <w:end w:w="100" w:type="dxa"/>
            </w:tcMar>
            <w:vAlign w:val="top"/>
          </w:tcPr>
          <w:p>
            <w:pPr>
              <w:spacing w:after="0"/>
            </w:pPr>
            <w:r>
              <w:rPr>
                <w:sz w:val="16"/>
              </w:rPr>
              <w:t>Unhandled error or no compensation path</w:t>
            </w:r>
          </w:p>
        </w:tc>
        <w:tc>
          <w:tcPr>
            <w:tcW w:type="dxa" w:w="5328"/>
            <w:tcMar>
              <w:top w:w="80" w:type="dxa"/>
              <w:start w:w="100" w:type="dxa"/>
              <w:bottom w:w="80" w:type="dxa"/>
              <w:end w:w="100" w:type="dxa"/>
            </w:tcMar>
            <w:vAlign w:val="top"/>
          </w:tcPr>
          <w:p>
            <w:pPr>
              <w:spacing w:after="0"/>
            </w:pPr>
            <w:r>
              <w:rPr>
                <w:sz w:val="16"/>
              </w:rPr>
              <w:t>Inspect execution step/error; execute compensation or reconciliation and update retry policy.</w:t>
            </w:r>
          </w:p>
        </w:tc>
      </w:tr>
      <w:tr>
        <w:trPr>
          <w:cantSplit/>
        </w:trPr>
        <w:tc>
          <w:tcPr>
            <w:tcW w:type="dxa" w:w="2160"/>
            <w:tcMar>
              <w:top w:w="80" w:type="dxa"/>
              <w:start w:w="100" w:type="dxa"/>
              <w:bottom w:w="80" w:type="dxa"/>
              <w:end w:w="100" w:type="dxa"/>
            </w:tcMar>
            <w:vAlign w:val="top"/>
          </w:tcPr>
          <w:p>
            <w:pPr>
              <w:spacing w:after="0"/>
            </w:pPr>
            <w:r>
              <w:rPr>
                <w:sz w:val="16"/>
              </w:rPr>
              <w:t>Tasks overload target</w:t>
            </w:r>
          </w:p>
        </w:tc>
        <w:tc>
          <w:tcPr>
            <w:tcW w:type="dxa" w:w="2592"/>
            <w:tcMar>
              <w:top w:w="80" w:type="dxa"/>
              <w:start w:w="100" w:type="dxa"/>
              <w:bottom w:w="80" w:type="dxa"/>
              <w:end w:w="100" w:type="dxa"/>
            </w:tcMar>
            <w:vAlign w:val="top"/>
          </w:tcPr>
          <w:p>
            <w:pPr>
              <w:spacing w:after="0"/>
            </w:pPr>
            <w:r>
              <w:rPr>
                <w:sz w:val="16"/>
              </w:rPr>
              <w:t>Dispatch/concurrency too high or target autoscaling unbounded</w:t>
            </w:r>
          </w:p>
        </w:tc>
        <w:tc>
          <w:tcPr>
            <w:tcW w:type="dxa" w:w="5328"/>
            <w:tcMar>
              <w:top w:w="80" w:type="dxa"/>
              <w:start w:w="100" w:type="dxa"/>
              <w:bottom w:w="80" w:type="dxa"/>
              <w:end w:w="100" w:type="dxa"/>
            </w:tcMar>
            <w:vAlign w:val="top"/>
          </w:tcPr>
          <w:p>
            <w:pPr>
              <w:spacing w:after="0"/>
            </w:pPr>
            <w:r>
              <w:rPr>
                <w:sz w:val="16"/>
              </w:rPr>
              <w:t>Reduce queue rate/concurrency, cap target instances, and measure dependency capacity.</w:t>
            </w:r>
          </w:p>
        </w:tc>
      </w:tr>
      <w:tr>
        <w:trPr>
          <w:cantSplit/>
        </w:trPr>
        <w:tc>
          <w:tcPr>
            <w:tcW w:type="dxa" w:w="2160"/>
            <w:tcMar>
              <w:top w:w="80" w:type="dxa"/>
              <w:start w:w="100" w:type="dxa"/>
              <w:bottom w:w="80" w:type="dxa"/>
              <w:end w:w="100" w:type="dxa"/>
            </w:tcMar>
            <w:vAlign w:val="top"/>
          </w:tcPr>
          <w:p>
            <w:pPr>
              <w:spacing w:after="0"/>
            </w:pPr>
            <w:r>
              <w:rPr>
                <w:sz w:val="16"/>
              </w:rPr>
              <w:t>Scheduled job runs twice</w:t>
            </w:r>
          </w:p>
        </w:tc>
        <w:tc>
          <w:tcPr>
            <w:tcW w:type="dxa" w:w="2592"/>
            <w:tcMar>
              <w:top w:w="80" w:type="dxa"/>
              <w:start w:w="100" w:type="dxa"/>
              <w:bottom w:w="80" w:type="dxa"/>
              <w:end w:w="100" w:type="dxa"/>
            </w:tcMar>
            <w:vAlign w:val="top"/>
          </w:tcPr>
          <w:p>
            <w:pPr>
              <w:spacing w:after="0"/>
            </w:pPr>
            <w:r>
              <w:rPr>
                <w:sz w:val="16"/>
              </w:rPr>
              <w:t>Retry, manual run, overlapping schedule, or clock assumptions</w:t>
            </w:r>
          </w:p>
        </w:tc>
        <w:tc>
          <w:tcPr>
            <w:tcW w:type="dxa" w:w="5328"/>
            <w:tcMar>
              <w:top w:w="80" w:type="dxa"/>
              <w:start w:w="100" w:type="dxa"/>
              <w:bottom w:w="80" w:type="dxa"/>
              <w:end w:w="100" w:type="dxa"/>
            </w:tcMar>
            <w:vAlign w:val="top"/>
          </w:tcPr>
          <w:p>
            <w:pPr>
              <w:spacing w:after="0"/>
            </w:pPr>
            <w:r>
              <w:rPr>
                <w:sz w:val="16"/>
              </w:rPr>
              <w:t>Use business-period idempotency key and lease/lock; reconcile outputs.</w:t>
            </w:r>
          </w:p>
        </w:tc>
      </w:tr>
      <w:tr>
        <w:trPr>
          <w:cantSplit/>
        </w:trPr>
        <w:tc>
          <w:tcPr>
            <w:tcW w:type="dxa" w:w="2160"/>
            <w:tcMar>
              <w:top w:w="80" w:type="dxa"/>
              <w:start w:w="100" w:type="dxa"/>
              <w:bottom w:w="80" w:type="dxa"/>
              <w:end w:w="100" w:type="dxa"/>
            </w:tcMar>
            <w:vAlign w:val="top"/>
          </w:tcPr>
          <w:p>
            <w:pPr>
              <w:spacing w:after="0"/>
            </w:pPr>
            <w:r>
              <w:rPr>
                <w:sz w:val="16"/>
              </w:rPr>
              <w:t>Workflow receives 429</w:t>
            </w:r>
          </w:p>
        </w:tc>
        <w:tc>
          <w:tcPr>
            <w:tcW w:type="dxa" w:w="2592"/>
            <w:tcMar>
              <w:top w:w="80" w:type="dxa"/>
              <w:start w:w="100" w:type="dxa"/>
              <w:bottom w:w="80" w:type="dxa"/>
              <w:end w:w="100" w:type="dxa"/>
            </w:tcMar>
            <w:vAlign w:val="top"/>
          </w:tcPr>
          <w:p>
            <w:pPr>
              <w:spacing w:after="0"/>
            </w:pPr>
            <w:r>
              <w:rPr>
                <w:sz w:val="16"/>
              </w:rPr>
              <w:t>Execution concurrency quota or downstream quota</w:t>
            </w:r>
          </w:p>
        </w:tc>
        <w:tc>
          <w:tcPr>
            <w:tcW w:type="dxa" w:w="5328"/>
            <w:tcMar>
              <w:top w:w="80" w:type="dxa"/>
              <w:start w:w="100" w:type="dxa"/>
              <w:bottom w:w="80" w:type="dxa"/>
              <w:end w:w="100" w:type="dxa"/>
            </w:tcMar>
            <w:vAlign w:val="top"/>
          </w:tcPr>
          <w:p>
            <w:pPr>
              <w:spacing w:after="0"/>
            </w:pPr>
            <w:r>
              <w:rPr>
                <w:sz w:val="16"/>
              </w:rPr>
              <w:t>Inspect execution/backlog state and quotas; throttle intake, enable/disable backlogging appropriately, or batch.</w:t>
            </w:r>
          </w:p>
        </w:tc>
      </w:tr>
    </w:tbl>
    <w:p>
      <w:pPr>
        <w:spacing w:after="20"/>
      </w:pPr>
    </w:p>
    <w:p>
      <w:pPr>
        <w:pStyle w:val="Heading2"/>
        <w:keepNext/>
      </w:pPr>
      <w:r>
        <w:t>Hands-on Lab 39: Build a Durable Order Orchestration</w:t>
      </w:r>
    </w:p>
    <w:p>
      <w:pPr>
        <w:pStyle w:val="Heading3"/>
        <w:keepNext/>
      </w:pPr>
      <w:r>
        <w:t>Prerequisites</w:t>
      </w:r>
    </w:p>
    <w:p>
      <w:pPr>
        <w:pStyle w:val="ListBullet"/>
        <w:spacing w:after="60"/>
      </w:pPr>
      <w:r>
        <w:t>Workflows, Cloud Tasks, Cloud Scheduler, two small private Cloud Run endpoints, and a state store.</w:t>
      </w:r>
    </w:p>
    <w:p>
      <w:pPr>
        <w:pStyle w:val="Heading3"/>
        <w:keepNext/>
      </w:pPr>
      <w:r>
        <w:t>Implementation</w:t>
      </w:r>
    </w:p>
    <w:p>
      <w:pPr>
        <w:spacing w:after="60"/>
        <w:ind w:left="360" w:hanging="259"/>
      </w:pPr>
      <w:r>
        <w:rPr>
          <w:b/>
        </w:rPr>
        <w:t xml:space="preserve">1. </w:t>
      </w:r>
      <w:r>
        <w:t>Define an order state machine with reserve, charge, fulfill, and compensate outcomes.</w:t>
      </w:r>
    </w:p>
    <w:p>
      <w:pPr>
        <w:spacing w:after="60"/>
        <w:ind w:left="360" w:hanging="259"/>
      </w:pPr>
      <w:r>
        <w:rPr>
          <w:b/>
        </w:rPr>
        <w:t xml:space="preserve">2. </w:t>
      </w:r>
      <w:r>
        <w:t>Implement reserve and fulfill endpoints as idempotent private Cloud Run services.</w:t>
      </w:r>
    </w:p>
    <w:p>
      <w:pPr>
        <w:spacing w:after="60"/>
        <w:ind w:left="360" w:hanging="259"/>
      </w:pPr>
      <w:r>
        <w:rPr>
          <w:b/>
        </w:rPr>
        <w:t xml:space="preserve">3. </w:t>
      </w:r>
      <w:r>
        <w:t>Create a Workflows definition using connectors/HTTP calls, bounded retries, and compensation.</w:t>
      </w:r>
    </w:p>
    <w:p>
      <w:pPr>
        <w:spacing w:after="60"/>
        <w:ind w:left="360" w:hanging="259"/>
      </w:pPr>
      <w:r>
        <w:rPr>
          <w:b/>
        </w:rPr>
        <w:t xml:space="preserve">4. </w:t>
      </w:r>
      <w:r>
        <w:t>Use Cloud Tasks to deliver one slow step with queue rate and OIDC authentication.</w:t>
      </w:r>
    </w:p>
    <w:p>
      <w:pPr>
        <w:spacing w:after="60"/>
        <w:ind w:left="360" w:hanging="259"/>
      </w:pPr>
      <w:r>
        <w:rPr>
          <w:b/>
        </w:rPr>
        <w:t xml:space="preserve">5. </w:t>
      </w:r>
      <w:r>
        <w:t>Create a Cloud Scheduler reconciliation trigger for incomplete orders.</w:t>
      </w:r>
    </w:p>
    <w:p>
      <w:pPr>
        <w:spacing w:after="60"/>
        <w:ind w:left="360" w:hanging="259"/>
      </w:pPr>
      <w:r>
        <w:rPr>
          <w:b/>
        </w:rPr>
        <w:t xml:space="preserve">6. </w:t>
      </w:r>
      <w:r>
        <w:t>Inject transient, permanent, duplicate, and timeout failures.</w:t>
      </w:r>
    </w:p>
    <w:p>
      <w:pPr>
        <w:spacing w:after="60"/>
        <w:ind w:left="360" w:hanging="259"/>
      </w:pPr>
      <w:r>
        <w:rPr>
          <w:b/>
        </w:rPr>
        <w:t xml:space="preserve">7. </w:t>
      </w:r>
      <w:r>
        <w:t>Capture workflow execution, task attempt, service trace, and final business-state evidence.</w:t>
      </w:r>
    </w:p>
    <w:p>
      <w:pPr>
        <w:pStyle w:val="Heading3"/>
        <w:keepNext/>
      </w:pPr>
      <w:r>
        <w:t>Validation Evidence</w:t>
      </w:r>
    </w:p>
    <w:p>
      <w:pPr>
        <w:pStyle w:val="ListBullet"/>
        <w:spacing w:after="60"/>
      </w:pPr>
      <w:r>
        <w:t>Transient failures retry without duplicate effects.</w:t>
      </w:r>
    </w:p>
    <w:p>
      <w:pPr>
        <w:pStyle w:val="ListBullet"/>
        <w:spacing w:after="60"/>
      </w:pPr>
      <w:r>
        <w:t>Permanent failure executes compensation or terminal reconciliation.</w:t>
      </w:r>
    </w:p>
    <w:p>
      <w:pPr>
        <w:pStyle w:val="ListBullet"/>
        <w:spacing w:after="60"/>
      </w:pPr>
      <w:r>
        <w:t>Queue limits protect the target.</w:t>
      </w:r>
    </w:p>
    <w:p>
      <w:pPr>
        <w:pStyle w:val="ListBullet"/>
        <w:spacing w:after="60"/>
      </w:pPr>
      <w:r>
        <w:t>Scheduled reconciliation repairs or reports incomplete state.</w:t>
      </w:r>
    </w:p>
    <w:p>
      <w:pPr>
        <w:pStyle w:val="Heading3"/>
        <w:keepNext/>
      </w:pPr>
      <w:r>
        <w:t>Cleanup</w:t>
      </w:r>
    </w:p>
    <w:p>
      <w:pPr>
        <w:pStyle w:val="ListBullet"/>
        <w:spacing w:after="60"/>
      </w:pPr>
      <w:r>
        <w:t>Delete workflows, queues, tasks, schedules, services, state records, service accounts, and test logs where appropriate.</w:t>
      </w:r>
    </w:p>
    <w:p>
      <w:pPr>
        <w:pStyle w:val="Heading2"/>
        <w:keepNext/>
      </w:pPr>
      <w:r>
        <w:t>Interview Questions and Model Answers</w:t>
      </w:r>
    </w:p>
    <w:p>
      <w:pPr>
        <w:spacing w:after="40"/>
      </w:pPr>
      <w:r>
        <w:rPr>
          <w:b/>
        </w:rPr>
        <w:t>1. When use Workflows instead of Pub/Sub?</w:t>
      </w:r>
    </w:p>
    <w:p>
      <w:pPr>
        <w:spacing w:after="120"/>
        <w:ind w:left="216"/>
      </w:pPr>
      <w:r>
        <w:t>When a durable central sequence, branching, error handling, or compensation across services is required.</w:t>
      </w:r>
    </w:p>
    <w:p>
      <w:pPr>
        <w:spacing w:after="40"/>
      </w:pPr>
      <w:r>
        <w:rPr>
          <w:b/>
        </w:rPr>
        <w:t>2. Why use Cloud Tasks?</w:t>
      </w:r>
    </w:p>
    <w:p>
      <w:pPr>
        <w:spacing w:after="120"/>
        <w:ind w:left="216"/>
      </w:pPr>
      <w:r>
        <w:t>To deliver individual HTTP work asynchronously with controlled rate, concurrency, scheduling, authentication, and retry.</w:t>
      </w:r>
    </w:p>
    <w:p>
      <w:pPr>
        <w:spacing w:after="40"/>
      </w:pPr>
      <w:r>
        <w:rPr>
          <w:b/>
        </w:rPr>
        <w:t>3. Does Cloud Scheduler guarantee exactly one execution?</w:t>
      </w:r>
    </w:p>
    <w:p>
      <w:pPr>
        <w:spacing w:after="120"/>
        <w:ind w:left="216"/>
      </w:pPr>
      <w:r>
        <w:t>No. Scheduled targets must be idempotent and reconcilable.</w:t>
      </w:r>
    </w:p>
    <w:p>
      <w:pPr>
        <w:spacing w:after="40"/>
      </w:pPr>
      <w:r>
        <w:rPr>
          <w:b/>
        </w:rPr>
        <w:t>4. What is compensation?</w:t>
      </w:r>
    </w:p>
    <w:p>
      <w:pPr>
        <w:spacing w:after="120"/>
        <w:ind w:left="216"/>
      </w:pPr>
      <w:r>
        <w:t>A business operation that semantically reverses or mitigates a completed step when a later step fails.</w:t>
      </w:r>
    </w:p>
    <w:p>
      <w:pPr>
        <w:pStyle w:val="Heading2"/>
        <w:keepNext/>
      </w:pPr>
      <w:r>
        <w:t>Chapter Summary</w:t>
      </w:r>
    </w:p>
    <w:p>
      <w:pPr>
        <w:pStyle w:val="ListBullet"/>
        <w:spacing w:after="60"/>
      </w:pPr>
      <w:r>
        <w:t>Use orchestration, queues, events, schedules, and jobs for their intended semantics.</w:t>
      </w:r>
    </w:p>
    <w:p>
      <w:pPr>
        <w:pStyle w:val="ListBullet"/>
        <w:spacing w:after="60"/>
      </w:pPr>
      <w:r>
        <w:t>Retries require idempotency and error classification.</w:t>
      </w:r>
    </w:p>
    <w:p>
      <w:pPr>
        <w:pStyle w:val="ListBullet"/>
        <w:spacing w:after="60"/>
      </w:pPr>
      <w:r>
        <w:t>Queue limits are dependency-protection controls.</w:t>
      </w:r>
    </w:p>
    <w:p>
      <w:pPr>
        <w:pStyle w:val="ListBullet"/>
        <w:spacing w:after="60"/>
      </w:pPr>
      <w:r>
        <w:t>Reconciliation closes gaps that distributed transactions cannot eliminate.</w:t>
      </w:r>
    </w:p>
    <w:p>
      <w:pPr>
        <w:pStyle w:val="Heading1"/>
        <w:keepNext/>
        <w:pageBreakBefore/>
      </w:pPr>
      <w:r>
        <w:t>Chapter 40 - Enterprise Cloud-Native Application Architecture and Capstone</w:t>
      </w:r>
    </w:p>
    <w:p>
      <w:pPr>
        <w:spacing w:after="120"/>
      </w:pPr>
      <w:r>
        <w:rPr>
          <w:i/>
          <w:color w:val="505050"/>
        </w:rPr>
        <w:t>Integrating supply chain, GKE, Cloud Run, APIs, events, workflows, security, and operations</w:t>
      </w:r>
    </w:p>
    <w:p>
      <w:pPr>
        <w:pStyle w:val="Heading2"/>
        <w:keepNext/>
      </w:pPr>
      <w:r>
        <w:t>Learning Objectives</w:t>
      </w:r>
    </w:p>
    <w:p>
      <w:pPr>
        <w:pStyle w:val="ListBullet"/>
        <w:spacing w:after="60"/>
      </w:pPr>
      <w:r>
        <w:t>Design a multi-runtime application platform with explicit service-selection decisions.</w:t>
      </w:r>
    </w:p>
    <w:p>
      <w:pPr>
        <w:pStyle w:val="ListBullet"/>
        <w:spacing w:after="60"/>
      </w:pPr>
      <w:r>
        <w:t>Integrate identity, networking, API, messaging, eventing, orchestration, and data controls.</w:t>
      </w:r>
    </w:p>
    <w:p>
      <w:pPr>
        <w:pStyle w:val="ListBullet"/>
        <w:spacing w:after="60"/>
      </w:pPr>
      <w:r>
        <w:t>Define SLOs, rollout, rollback, DR, incident response, and cost governance.</w:t>
      </w:r>
    </w:p>
    <w:p>
      <w:pPr>
        <w:pStyle w:val="ListBullet"/>
        <w:spacing w:after="60"/>
      </w:pPr>
      <w:r>
        <w:t>Produce portfolio-grade architecture and validation evidence.</w:t>
      </w:r>
    </w:p>
    <w:p>
      <w:pPr>
        <w:pStyle w:val="Heading2"/>
        <w:keepNext/>
      </w:pPr>
      <w:r>
        <w:t>40.1 Reference Architecture</w:t>
      </w:r>
    </w:p>
    <w:p>
      <w:pPr>
        <w:spacing w:after="120"/>
      </w:pPr>
      <w:r>
        <w:rPr>
          <w:i w:val="0"/>
        </w:rPr>
        <w:t>The capstone uses a global commerce platform: public API entry, private synchronous services, asynchronous order events, workflow-based fulfillment, scheduled reconciliation, and analytics export. GKE hosts specialized services requiring Kubernetes; Cloud Run hosts request-driven services and jobs; functions handle narrow events; Pub/Sub and Eventarc decouple producers; Workflows coordinates business steps.</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592"/>
            <w:shd w:fill="1A73E8"/>
            <w:tcMar>
              <w:top w:w="80" w:type="dxa"/>
              <w:start w:w="100" w:type="dxa"/>
              <w:bottom w:w="80" w:type="dxa"/>
              <w:end w:w="100" w:type="dxa"/>
            </w:tcMar>
            <w:vAlign w:val="center"/>
          </w:tcPr>
          <w:p>
            <w:pPr>
              <w:jc w:val="center"/>
            </w:pPr>
            <w:r>
              <w:rPr>
                <w:b/>
                <w:color w:val="FFFFFF"/>
                <w:sz w:val="16"/>
              </w:rPr>
              <w:t>Layer</w:t>
            </w:r>
          </w:p>
        </w:tc>
        <w:tc>
          <w:tcPr>
            <w:tcW w:type="dxa" w:w="7056"/>
            <w:shd w:fill="1A73E8"/>
            <w:tcMar>
              <w:top w:w="80" w:type="dxa"/>
              <w:start w:w="100" w:type="dxa"/>
              <w:bottom w:w="80" w:type="dxa"/>
              <w:end w:w="100" w:type="dxa"/>
            </w:tcMar>
            <w:vAlign w:val="center"/>
          </w:tcPr>
          <w:p>
            <w:pPr>
              <w:jc w:val="center"/>
            </w:pPr>
            <w:r>
              <w:rPr>
                <w:b/>
                <w:color w:val="FFFFFF"/>
                <w:sz w:val="16"/>
              </w:rPr>
              <w:t>Reference Control</w:t>
            </w:r>
          </w:p>
        </w:tc>
      </w:tr>
      <w:tr>
        <w:trPr>
          <w:cantSplit/>
        </w:trPr>
        <w:tc>
          <w:tcPr>
            <w:tcW w:type="dxa" w:w="2592"/>
            <w:tcMar>
              <w:top w:w="80" w:type="dxa"/>
              <w:start w:w="100" w:type="dxa"/>
              <w:bottom w:w="80" w:type="dxa"/>
              <w:end w:w="100" w:type="dxa"/>
            </w:tcMar>
            <w:vAlign w:val="top"/>
          </w:tcPr>
          <w:p>
            <w:pPr>
              <w:spacing w:after="0"/>
            </w:pPr>
            <w:r>
              <w:rPr>
                <w:sz w:val="16"/>
              </w:rPr>
              <w:t>Supply chain</w:t>
            </w:r>
          </w:p>
        </w:tc>
        <w:tc>
          <w:tcPr>
            <w:tcW w:type="dxa" w:w="7056"/>
            <w:tcMar>
              <w:top w:w="80" w:type="dxa"/>
              <w:start w:w="100" w:type="dxa"/>
              <w:bottom w:w="80" w:type="dxa"/>
              <w:end w:w="100" w:type="dxa"/>
            </w:tcMar>
            <w:vAlign w:val="top"/>
          </w:tcPr>
          <w:p>
            <w:pPr>
              <w:spacing w:after="0"/>
            </w:pPr>
            <w:r>
              <w:rPr>
                <w:sz w:val="16"/>
              </w:rPr>
              <w:t>Artifact Registry, immutable digests, scan/provenance, Binary Authorization</w:t>
            </w:r>
          </w:p>
        </w:tc>
      </w:tr>
      <w:tr>
        <w:trPr>
          <w:cantSplit/>
        </w:trPr>
        <w:tc>
          <w:tcPr>
            <w:tcW w:type="dxa" w:w="2592"/>
            <w:tcMar>
              <w:top w:w="80" w:type="dxa"/>
              <w:start w:w="100" w:type="dxa"/>
              <w:bottom w:w="80" w:type="dxa"/>
              <w:end w:w="100" w:type="dxa"/>
            </w:tcMar>
            <w:vAlign w:val="top"/>
          </w:tcPr>
          <w:p>
            <w:pPr>
              <w:spacing w:after="0"/>
            </w:pPr>
            <w:r>
              <w:rPr>
                <w:sz w:val="16"/>
              </w:rPr>
              <w:t>Runtime</w:t>
            </w:r>
          </w:p>
        </w:tc>
        <w:tc>
          <w:tcPr>
            <w:tcW w:type="dxa" w:w="7056"/>
            <w:tcMar>
              <w:top w:w="80" w:type="dxa"/>
              <w:start w:w="100" w:type="dxa"/>
              <w:bottom w:w="80" w:type="dxa"/>
              <w:end w:w="100" w:type="dxa"/>
            </w:tcMar>
            <w:vAlign w:val="top"/>
          </w:tcPr>
          <w:p>
            <w:pPr>
              <w:spacing w:after="0"/>
            </w:pPr>
            <w:r>
              <w:rPr>
                <w:sz w:val="16"/>
              </w:rPr>
              <w:t>GKE for Kubernetes needs; Cloud Run for managed containers; functions for narrow handlers</w:t>
            </w:r>
          </w:p>
        </w:tc>
      </w:tr>
      <w:tr>
        <w:trPr>
          <w:cantSplit/>
        </w:trPr>
        <w:tc>
          <w:tcPr>
            <w:tcW w:type="dxa" w:w="2592"/>
            <w:tcMar>
              <w:top w:w="80" w:type="dxa"/>
              <w:start w:w="100" w:type="dxa"/>
              <w:bottom w:w="80" w:type="dxa"/>
              <w:end w:w="100" w:type="dxa"/>
            </w:tcMar>
            <w:vAlign w:val="top"/>
          </w:tcPr>
          <w:p>
            <w:pPr>
              <w:spacing w:after="0"/>
            </w:pPr>
            <w:r>
              <w:rPr>
                <w:sz w:val="16"/>
              </w:rPr>
              <w:t>API</w:t>
            </w:r>
          </w:p>
        </w:tc>
        <w:tc>
          <w:tcPr>
            <w:tcW w:type="dxa" w:w="7056"/>
            <w:tcMar>
              <w:top w:w="80" w:type="dxa"/>
              <w:start w:w="100" w:type="dxa"/>
              <w:bottom w:w="80" w:type="dxa"/>
              <w:end w:w="100" w:type="dxa"/>
            </w:tcMar>
            <w:vAlign w:val="top"/>
          </w:tcPr>
          <w:p>
            <w:pPr>
              <w:spacing w:after="0"/>
            </w:pPr>
            <w:r>
              <w:rPr>
                <w:sz w:val="16"/>
              </w:rPr>
              <w:t>API Gateway or Apigee with private backends and product quotas</w:t>
            </w:r>
          </w:p>
        </w:tc>
      </w:tr>
      <w:tr>
        <w:trPr>
          <w:cantSplit/>
        </w:trPr>
        <w:tc>
          <w:tcPr>
            <w:tcW w:type="dxa" w:w="2592"/>
            <w:tcMar>
              <w:top w:w="80" w:type="dxa"/>
              <w:start w:w="100" w:type="dxa"/>
              <w:bottom w:w="80" w:type="dxa"/>
              <w:end w:w="100" w:type="dxa"/>
            </w:tcMar>
            <w:vAlign w:val="top"/>
          </w:tcPr>
          <w:p>
            <w:pPr>
              <w:spacing w:after="0"/>
            </w:pPr>
            <w:r>
              <w:rPr>
                <w:sz w:val="16"/>
              </w:rPr>
              <w:t>Async/event</w:t>
            </w:r>
          </w:p>
        </w:tc>
        <w:tc>
          <w:tcPr>
            <w:tcW w:type="dxa" w:w="7056"/>
            <w:tcMar>
              <w:top w:w="80" w:type="dxa"/>
              <w:start w:w="100" w:type="dxa"/>
              <w:bottom w:w="80" w:type="dxa"/>
              <w:end w:w="100" w:type="dxa"/>
            </w:tcMar>
            <w:vAlign w:val="top"/>
          </w:tcPr>
          <w:p>
            <w:pPr>
              <w:spacing w:after="0"/>
            </w:pPr>
            <w:r>
              <w:rPr>
                <w:sz w:val="16"/>
              </w:rPr>
              <w:t>Pub/Sub, Eventarc contracts, dead-letter, replay, idempotency</w:t>
            </w:r>
          </w:p>
        </w:tc>
      </w:tr>
      <w:tr>
        <w:trPr>
          <w:cantSplit/>
        </w:trPr>
        <w:tc>
          <w:tcPr>
            <w:tcW w:type="dxa" w:w="2592"/>
            <w:tcMar>
              <w:top w:w="80" w:type="dxa"/>
              <w:start w:w="100" w:type="dxa"/>
              <w:bottom w:w="80" w:type="dxa"/>
              <w:end w:w="100" w:type="dxa"/>
            </w:tcMar>
            <w:vAlign w:val="top"/>
          </w:tcPr>
          <w:p>
            <w:pPr>
              <w:spacing w:after="0"/>
            </w:pPr>
            <w:r>
              <w:rPr>
                <w:sz w:val="16"/>
              </w:rPr>
              <w:t>Orchestration</w:t>
            </w:r>
          </w:p>
        </w:tc>
        <w:tc>
          <w:tcPr>
            <w:tcW w:type="dxa" w:w="7056"/>
            <w:tcMar>
              <w:top w:w="80" w:type="dxa"/>
              <w:start w:w="100" w:type="dxa"/>
              <w:bottom w:w="80" w:type="dxa"/>
              <w:end w:w="100" w:type="dxa"/>
            </w:tcMar>
            <w:vAlign w:val="top"/>
          </w:tcPr>
          <w:p>
            <w:pPr>
              <w:spacing w:after="0"/>
            </w:pPr>
            <w:r>
              <w:rPr>
                <w:sz w:val="16"/>
              </w:rPr>
              <w:t>Workflows, Cloud Tasks, Scheduler reconciliation</w:t>
            </w:r>
          </w:p>
        </w:tc>
      </w:tr>
      <w:tr>
        <w:trPr>
          <w:cantSplit/>
        </w:trPr>
        <w:tc>
          <w:tcPr>
            <w:tcW w:type="dxa" w:w="2592"/>
            <w:tcMar>
              <w:top w:w="80" w:type="dxa"/>
              <w:start w:w="100" w:type="dxa"/>
              <w:bottom w:w="80" w:type="dxa"/>
              <w:end w:w="100" w:type="dxa"/>
            </w:tcMar>
            <w:vAlign w:val="top"/>
          </w:tcPr>
          <w:p>
            <w:pPr>
              <w:spacing w:after="0"/>
            </w:pPr>
            <w:r>
              <w:rPr>
                <w:sz w:val="16"/>
              </w:rPr>
              <w:t>Identity/network</w:t>
            </w:r>
          </w:p>
        </w:tc>
        <w:tc>
          <w:tcPr>
            <w:tcW w:type="dxa" w:w="7056"/>
            <w:tcMar>
              <w:top w:w="80" w:type="dxa"/>
              <w:start w:w="100" w:type="dxa"/>
              <w:bottom w:w="80" w:type="dxa"/>
              <w:end w:w="100" w:type="dxa"/>
            </w:tcMar>
            <w:vAlign w:val="top"/>
          </w:tcPr>
          <w:p>
            <w:pPr>
              <w:spacing w:after="0"/>
            </w:pPr>
            <w:r>
              <w:rPr>
                <w:sz w:val="16"/>
              </w:rPr>
              <w:t>Workload identities, private ingress, Direct VPC/GKE networking, least privilege</w:t>
            </w:r>
          </w:p>
        </w:tc>
      </w:tr>
      <w:tr>
        <w:trPr>
          <w:cantSplit/>
        </w:trPr>
        <w:tc>
          <w:tcPr>
            <w:tcW w:type="dxa" w:w="2592"/>
            <w:tcMar>
              <w:top w:w="80" w:type="dxa"/>
              <w:start w:w="100" w:type="dxa"/>
              <w:bottom w:w="80" w:type="dxa"/>
              <w:end w:w="100" w:type="dxa"/>
            </w:tcMar>
            <w:vAlign w:val="top"/>
          </w:tcPr>
          <w:p>
            <w:pPr>
              <w:spacing w:after="0"/>
            </w:pPr>
            <w:r>
              <w:rPr>
                <w:sz w:val="16"/>
              </w:rPr>
              <w:t>Operations</w:t>
            </w:r>
          </w:p>
        </w:tc>
        <w:tc>
          <w:tcPr>
            <w:tcW w:type="dxa" w:w="7056"/>
            <w:tcMar>
              <w:top w:w="80" w:type="dxa"/>
              <w:start w:w="100" w:type="dxa"/>
              <w:bottom w:w="80" w:type="dxa"/>
              <w:end w:w="100" w:type="dxa"/>
            </w:tcMar>
            <w:vAlign w:val="top"/>
          </w:tcPr>
          <w:p>
            <w:pPr>
              <w:spacing w:after="0"/>
            </w:pPr>
            <w:r>
              <w:rPr>
                <w:sz w:val="16"/>
              </w:rPr>
              <w:t>SLOs, tracing, dashboards, canaries, game days, cost allocation</w:t>
            </w:r>
          </w:p>
        </w:tc>
      </w:tr>
    </w:tbl>
    <w:p>
      <w:pPr>
        <w:spacing w:after="20"/>
      </w:pPr>
    </w:p>
    <w:p>
      <w:pPr>
        <w:pStyle w:val="Heading2"/>
        <w:keepNext/>
      </w:pPr>
      <w:r>
        <w:t>40.2 Architecture Decision Records</w:t>
      </w:r>
    </w:p>
    <w:p>
      <w:pPr>
        <w:spacing w:after="120"/>
      </w:pPr>
      <w:r>
        <w:rPr>
          <w:i w:val="0"/>
        </w:rPr>
        <w:t>Every service choice must include context, options, decision, consequences, security, cost, reversibility, and validation. Avoid choosing GKE because it is familiar or serverless because it is easy. Match runtime to operational control, workload shape, portability, latency, scaling, compliance, and team capability.</w:t>
      </w:r>
    </w:p>
    <w:p>
      <w:pPr>
        <w:pStyle w:val="ListBullet"/>
        <w:spacing w:after="60"/>
      </w:pPr>
      <w:r>
        <w:t>ADR-1: GKE Autopilot versus Standard versus Cloud Run.</w:t>
      </w:r>
    </w:p>
    <w:p>
      <w:pPr>
        <w:pStyle w:val="ListBullet"/>
        <w:spacing w:after="60"/>
      </w:pPr>
      <w:r>
        <w:t>ADR-2: API Gateway versus Apigee.</w:t>
      </w:r>
    </w:p>
    <w:p>
      <w:pPr>
        <w:pStyle w:val="ListBullet"/>
        <w:spacing w:after="60"/>
      </w:pPr>
      <w:r>
        <w:t>ADR-3: Pub/Sub direct delivery versus Eventarc routing.</w:t>
      </w:r>
    </w:p>
    <w:p>
      <w:pPr>
        <w:pStyle w:val="ListBullet"/>
        <w:spacing w:after="60"/>
      </w:pPr>
      <w:r>
        <w:t>ADR-4: choreography versus Workflows orchestration.</w:t>
      </w:r>
    </w:p>
    <w:p>
      <w:pPr>
        <w:pStyle w:val="ListBullet"/>
        <w:spacing w:after="60"/>
      </w:pPr>
      <w:r>
        <w:t>ADR-5: regional active-passive versus active-active application design.</w:t>
      </w:r>
    </w:p>
    <w:p>
      <w:pPr>
        <w:pStyle w:val="Heading2"/>
        <w:keepNext/>
      </w:pPr>
      <w:r>
        <w:t>40.3 Reliability and Security Qualification</w:t>
      </w:r>
    </w:p>
    <w:p>
      <w:pPr>
        <w:spacing w:after="120"/>
      </w:pPr>
      <w:r>
        <w:rPr>
          <w:i w:val="0"/>
        </w:rPr>
        <w:t>Qualification tests include image-policy denial, canary rollback, pod/node disruption, Cloud Run cold start and scale limit, duplicate event, dead-letter recovery, workflow compensation, identity denial, private network failure, and regional dependency failover. Security evidence includes IAM, service identities, API authorization, artifact provenance, secret access, audit logs, and policy exceptions.</w:t>
      </w:r>
    </w:p>
    <w:p>
      <w:pPr>
        <w:pStyle w:val="Heading2"/>
        <w:keepNext/>
      </w:pPr>
      <w:r>
        <w:t>40.4 Operating Model and Portfolio Evidence</w:t>
      </w:r>
    </w:p>
    <w:p>
      <w:pPr>
        <w:spacing w:after="120"/>
      </w:pPr>
      <w:r>
        <w:rPr>
          <w:i w:val="0"/>
        </w:rPr>
        <w:t>The final submission should contain diagrams, threat model, data flow, dependency inventory, SLOs, dashboards, runbooks, ADRs, pipeline evidence, load-test results, failure-test timeline, cost model, cleanup plan, and a concise executive briefing. Evidence should show decisions and outcomes, not screenshots without interpretation.</w:t>
      </w:r>
    </w:p>
    <w:p>
      <w:pPr>
        <w:pStyle w:val="CodeBlock"/>
        <w:keepLines/>
        <w:spacing w:after="120"/>
      </w:pPr>
      <w:r>
        <w:rPr>
          <w:rFonts w:ascii="Cascadia Mono" w:hAnsi="Cascadia Mono"/>
          <w:sz w:val="16"/>
        </w:rPr>
        <w:t>gcloud asset search-all-resources --scope=projects/PROJECT_ID</w:t>
        <w:br/>
        <w:t>gcloud logging read 'severity&gt;=ERROR' --project=PROJECT_ID --limit=50</w:t>
        <w:br/>
        <w:t>gcloud monitoring policies list --project=PROJECT_ID</w:t>
      </w:r>
    </w:p>
    <w:p>
      <w:pPr>
        <w:pStyle w:val="Heading2"/>
        <w:keepNext/>
      </w:pPr>
      <w:r>
        <w:t>Troubleshooting Matrix</w:t>
      </w:r>
    </w:p>
    <w:tbl>
      <w:tblPr>
        <w:tblStyle w:val="TableGrid"/>
        <w:tblW w:type="auto" w:w="0"/>
        <w:jc w:val="center"/>
        <w:tblLook w:firstColumn="1" w:firstRow="1" w:lastColumn="0" w:lastRow="0" w:noHBand="0" w:noVBand="1" w:val="04A0"/>
      </w:tblPr>
      <w:tblGrid>
        <w:gridCol w:w="3389"/>
        <w:gridCol w:w="3389"/>
        <w:gridCol w:w="3389"/>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Symptom</w:t>
            </w:r>
          </w:p>
        </w:tc>
        <w:tc>
          <w:tcPr>
            <w:tcW w:type="dxa" w:w="2592"/>
            <w:shd w:fill="1A73E8"/>
            <w:tcMar>
              <w:top w:w="80" w:type="dxa"/>
              <w:start w:w="100" w:type="dxa"/>
              <w:bottom w:w="80" w:type="dxa"/>
              <w:end w:w="100" w:type="dxa"/>
            </w:tcMar>
            <w:vAlign w:val="center"/>
          </w:tcPr>
          <w:p>
            <w:pPr>
              <w:jc w:val="center"/>
            </w:pPr>
            <w:r>
              <w:rPr>
                <w:b/>
                <w:color w:val="FFFFFF"/>
                <w:sz w:val="16"/>
              </w:rPr>
              <w:t>Likely Cause</w:t>
            </w:r>
          </w:p>
        </w:tc>
        <w:tc>
          <w:tcPr>
            <w:tcW w:type="dxa" w:w="5328"/>
            <w:shd w:fill="1A73E8"/>
            <w:tcMar>
              <w:top w:w="80" w:type="dxa"/>
              <w:start w:w="100" w:type="dxa"/>
              <w:bottom w:w="80" w:type="dxa"/>
              <w:end w:w="100" w:type="dxa"/>
            </w:tcMar>
            <w:vAlign w:val="center"/>
          </w:tcPr>
          <w:p>
            <w:pPr>
              <w:jc w:val="center"/>
            </w:pPr>
            <w:r>
              <w:rPr>
                <w:b/>
                <w:color w:val="FFFFFF"/>
                <w:sz w:val="16"/>
              </w:rPr>
              <w:t>Evidence and Corrective Action</w:t>
            </w:r>
          </w:p>
        </w:tc>
      </w:tr>
      <w:tr>
        <w:trPr>
          <w:cantSplit/>
        </w:trPr>
        <w:tc>
          <w:tcPr>
            <w:tcW w:type="dxa" w:w="2160"/>
            <w:tcMar>
              <w:top w:w="80" w:type="dxa"/>
              <w:start w:w="100" w:type="dxa"/>
              <w:bottom w:w="80" w:type="dxa"/>
              <w:end w:w="100" w:type="dxa"/>
            </w:tcMar>
            <w:vAlign w:val="top"/>
          </w:tcPr>
          <w:p>
            <w:pPr>
              <w:spacing w:after="0"/>
            </w:pPr>
            <w:r>
              <w:rPr>
                <w:sz w:val="16"/>
              </w:rPr>
              <w:t>End-to-end latency rises but each service looks healthy</w:t>
            </w:r>
          </w:p>
        </w:tc>
        <w:tc>
          <w:tcPr>
            <w:tcW w:type="dxa" w:w="2592"/>
            <w:tcMar>
              <w:top w:w="80" w:type="dxa"/>
              <w:start w:w="100" w:type="dxa"/>
              <w:bottom w:w="80" w:type="dxa"/>
              <w:end w:w="100" w:type="dxa"/>
            </w:tcMar>
            <w:vAlign w:val="top"/>
          </w:tcPr>
          <w:p>
            <w:pPr>
              <w:spacing w:after="0"/>
            </w:pPr>
            <w:r>
              <w:rPr>
                <w:sz w:val="16"/>
              </w:rPr>
              <w:t>Queue backlog, workflow wait, retries, DNS/network, or hidden dependency</w:t>
            </w:r>
          </w:p>
        </w:tc>
        <w:tc>
          <w:tcPr>
            <w:tcW w:type="dxa" w:w="5328"/>
            <w:tcMar>
              <w:top w:w="80" w:type="dxa"/>
              <w:start w:w="100" w:type="dxa"/>
              <w:bottom w:w="80" w:type="dxa"/>
              <w:end w:w="100" w:type="dxa"/>
            </w:tcMar>
            <w:vAlign w:val="top"/>
          </w:tcPr>
          <w:p>
            <w:pPr>
              <w:spacing w:after="0"/>
            </w:pPr>
            <w:r>
              <w:rPr>
                <w:sz w:val="16"/>
              </w:rPr>
              <w:t>Use trace/business correlation across API, services, Pub/Sub/Eventarc, tasks, workflow, and data store.</w:t>
            </w:r>
          </w:p>
        </w:tc>
      </w:tr>
      <w:tr>
        <w:trPr>
          <w:cantSplit/>
        </w:trPr>
        <w:tc>
          <w:tcPr>
            <w:tcW w:type="dxa" w:w="2160"/>
            <w:tcMar>
              <w:top w:w="80" w:type="dxa"/>
              <w:start w:w="100" w:type="dxa"/>
              <w:bottom w:w="80" w:type="dxa"/>
              <w:end w:w="100" w:type="dxa"/>
            </w:tcMar>
            <w:vAlign w:val="top"/>
          </w:tcPr>
          <w:p>
            <w:pPr>
              <w:spacing w:after="0"/>
            </w:pPr>
            <w:r>
              <w:rPr>
                <w:sz w:val="16"/>
              </w:rPr>
              <w:t>Regional failover serves traffic but orders stall</w:t>
            </w:r>
          </w:p>
        </w:tc>
        <w:tc>
          <w:tcPr>
            <w:tcW w:type="dxa" w:w="2592"/>
            <w:tcMar>
              <w:top w:w="80" w:type="dxa"/>
              <w:start w:w="100" w:type="dxa"/>
              <w:bottom w:w="80" w:type="dxa"/>
              <w:end w:w="100" w:type="dxa"/>
            </w:tcMar>
            <w:vAlign w:val="top"/>
          </w:tcPr>
          <w:p>
            <w:pPr>
              <w:spacing w:after="0"/>
            </w:pPr>
            <w:r>
              <w:rPr>
                <w:sz w:val="16"/>
              </w:rPr>
              <w:t>Messaging, keys, secrets, data, scheduler, or workflow dependency not failed over</w:t>
            </w:r>
          </w:p>
        </w:tc>
        <w:tc>
          <w:tcPr>
            <w:tcW w:type="dxa" w:w="5328"/>
            <w:tcMar>
              <w:top w:w="80" w:type="dxa"/>
              <w:start w:w="100" w:type="dxa"/>
              <w:bottom w:w="80" w:type="dxa"/>
              <w:end w:w="100" w:type="dxa"/>
            </w:tcMar>
            <w:vAlign w:val="top"/>
          </w:tcPr>
          <w:p>
            <w:pPr>
              <w:spacing w:after="0"/>
            </w:pPr>
            <w:r>
              <w:rPr>
                <w:sz w:val="16"/>
              </w:rPr>
              <w:t>Validate dependency inventory and recovery sequence; reconcile in-flight business state.</w:t>
            </w:r>
          </w:p>
        </w:tc>
      </w:tr>
      <w:tr>
        <w:trPr>
          <w:cantSplit/>
        </w:trPr>
        <w:tc>
          <w:tcPr>
            <w:tcW w:type="dxa" w:w="2160"/>
            <w:tcMar>
              <w:top w:w="80" w:type="dxa"/>
              <w:start w:w="100" w:type="dxa"/>
              <w:bottom w:w="80" w:type="dxa"/>
              <w:end w:w="100" w:type="dxa"/>
            </w:tcMar>
            <w:vAlign w:val="top"/>
          </w:tcPr>
          <w:p>
            <w:pPr>
              <w:spacing w:after="0"/>
            </w:pPr>
            <w:r>
              <w:rPr>
                <w:sz w:val="16"/>
              </w:rPr>
              <w:t>Security policy blocks emergency release</w:t>
            </w:r>
          </w:p>
        </w:tc>
        <w:tc>
          <w:tcPr>
            <w:tcW w:type="dxa" w:w="2592"/>
            <w:tcMar>
              <w:top w:w="80" w:type="dxa"/>
              <w:start w:w="100" w:type="dxa"/>
              <w:bottom w:w="80" w:type="dxa"/>
              <w:end w:w="100" w:type="dxa"/>
            </w:tcMar>
            <w:vAlign w:val="top"/>
          </w:tcPr>
          <w:p>
            <w:pPr>
              <w:spacing w:after="0"/>
            </w:pPr>
            <w:r>
              <w:rPr>
                <w:sz w:val="16"/>
              </w:rPr>
              <w:t>No tested break-glass/exception workflow</w:t>
            </w:r>
          </w:p>
        </w:tc>
        <w:tc>
          <w:tcPr>
            <w:tcW w:type="dxa" w:w="5328"/>
            <w:tcMar>
              <w:top w:w="80" w:type="dxa"/>
              <w:start w:w="100" w:type="dxa"/>
              <w:bottom w:w="80" w:type="dxa"/>
              <w:end w:w="100" w:type="dxa"/>
            </w:tcMar>
            <w:vAlign w:val="top"/>
          </w:tcPr>
          <w:p>
            <w:pPr>
              <w:spacing w:after="0"/>
            </w:pPr>
            <w:r>
              <w:rPr>
                <w:sz w:val="16"/>
              </w:rPr>
              <w:t>Use approved time-bound exception with owner, evidence, compensating controls, and post-incident removal.</w:t>
            </w:r>
          </w:p>
        </w:tc>
      </w:tr>
      <w:tr>
        <w:trPr>
          <w:cantSplit/>
        </w:trPr>
        <w:tc>
          <w:tcPr>
            <w:tcW w:type="dxa" w:w="2160"/>
            <w:tcMar>
              <w:top w:w="80" w:type="dxa"/>
              <w:start w:w="100" w:type="dxa"/>
              <w:bottom w:w="80" w:type="dxa"/>
              <w:end w:w="100" w:type="dxa"/>
            </w:tcMar>
            <w:vAlign w:val="top"/>
          </w:tcPr>
          <w:p>
            <w:pPr>
              <w:spacing w:after="0"/>
            </w:pPr>
            <w:r>
              <w:rPr>
                <w:sz w:val="16"/>
              </w:rPr>
              <w:t>Cost exceeds forecast under load</w:t>
            </w:r>
          </w:p>
        </w:tc>
        <w:tc>
          <w:tcPr>
            <w:tcW w:type="dxa" w:w="2592"/>
            <w:tcMar>
              <w:top w:w="80" w:type="dxa"/>
              <w:start w:w="100" w:type="dxa"/>
              <w:bottom w:w="80" w:type="dxa"/>
              <w:end w:w="100" w:type="dxa"/>
            </w:tcMar>
            <w:vAlign w:val="top"/>
          </w:tcPr>
          <w:p>
            <w:pPr>
              <w:spacing w:after="0"/>
            </w:pPr>
            <w:r>
              <w:rPr>
                <w:sz w:val="16"/>
              </w:rPr>
              <w:t>Autoscaling bounds, logging, egress, cluster idle, or API/event fan-out</w:t>
            </w:r>
          </w:p>
        </w:tc>
        <w:tc>
          <w:tcPr>
            <w:tcW w:type="dxa" w:w="5328"/>
            <w:tcMar>
              <w:top w:w="80" w:type="dxa"/>
              <w:start w:w="100" w:type="dxa"/>
              <w:bottom w:w="80" w:type="dxa"/>
              <w:end w:w="100" w:type="dxa"/>
            </w:tcMar>
            <w:vAlign w:val="top"/>
          </w:tcPr>
          <w:p>
            <w:pPr>
              <w:spacing w:after="0"/>
            </w:pPr>
            <w:r>
              <w:rPr>
                <w:sz w:val="16"/>
              </w:rPr>
              <w:t>Use billing labels/export and workload metrics; tune bounds, retention, placement, and service selection.</w:t>
            </w:r>
          </w:p>
        </w:tc>
      </w:tr>
    </w:tbl>
    <w:p>
      <w:pPr>
        <w:spacing w:after="20"/>
      </w:pPr>
    </w:p>
    <w:p>
      <w:pPr>
        <w:pStyle w:val="Heading2"/>
        <w:keepNext/>
      </w:pPr>
      <w:r>
        <w:t>Hands-on Lab 40: Final Google Cloud Cloud-Native Platform Capstone</w:t>
      </w:r>
    </w:p>
    <w:p>
      <w:pPr>
        <w:pStyle w:val="Heading3"/>
        <w:keepNext/>
      </w:pPr>
      <w:r>
        <w:t>Prerequisites</w:t>
      </w:r>
    </w:p>
    <w:p>
      <w:pPr>
        <w:pStyle w:val="ListBullet"/>
        <w:spacing w:after="60"/>
      </w:pPr>
      <w:r>
        <w:t>An isolated project or project set, budget alerts, version control, synthetic data, and access to the services selected by the architecture.</w:t>
      </w:r>
    </w:p>
    <w:p>
      <w:pPr>
        <w:pStyle w:val="Heading3"/>
        <w:keepNext/>
      </w:pPr>
      <w:r>
        <w:t>Implementation</w:t>
      </w:r>
    </w:p>
    <w:p>
      <w:pPr>
        <w:spacing w:after="60"/>
        <w:ind w:left="360" w:hanging="259"/>
      </w:pPr>
      <w:r>
        <w:rPr>
          <w:b/>
        </w:rPr>
        <w:t xml:space="preserve">1. </w:t>
      </w:r>
      <w:r>
        <w:t>Write business requirements, SLOs, RTO/RPO, classification, compliance, traffic, and budget assumptions.</w:t>
      </w:r>
    </w:p>
    <w:p>
      <w:pPr>
        <w:spacing w:after="60"/>
        <w:ind w:left="360" w:hanging="259"/>
      </w:pPr>
      <w:r>
        <w:rPr>
          <w:b/>
        </w:rPr>
        <w:t xml:space="preserve">2. </w:t>
      </w:r>
      <w:r>
        <w:t>Create ADRs for runtime, API management, event routing, orchestration, and regional strategy.</w:t>
      </w:r>
    </w:p>
    <w:p>
      <w:pPr>
        <w:spacing w:after="60"/>
        <w:ind w:left="360" w:hanging="259"/>
      </w:pPr>
      <w:r>
        <w:rPr>
          <w:b/>
        </w:rPr>
        <w:t xml:space="preserve">3. </w:t>
      </w:r>
      <w:r>
        <w:t>Build a trusted image pipeline and deploy at least one GKE service and one Cloud Run service by digest.</w:t>
      </w:r>
    </w:p>
    <w:p>
      <w:pPr>
        <w:spacing w:after="60"/>
        <w:ind w:left="360" w:hanging="259"/>
      </w:pPr>
      <w:r>
        <w:rPr>
          <w:b/>
        </w:rPr>
        <w:t xml:space="preserve">4. </w:t>
      </w:r>
      <w:r>
        <w:t>Publish a private backend through API Gateway or document an Apigee implementation plan.</w:t>
      </w:r>
    </w:p>
    <w:p>
      <w:pPr>
        <w:spacing w:after="60"/>
        <w:ind w:left="360" w:hanging="259"/>
      </w:pPr>
      <w:r>
        <w:rPr>
          <w:b/>
        </w:rPr>
        <w:t xml:space="preserve">5. </w:t>
      </w:r>
      <w:r>
        <w:t>Implement an idempotent Pub/Sub/Eventarc path with dead-letter handling and replay.</w:t>
      </w:r>
    </w:p>
    <w:p>
      <w:pPr>
        <w:spacing w:after="60"/>
        <w:ind w:left="360" w:hanging="259"/>
      </w:pPr>
      <w:r>
        <w:rPr>
          <w:b/>
        </w:rPr>
        <w:t xml:space="preserve">6. </w:t>
      </w:r>
      <w:r>
        <w:t>Implement a Workflows process with Cloud Tasks and scheduled reconciliation.</w:t>
      </w:r>
    </w:p>
    <w:p>
      <w:pPr>
        <w:spacing w:after="60"/>
        <w:ind w:left="360" w:hanging="259"/>
      </w:pPr>
      <w:r>
        <w:rPr>
          <w:b/>
        </w:rPr>
        <w:t xml:space="preserve">7. </w:t>
      </w:r>
      <w:r>
        <w:t>Add least-privilege workload identities, secrets, private networking, dashboards, alerts, and runbooks.</w:t>
      </w:r>
    </w:p>
    <w:p>
      <w:pPr>
        <w:spacing w:after="60"/>
        <w:ind w:left="360" w:hanging="259"/>
      </w:pPr>
      <w:r>
        <w:rPr>
          <w:b/>
        </w:rPr>
        <w:t xml:space="preserve">8. </w:t>
      </w:r>
      <w:r>
        <w:t>Run load, canary rollback, duplicate delivery, dependency failure, and one regional or simulated control-plane game day.</w:t>
      </w:r>
    </w:p>
    <w:p>
      <w:pPr>
        <w:spacing w:after="60"/>
        <w:ind w:left="360" w:hanging="259"/>
      </w:pPr>
      <w:r>
        <w:rPr>
          <w:b/>
        </w:rPr>
        <w:t xml:space="preserve">9. </w:t>
      </w:r>
      <w:r>
        <w:t>Produce a cost report, risk register, evidence index, and executive architecture briefing.</w:t>
      </w:r>
    </w:p>
    <w:p>
      <w:pPr>
        <w:pStyle w:val="Heading3"/>
        <w:keepNext/>
      </w:pPr>
      <w:r>
        <w:t>Validation Evidence</w:t>
      </w:r>
    </w:p>
    <w:p>
      <w:pPr>
        <w:pStyle w:val="ListBullet"/>
        <w:spacing w:after="60"/>
      </w:pPr>
      <w:r>
        <w:t>Every component maps to a requirement and owner.</w:t>
      </w:r>
    </w:p>
    <w:p>
      <w:pPr>
        <w:pStyle w:val="ListBullet"/>
        <w:spacing w:after="60"/>
      </w:pPr>
      <w:r>
        <w:t>Artifacts, identities, API calls, events, and workflow executions are traceable.</w:t>
      </w:r>
    </w:p>
    <w:p>
      <w:pPr>
        <w:pStyle w:val="ListBullet"/>
        <w:spacing w:after="60"/>
      </w:pPr>
      <w:r>
        <w:t>Failure tests meet or clearly quantify SLO/RTO/RPO gaps.</w:t>
      </w:r>
    </w:p>
    <w:p>
      <w:pPr>
        <w:pStyle w:val="ListBullet"/>
        <w:spacing w:after="60"/>
      </w:pPr>
      <w:r>
        <w:t>Cleanup, rollback, and incident runbooks are executable.</w:t>
      </w:r>
    </w:p>
    <w:p>
      <w:pPr>
        <w:pStyle w:val="Heading3"/>
        <w:keepNext/>
      </w:pPr>
      <w:r>
        <w:t>Cleanup</w:t>
      </w:r>
    </w:p>
    <w:p>
      <w:pPr>
        <w:pStyle w:val="ListBullet"/>
        <w:spacing w:after="60"/>
      </w:pPr>
      <w:r>
        <w:t>Destroy all chargeable training resources after exporting evidence; verify with Asset Inventory and billing data.</w:t>
      </w:r>
    </w:p>
    <w:p>
      <w:pPr>
        <w:pStyle w:val="Heading2"/>
        <w:keepNext/>
      </w:pPr>
      <w:r>
        <w:t>Interview Questions and Model Answers</w:t>
      </w:r>
    </w:p>
    <w:p>
      <w:pPr>
        <w:spacing w:after="40"/>
      </w:pPr>
      <w:r>
        <w:rPr>
          <w:b/>
        </w:rPr>
        <w:t>1. How do you choose between GKE and Cloud Run?</w:t>
      </w:r>
    </w:p>
    <w:p>
      <w:pPr>
        <w:spacing w:after="120"/>
        <w:ind w:left="216"/>
      </w:pPr>
      <w:r>
        <w:t>Compare required control, Kubernetes ecosystem, workload shape, portability, team capability, scaling, and operational burden.</w:t>
      </w:r>
    </w:p>
    <w:p>
      <w:pPr>
        <w:spacing w:after="40"/>
      </w:pPr>
      <w:r>
        <w:rPr>
          <w:b/>
        </w:rPr>
        <w:t>2. What is the most important event-driven design property?</w:t>
      </w:r>
    </w:p>
    <w:p>
      <w:pPr>
        <w:spacing w:after="120"/>
        <w:ind w:left="216"/>
      </w:pPr>
      <w:r>
        <w:t>Idempotent processing with observable retry, dead-letter, and reconciliation behavior.</w:t>
      </w:r>
    </w:p>
    <w:p>
      <w:pPr>
        <w:spacing w:after="40"/>
      </w:pPr>
      <w:r>
        <w:rPr>
          <w:b/>
        </w:rPr>
        <w:t>3. How do you prove a platform is production ready?</w:t>
      </w:r>
    </w:p>
    <w:p>
      <w:pPr>
        <w:spacing w:after="120"/>
        <w:ind w:left="216"/>
      </w:pPr>
      <w:r>
        <w:t>Through traceable requirements, controlled delivery, least privilege, load/failure tests, recovery evidence, SLOs, runbooks, and ownership.</w:t>
      </w:r>
    </w:p>
    <w:p>
      <w:pPr>
        <w:spacing w:after="40"/>
      </w:pPr>
      <w:r>
        <w:rPr>
          <w:b/>
        </w:rPr>
        <w:t>4. What makes an architecture enterprise-grade?</w:t>
      </w:r>
    </w:p>
    <w:p>
      <w:pPr>
        <w:spacing w:after="120"/>
        <w:ind w:left="216"/>
      </w:pPr>
      <w:r>
        <w:t>Governed boundaries and repeatable operations that preserve security, reliability, cost, and change control across teams.</w:t>
      </w:r>
    </w:p>
    <w:p>
      <w:pPr>
        <w:pStyle w:val="Heading2"/>
        <w:keepNext/>
      </w:pPr>
      <w:r>
        <w:t>Chapter Summary</w:t>
      </w:r>
    </w:p>
    <w:p>
      <w:pPr>
        <w:pStyle w:val="ListBullet"/>
        <w:spacing w:after="60"/>
      </w:pPr>
      <w:r>
        <w:t>A cloud-native platform is an integrated operating system for delivery, not a list of products.</w:t>
      </w:r>
    </w:p>
    <w:p>
      <w:pPr>
        <w:pStyle w:val="ListBullet"/>
        <w:spacing w:after="60"/>
      </w:pPr>
      <w:r>
        <w:t>Runtime and integration choices require explicit trade-offs.</w:t>
      </w:r>
    </w:p>
    <w:p>
      <w:pPr>
        <w:pStyle w:val="ListBullet"/>
        <w:spacing w:after="60"/>
      </w:pPr>
      <w:r>
        <w:t>Qualification must include failure, security, recovery, and cost evidence.</w:t>
      </w:r>
    </w:p>
    <w:p>
      <w:pPr>
        <w:pStyle w:val="ListBullet"/>
        <w:spacing w:after="60"/>
      </w:pPr>
      <w:r>
        <w:t>Portfolio evidence should demonstrate engineering judgment and operational maturity.</w:t>
      </w:r>
    </w:p>
    <w:p>
      <w:pPr>
        <w:pStyle w:val="Heading1"/>
        <w:keepNext/>
      </w:pPr>
      <w:r>
        <w:t>Part D Enterprise Project Portfolio</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880"/>
            <w:shd w:fill="1A73E8"/>
            <w:tcMar>
              <w:top w:w="80" w:type="dxa"/>
              <w:start w:w="100" w:type="dxa"/>
              <w:bottom w:w="80" w:type="dxa"/>
              <w:end w:w="100" w:type="dxa"/>
            </w:tcMar>
            <w:vAlign w:val="center"/>
          </w:tcPr>
          <w:p>
            <w:pPr>
              <w:jc w:val="center"/>
            </w:pPr>
            <w:r>
              <w:rPr>
                <w:b/>
                <w:color w:val="FFFFFF"/>
                <w:sz w:val="16"/>
              </w:rPr>
              <w:t>Project</w:t>
            </w:r>
          </w:p>
        </w:tc>
        <w:tc>
          <w:tcPr>
            <w:tcW w:type="dxa" w:w="6912"/>
            <w:shd w:fill="1A73E8"/>
            <w:tcMar>
              <w:top w:w="80" w:type="dxa"/>
              <w:start w:w="100" w:type="dxa"/>
              <w:bottom w:w="80" w:type="dxa"/>
              <w:end w:w="100" w:type="dxa"/>
            </w:tcMar>
            <w:vAlign w:val="center"/>
          </w:tcPr>
          <w:p>
            <w:pPr>
              <w:jc w:val="center"/>
            </w:pPr>
            <w:r>
              <w:rPr>
                <w:b/>
                <w:color w:val="FFFFFF"/>
                <w:sz w:val="16"/>
              </w:rPr>
              <w:t>Required Outcome</w:t>
            </w:r>
          </w:p>
        </w:tc>
      </w:tr>
      <w:tr>
        <w:trPr>
          <w:cantSplit/>
        </w:trPr>
        <w:tc>
          <w:tcPr>
            <w:tcW w:type="dxa" w:w="2880"/>
            <w:tcMar>
              <w:top w:w="80" w:type="dxa"/>
              <w:start w:w="100" w:type="dxa"/>
              <w:bottom w:w="80" w:type="dxa"/>
              <w:end w:w="100" w:type="dxa"/>
            </w:tcMar>
            <w:vAlign w:val="top"/>
          </w:tcPr>
          <w:p>
            <w:pPr>
              <w:spacing w:after="0"/>
            </w:pPr>
            <w:r>
              <w:rPr>
                <w:sz w:val="16"/>
              </w:rPr>
              <w:t>Trusted multi-runtime release platform</w:t>
            </w:r>
          </w:p>
        </w:tc>
        <w:tc>
          <w:tcPr>
            <w:tcW w:type="dxa" w:w="6912"/>
            <w:tcMar>
              <w:top w:w="80" w:type="dxa"/>
              <w:start w:w="100" w:type="dxa"/>
              <w:bottom w:w="80" w:type="dxa"/>
              <w:end w:w="100" w:type="dxa"/>
            </w:tcMar>
            <w:vAlign w:val="top"/>
          </w:tcPr>
          <w:p>
            <w:pPr>
              <w:spacing w:after="0"/>
            </w:pPr>
            <w:r>
              <w:rPr>
                <w:sz w:val="16"/>
              </w:rPr>
              <w:t>Build once, sign/attest, promote by digest, enforce policy across GKE and Cloud Run, and demonstrate rollback.</w:t>
            </w:r>
          </w:p>
        </w:tc>
      </w:tr>
      <w:tr>
        <w:trPr>
          <w:cantSplit/>
        </w:trPr>
        <w:tc>
          <w:tcPr>
            <w:tcW w:type="dxa" w:w="2880"/>
            <w:tcMar>
              <w:top w:w="80" w:type="dxa"/>
              <w:start w:w="100" w:type="dxa"/>
              <w:bottom w:w="80" w:type="dxa"/>
              <w:end w:w="100" w:type="dxa"/>
            </w:tcMar>
            <w:vAlign w:val="top"/>
          </w:tcPr>
          <w:p>
            <w:pPr>
              <w:spacing w:after="0"/>
            </w:pPr>
            <w:r>
              <w:rPr>
                <w:sz w:val="16"/>
              </w:rPr>
              <w:t>GKE platform baseline</w:t>
            </w:r>
          </w:p>
        </w:tc>
        <w:tc>
          <w:tcPr>
            <w:tcW w:type="dxa" w:w="6912"/>
            <w:tcMar>
              <w:top w:w="80" w:type="dxa"/>
              <w:start w:w="100" w:type="dxa"/>
              <w:bottom w:w="80" w:type="dxa"/>
              <w:end w:w="100" w:type="dxa"/>
            </w:tcMar>
            <w:vAlign w:val="top"/>
          </w:tcPr>
          <w:p>
            <w:pPr>
              <w:spacing w:after="0"/>
            </w:pPr>
            <w:r>
              <w:rPr>
                <w:sz w:val="16"/>
              </w:rPr>
              <w:t>Regional cluster, workload identity, Gateway API, Network Policy, autoscaling, policy, backup, and upgrade game day.</w:t>
            </w:r>
          </w:p>
        </w:tc>
      </w:tr>
      <w:tr>
        <w:trPr>
          <w:cantSplit/>
        </w:trPr>
        <w:tc>
          <w:tcPr>
            <w:tcW w:type="dxa" w:w="2880"/>
            <w:tcMar>
              <w:top w:w="80" w:type="dxa"/>
              <w:start w:w="100" w:type="dxa"/>
              <w:bottom w:w="80" w:type="dxa"/>
              <w:end w:w="100" w:type="dxa"/>
            </w:tcMar>
            <w:vAlign w:val="top"/>
          </w:tcPr>
          <w:p>
            <w:pPr>
              <w:spacing w:after="0"/>
            </w:pPr>
            <w:r>
              <w:rPr>
                <w:sz w:val="16"/>
              </w:rPr>
              <w:t>Cloud Run SaaS cell</w:t>
            </w:r>
          </w:p>
        </w:tc>
        <w:tc>
          <w:tcPr>
            <w:tcW w:type="dxa" w:w="6912"/>
            <w:tcMar>
              <w:top w:w="80" w:type="dxa"/>
              <w:start w:w="100" w:type="dxa"/>
              <w:bottom w:w="80" w:type="dxa"/>
              <w:end w:w="100" w:type="dxa"/>
            </w:tcMar>
            <w:vAlign w:val="top"/>
          </w:tcPr>
          <w:p>
            <w:pPr>
              <w:spacing w:after="0"/>
            </w:pPr>
            <w:r>
              <w:rPr>
                <w:sz w:val="16"/>
              </w:rPr>
              <w:t>Private service, canary revisions, Direct VPC egress, bounded scaling, regional failover design, and unit-cost dashboard.</w:t>
            </w:r>
          </w:p>
        </w:tc>
      </w:tr>
      <w:tr>
        <w:trPr>
          <w:cantSplit/>
        </w:trPr>
        <w:tc>
          <w:tcPr>
            <w:tcW w:type="dxa" w:w="2880"/>
            <w:tcMar>
              <w:top w:w="80" w:type="dxa"/>
              <w:start w:w="100" w:type="dxa"/>
              <w:bottom w:w="80" w:type="dxa"/>
              <w:end w:w="100" w:type="dxa"/>
            </w:tcMar>
            <w:vAlign w:val="top"/>
          </w:tcPr>
          <w:p>
            <w:pPr>
              <w:spacing w:after="0"/>
            </w:pPr>
            <w:r>
              <w:rPr>
                <w:sz w:val="16"/>
              </w:rPr>
              <w:t>API product platform</w:t>
            </w:r>
          </w:p>
        </w:tc>
        <w:tc>
          <w:tcPr>
            <w:tcW w:type="dxa" w:w="6912"/>
            <w:tcMar>
              <w:top w:w="80" w:type="dxa"/>
              <w:start w:w="100" w:type="dxa"/>
              <w:bottom w:w="80" w:type="dxa"/>
              <w:end w:w="100" w:type="dxa"/>
            </w:tcMar>
            <w:vAlign w:val="top"/>
          </w:tcPr>
          <w:p>
            <w:pPr>
              <w:spacing w:after="0"/>
            </w:pPr>
            <w:r>
              <w:rPr>
                <w:sz w:val="16"/>
              </w:rPr>
              <w:t>Versioned contract, API Gateway implementation, Apigee decision model, quotas, analytics, consumer onboarding, and deprecation plan.</w:t>
            </w:r>
          </w:p>
        </w:tc>
      </w:tr>
      <w:tr>
        <w:trPr>
          <w:cantSplit/>
        </w:trPr>
        <w:tc>
          <w:tcPr>
            <w:tcW w:type="dxa" w:w="2880"/>
            <w:tcMar>
              <w:top w:w="80" w:type="dxa"/>
              <w:start w:w="100" w:type="dxa"/>
              <w:bottom w:w="80" w:type="dxa"/>
              <w:end w:w="100" w:type="dxa"/>
            </w:tcMar>
            <w:vAlign w:val="top"/>
          </w:tcPr>
          <w:p>
            <w:pPr>
              <w:spacing w:after="0"/>
            </w:pPr>
            <w:r>
              <w:rPr>
                <w:sz w:val="16"/>
              </w:rPr>
              <w:t>Event-driven order system</w:t>
            </w:r>
          </w:p>
        </w:tc>
        <w:tc>
          <w:tcPr>
            <w:tcW w:type="dxa" w:w="6912"/>
            <w:tcMar>
              <w:top w:w="80" w:type="dxa"/>
              <w:start w:w="100" w:type="dxa"/>
              <w:bottom w:w="80" w:type="dxa"/>
              <w:end w:w="100" w:type="dxa"/>
            </w:tcMar>
            <w:vAlign w:val="top"/>
          </w:tcPr>
          <w:p>
            <w:pPr>
              <w:spacing w:after="0"/>
            </w:pPr>
            <w:r>
              <w:rPr>
                <w:sz w:val="16"/>
              </w:rPr>
              <w:t>Pub/Sub, Eventarc, idempotency, dead-letter, replay, schemas/contracts, and end-to-end tracing.</w:t>
            </w:r>
          </w:p>
        </w:tc>
      </w:tr>
      <w:tr>
        <w:trPr>
          <w:cantSplit/>
        </w:trPr>
        <w:tc>
          <w:tcPr>
            <w:tcW w:type="dxa" w:w="2880"/>
            <w:tcMar>
              <w:top w:w="80" w:type="dxa"/>
              <w:start w:w="100" w:type="dxa"/>
              <w:bottom w:w="80" w:type="dxa"/>
              <w:end w:w="100" w:type="dxa"/>
            </w:tcMar>
            <w:vAlign w:val="top"/>
          </w:tcPr>
          <w:p>
            <w:pPr>
              <w:spacing w:after="0"/>
            </w:pPr>
            <w:r>
              <w:rPr>
                <w:sz w:val="16"/>
              </w:rPr>
              <w:t>Durable workflow platform</w:t>
            </w:r>
          </w:p>
        </w:tc>
        <w:tc>
          <w:tcPr>
            <w:tcW w:type="dxa" w:w="6912"/>
            <w:tcMar>
              <w:top w:w="80" w:type="dxa"/>
              <w:start w:w="100" w:type="dxa"/>
              <w:bottom w:w="80" w:type="dxa"/>
              <w:end w:w="100" w:type="dxa"/>
            </w:tcMar>
            <w:vAlign w:val="top"/>
          </w:tcPr>
          <w:p>
            <w:pPr>
              <w:spacing w:after="0"/>
            </w:pPr>
            <w:r>
              <w:rPr>
                <w:sz w:val="16"/>
              </w:rPr>
              <w:t>Workflows, Cloud Tasks, callbacks/compensation, Scheduler reconciliation, and failure-injection tests.</w:t>
            </w:r>
          </w:p>
        </w:tc>
      </w:tr>
      <w:tr>
        <w:trPr>
          <w:cantSplit/>
        </w:trPr>
        <w:tc>
          <w:tcPr>
            <w:tcW w:type="dxa" w:w="2880"/>
            <w:tcMar>
              <w:top w:w="80" w:type="dxa"/>
              <w:start w:w="100" w:type="dxa"/>
              <w:bottom w:w="80" w:type="dxa"/>
              <w:end w:w="100" w:type="dxa"/>
            </w:tcMar>
            <w:vAlign w:val="top"/>
          </w:tcPr>
          <w:p>
            <w:pPr>
              <w:spacing w:after="0"/>
            </w:pPr>
            <w:r>
              <w:rPr>
                <w:sz w:val="16"/>
              </w:rPr>
              <w:t>Container security incident</w:t>
            </w:r>
          </w:p>
        </w:tc>
        <w:tc>
          <w:tcPr>
            <w:tcW w:type="dxa" w:w="6912"/>
            <w:tcMar>
              <w:top w:w="80" w:type="dxa"/>
              <w:start w:w="100" w:type="dxa"/>
              <w:bottom w:w="80" w:type="dxa"/>
              <w:end w:w="100" w:type="dxa"/>
            </w:tcMar>
            <w:vAlign w:val="top"/>
          </w:tcPr>
          <w:p>
            <w:pPr>
              <w:spacing w:after="0"/>
            </w:pPr>
            <w:r>
              <w:rPr>
                <w:sz w:val="16"/>
              </w:rPr>
              <w:t>Compromised builder identity, affected digest discovery, policy block, rollback, rebuild, and evidence preservation.</w:t>
            </w:r>
          </w:p>
        </w:tc>
      </w:tr>
      <w:tr>
        <w:trPr>
          <w:cantSplit/>
        </w:trPr>
        <w:tc>
          <w:tcPr>
            <w:tcW w:type="dxa" w:w="2880"/>
            <w:tcMar>
              <w:top w:w="80" w:type="dxa"/>
              <w:start w:w="100" w:type="dxa"/>
              <w:bottom w:w="80" w:type="dxa"/>
              <w:end w:w="100" w:type="dxa"/>
            </w:tcMar>
            <w:vAlign w:val="top"/>
          </w:tcPr>
          <w:p>
            <w:pPr>
              <w:spacing w:after="0"/>
            </w:pPr>
            <w:r>
              <w:rPr>
                <w:sz w:val="16"/>
              </w:rPr>
              <w:t>Multi-cluster GKE design</w:t>
            </w:r>
          </w:p>
        </w:tc>
        <w:tc>
          <w:tcPr>
            <w:tcW w:type="dxa" w:w="6912"/>
            <w:tcMar>
              <w:top w:w="80" w:type="dxa"/>
              <w:start w:w="100" w:type="dxa"/>
              <w:bottom w:w="80" w:type="dxa"/>
              <w:end w:w="100" w:type="dxa"/>
            </w:tcMar>
            <w:vAlign w:val="top"/>
          </w:tcPr>
          <w:p>
            <w:pPr>
              <w:spacing w:after="0"/>
            </w:pPr>
            <w:r>
              <w:rPr>
                <w:sz w:val="16"/>
              </w:rPr>
              <w:t>Fleet registration, Config Sync, policy, service discovery, multi-cluster gateway, DR, and cost comparison.</w:t>
            </w:r>
          </w:p>
        </w:tc>
      </w:tr>
      <w:tr>
        <w:trPr>
          <w:cantSplit/>
        </w:trPr>
        <w:tc>
          <w:tcPr>
            <w:tcW w:type="dxa" w:w="2880"/>
            <w:tcMar>
              <w:top w:w="80" w:type="dxa"/>
              <w:start w:w="100" w:type="dxa"/>
              <w:bottom w:w="80" w:type="dxa"/>
              <w:end w:w="100" w:type="dxa"/>
            </w:tcMar>
            <w:vAlign w:val="top"/>
          </w:tcPr>
          <w:p>
            <w:pPr>
              <w:spacing w:after="0"/>
            </w:pPr>
            <w:r>
              <w:rPr>
                <w:sz w:val="16"/>
              </w:rPr>
              <w:t>Serverless dependency protection</w:t>
            </w:r>
          </w:p>
        </w:tc>
        <w:tc>
          <w:tcPr>
            <w:tcW w:type="dxa" w:w="6912"/>
            <w:tcMar>
              <w:top w:w="80" w:type="dxa"/>
              <w:start w:w="100" w:type="dxa"/>
              <w:bottom w:w="80" w:type="dxa"/>
              <w:end w:w="100" w:type="dxa"/>
            </w:tcMar>
            <w:vAlign w:val="top"/>
          </w:tcPr>
          <w:p>
            <w:pPr>
              <w:spacing w:after="0"/>
            </w:pPr>
            <w:r>
              <w:rPr>
                <w:sz w:val="16"/>
              </w:rPr>
              <w:t>Cloud Run/functions autoscaling limits, queue flow control, database connection budget, and overload game day.</w:t>
            </w:r>
          </w:p>
        </w:tc>
      </w:tr>
      <w:tr>
        <w:trPr>
          <w:cantSplit/>
        </w:trPr>
        <w:tc>
          <w:tcPr>
            <w:tcW w:type="dxa" w:w="2880"/>
            <w:tcMar>
              <w:top w:w="80" w:type="dxa"/>
              <w:start w:w="100" w:type="dxa"/>
              <w:bottom w:w="80" w:type="dxa"/>
              <w:end w:w="100" w:type="dxa"/>
            </w:tcMar>
            <w:vAlign w:val="top"/>
          </w:tcPr>
          <w:p>
            <w:pPr>
              <w:spacing w:after="0"/>
            </w:pPr>
            <w:r>
              <w:rPr>
                <w:sz w:val="16"/>
              </w:rPr>
              <w:t>Cloud-native FinOps review</w:t>
            </w:r>
          </w:p>
        </w:tc>
        <w:tc>
          <w:tcPr>
            <w:tcW w:type="dxa" w:w="6912"/>
            <w:tcMar>
              <w:top w:w="80" w:type="dxa"/>
              <w:start w:w="100" w:type="dxa"/>
              <w:bottom w:w="80" w:type="dxa"/>
              <w:end w:w="100" w:type="dxa"/>
            </w:tcMar>
            <w:vAlign w:val="top"/>
          </w:tcPr>
          <w:p>
            <w:pPr>
              <w:spacing w:after="0"/>
            </w:pPr>
            <w:r>
              <w:rPr>
                <w:sz w:val="16"/>
              </w:rPr>
              <w:t>Artifact storage, cluster utilization, serverless instance/concurrency, egress, logs, API and event unit economics.</w:t>
            </w:r>
          </w:p>
        </w:tc>
      </w:tr>
    </w:tbl>
    <w:p>
      <w:pPr>
        <w:spacing w:after="20"/>
      </w:pPr>
    </w:p>
    <w:p>
      <w:pPr>
        <w:pStyle w:val="Heading1"/>
        <w:keepNext/>
      </w:pPr>
      <w:r>
        <w:t>Senior Interview Drill Bank</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744"/>
            <w:shd w:fill="1A73E8"/>
            <w:tcMar>
              <w:top w:w="80" w:type="dxa"/>
              <w:start w:w="100" w:type="dxa"/>
              <w:bottom w:w="80" w:type="dxa"/>
              <w:end w:w="100" w:type="dxa"/>
            </w:tcMar>
            <w:vAlign w:val="center"/>
          </w:tcPr>
          <w:p>
            <w:pPr>
              <w:jc w:val="center"/>
            </w:pPr>
            <w:r>
              <w:rPr>
                <w:b/>
                <w:color w:val="FFFFFF"/>
                <w:sz w:val="16"/>
              </w:rPr>
              <w:t>Scenario</w:t>
            </w:r>
          </w:p>
        </w:tc>
        <w:tc>
          <w:tcPr>
            <w:tcW w:type="dxa" w:w="6048"/>
            <w:shd w:fill="1A73E8"/>
            <w:tcMar>
              <w:top w:w="80" w:type="dxa"/>
              <w:start w:w="100" w:type="dxa"/>
              <w:bottom w:w="80" w:type="dxa"/>
              <w:end w:w="100" w:type="dxa"/>
            </w:tcMar>
            <w:vAlign w:val="center"/>
          </w:tcPr>
          <w:p>
            <w:pPr>
              <w:jc w:val="center"/>
            </w:pPr>
            <w:r>
              <w:rPr>
                <w:b/>
                <w:color w:val="FFFFFF"/>
                <w:sz w:val="16"/>
              </w:rPr>
              <w:t>Strong Answer Direction</w:t>
            </w:r>
          </w:p>
        </w:tc>
      </w:tr>
      <w:tr>
        <w:trPr>
          <w:cantSplit/>
        </w:trPr>
        <w:tc>
          <w:tcPr>
            <w:tcW w:type="dxa" w:w="3744"/>
            <w:tcMar>
              <w:top w:w="80" w:type="dxa"/>
              <w:start w:w="100" w:type="dxa"/>
              <w:bottom w:w="80" w:type="dxa"/>
              <w:end w:w="100" w:type="dxa"/>
            </w:tcMar>
            <w:vAlign w:val="top"/>
          </w:tcPr>
          <w:p>
            <w:pPr>
              <w:spacing w:after="0"/>
            </w:pPr>
            <w:r>
              <w:rPr>
                <w:sz w:val="16"/>
              </w:rPr>
              <w:t>A signed image is vulnerable. Can it deploy?</w:t>
            </w:r>
          </w:p>
        </w:tc>
        <w:tc>
          <w:tcPr>
            <w:tcW w:type="dxa" w:w="6048"/>
            <w:tcMar>
              <w:top w:w="80" w:type="dxa"/>
              <w:start w:w="100" w:type="dxa"/>
              <w:bottom w:w="80" w:type="dxa"/>
              <w:end w:w="100" w:type="dxa"/>
            </w:tcMar>
            <w:vAlign w:val="top"/>
          </w:tcPr>
          <w:p>
            <w:pPr>
              <w:spacing w:after="0"/>
            </w:pPr>
            <w:r>
              <w:rPr>
                <w:sz w:val="16"/>
              </w:rPr>
              <w:t>Signing proves identity/integrity, not safety. Apply policy based on vulnerability severity, exploitability, exceptions, and compensating controls.</w:t>
            </w:r>
          </w:p>
        </w:tc>
      </w:tr>
      <w:tr>
        <w:trPr>
          <w:cantSplit/>
        </w:trPr>
        <w:tc>
          <w:tcPr>
            <w:tcW w:type="dxa" w:w="3744"/>
            <w:tcMar>
              <w:top w:w="80" w:type="dxa"/>
              <w:start w:w="100" w:type="dxa"/>
              <w:bottom w:w="80" w:type="dxa"/>
              <w:end w:w="100" w:type="dxa"/>
            </w:tcMar>
            <w:vAlign w:val="top"/>
          </w:tcPr>
          <w:p>
            <w:pPr>
              <w:spacing w:after="0"/>
            </w:pPr>
            <w:r>
              <w:rPr>
                <w:sz w:val="16"/>
              </w:rPr>
              <w:t>GKE control plane is healthy but users see 503.</w:t>
            </w:r>
          </w:p>
        </w:tc>
        <w:tc>
          <w:tcPr>
            <w:tcW w:type="dxa" w:w="6048"/>
            <w:tcMar>
              <w:top w:w="80" w:type="dxa"/>
              <w:start w:w="100" w:type="dxa"/>
              <w:bottom w:w="80" w:type="dxa"/>
              <w:end w:w="100" w:type="dxa"/>
            </w:tcMar>
            <w:vAlign w:val="top"/>
          </w:tcPr>
          <w:p>
            <w:pPr>
              <w:spacing w:after="0"/>
            </w:pPr>
            <w:r>
              <w:rPr>
                <w:sz w:val="16"/>
              </w:rPr>
              <w:t>Trace load balancer, Gateway/Ingress, Service endpoints, readiness, application, and dependencies; control-plane health is insufficient.</w:t>
            </w:r>
          </w:p>
        </w:tc>
      </w:tr>
      <w:tr>
        <w:trPr>
          <w:cantSplit/>
        </w:trPr>
        <w:tc>
          <w:tcPr>
            <w:tcW w:type="dxa" w:w="3744"/>
            <w:tcMar>
              <w:top w:w="80" w:type="dxa"/>
              <w:start w:w="100" w:type="dxa"/>
              <w:bottom w:w="80" w:type="dxa"/>
              <w:end w:w="100" w:type="dxa"/>
            </w:tcMar>
            <w:vAlign w:val="top"/>
          </w:tcPr>
          <w:p>
            <w:pPr>
              <w:spacing w:after="0"/>
            </w:pPr>
            <w:r>
              <w:rPr>
                <w:sz w:val="16"/>
              </w:rPr>
              <w:t>Cloud Run scales rapidly and database fails.</w:t>
            </w:r>
          </w:p>
        </w:tc>
        <w:tc>
          <w:tcPr>
            <w:tcW w:type="dxa" w:w="6048"/>
            <w:tcMar>
              <w:top w:w="80" w:type="dxa"/>
              <w:start w:w="100" w:type="dxa"/>
              <w:bottom w:w="80" w:type="dxa"/>
              <w:end w:w="100" w:type="dxa"/>
            </w:tcMar>
            <w:vAlign w:val="top"/>
          </w:tcPr>
          <w:p>
            <w:pPr>
              <w:spacing w:after="0"/>
            </w:pPr>
            <w:r>
              <w:rPr>
                <w:sz w:val="16"/>
              </w:rPr>
              <w:t>Bound maximum instances, concurrency, and pool size; add queue/backpressure and size dependency capacity for failure states.</w:t>
            </w:r>
          </w:p>
        </w:tc>
      </w:tr>
      <w:tr>
        <w:trPr>
          <w:cantSplit/>
        </w:trPr>
        <w:tc>
          <w:tcPr>
            <w:tcW w:type="dxa" w:w="3744"/>
            <w:tcMar>
              <w:top w:w="80" w:type="dxa"/>
              <w:start w:w="100" w:type="dxa"/>
              <w:bottom w:w="80" w:type="dxa"/>
              <w:end w:w="100" w:type="dxa"/>
            </w:tcMar>
            <w:vAlign w:val="top"/>
          </w:tcPr>
          <w:p>
            <w:pPr>
              <w:spacing w:after="0"/>
            </w:pPr>
            <w:r>
              <w:rPr>
                <w:sz w:val="16"/>
              </w:rPr>
              <w:t>A function charges a customer twice.</w:t>
            </w:r>
          </w:p>
        </w:tc>
        <w:tc>
          <w:tcPr>
            <w:tcW w:type="dxa" w:w="6048"/>
            <w:tcMar>
              <w:top w:w="80" w:type="dxa"/>
              <w:start w:w="100" w:type="dxa"/>
              <w:bottom w:w="80" w:type="dxa"/>
              <w:end w:w="100" w:type="dxa"/>
            </w:tcMar>
            <w:vAlign w:val="top"/>
          </w:tcPr>
          <w:p>
            <w:pPr>
              <w:spacing w:after="0"/>
            </w:pPr>
            <w:r>
              <w:rPr>
                <w:sz w:val="16"/>
              </w:rPr>
              <w:t>Assume redelivery; use business idempotency key and atomic state before the external side effect.</w:t>
            </w:r>
          </w:p>
        </w:tc>
      </w:tr>
      <w:tr>
        <w:trPr>
          <w:cantSplit/>
        </w:trPr>
        <w:tc>
          <w:tcPr>
            <w:tcW w:type="dxa" w:w="3744"/>
            <w:tcMar>
              <w:top w:w="80" w:type="dxa"/>
              <w:start w:w="100" w:type="dxa"/>
              <w:bottom w:w="80" w:type="dxa"/>
              <w:end w:w="100" w:type="dxa"/>
            </w:tcMar>
            <w:vAlign w:val="top"/>
          </w:tcPr>
          <w:p>
            <w:pPr>
              <w:spacing w:after="0"/>
            </w:pPr>
            <w:r>
              <w:rPr>
                <w:sz w:val="16"/>
              </w:rPr>
              <w:t>API Gateway authenticates users. Why does backend need auth?</w:t>
            </w:r>
          </w:p>
        </w:tc>
        <w:tc>
          <w:tcPr>
            <w:tcW w:type="dxa" w:w="6048"/>
            <w:tcMar>
              <w:top w:w="80" w:type="dxa"/>
              <w:start w:w="100" w:type="dxa"/>
              <w:bottom w:w="80" w:type="dxa"/>
              <w:end w:w="100" w:type="dxa"/>
            </w:tcMar>
            <w:vAlign w:val="top"/>
          </w:tcPr>
          <w:p>
            <w:pPr>
              <w:spacing w:after="0"/>
            </w:pPr>
            <w:r>
              <w:rPr>
                <w:sz w:val="16"/>
              </w:rPr>
              <w:t>Defense in depth and direct-path protection; gateway identity and user/resource authorization remain distinct.</w:t>
            </w:r>
          </w:p>
        </w:tc>
      </w:tr>
      <w:tr>
        <w:trPr>
          <w:cantSplit/>
        </w:trPr>
        <w:tc>
          <w:tcPr>
            <w:tcW w:type="dxa" w:w="3744"/>
            <w:tcMar>
              <w:top w:w="80" w:type="dxa"/>
              <w:start w:w="100" w:type="dxa"/>
              <w:bottom w:w="80" w:type="dxa"/>
              <w:end w:w="100" w:type="dxa"/>
            </w:tcMar>
            <w:vAlign w:val="top"/>
          </w:tcPr>
          <w:p>
            <w:pPr>
              <w:spacing w:after="0"/>
            </w:pPr>
            <w:r>
              <w:rPr>
                <w:sz w:val="16"/>
              </w:rPr>
              <w:t>Pub/Sub backlog count is stable but oldest age rises.</w:t>
            </w:r>
          </w:p>
        </w:tc>
        <w:tc>
          <w:tcPr>
            <w:tcW w:type="dxa" w:w="6048"/>
            <w:tcMar>
              <w:top w:w="80" w:type="dxa"/>
              <w:start w:w="100" w:type="dxa"/>
              <w:bottom w:w="80" w:type="dxa"/>
              <w:end w:w="100" w:type="dxa"/>
            </w:tcMar>
            <w:vAlign w:val="top"/>
          </w:tcPr>
          <w:p>
            <w:pPr>
              <w:spacing w:after="0"/>
            </w:pPr>
            <w:r>
              <w:rPr>
                <w:sz w:val="16"/>
              </w:rPr>
              <w:t>New and old work may be mixed or one key is stuck; inspect age distribution, ordering keys, retries, and dependency latency.</w:t>
            </w:r>
          </w:p>
        </w:tc>
      </w:tr>
      <w:tr>
        <w:trPr>
          <w:cantSplit/>
        </w:trPr>
        <w:tc>
          <w:tcPr>
            <w:tcW w:type="dxa" w:w="3744"/>
            <w:tcMar>
              <w:top w:w="80" w:type="dxa"/>
              <w:start w:w="100" w:type="dxa"/>
              <w:bottom w:w="80" w:type="dxa"/>
              <w:end w:w="100" w:type="dxa"/>
            </w:tcMar>
            <w:vAlign w:val="top"/>
          </w:tcPr>
          <w:p>
            <w:pPr>
              <w:spacing w:after="0"/>
            </w:pPr>
            <w:r>
              <w:rPr>
                <w:sz w:val="16"/>
              </w:rPr>
              <w:t>Eventarc trigger is active with no delivery.</w:t>
            </w:r>
          </w:p>
        </w:tc>
        <w:tc>
          <w:tcPr>
            <w:tcW w:type="dxa" w:w="6048"/>
            <w:tcMar>
              <w:top w:w="80" w:type="dxa"/>
              <w:start w:w="100" w:type="dxa"/>
              <w:bottom w:w="80" w:type="dxa"/>
              <w:end w:w="100" w:type="dxa"/>
            </w:tcMar>
            <w:vAlign w:val="top"/>
          </w:tcPr>
          <w:p>
            <w:pPr>
              <w:spacing w:after="0"/>
            </w:pPr>
            <w:r>
              <w:rPr>
                <w:sz w:val="16"/>
              </w:rPr>
              <w:t>Check source event existence, filters, region, provider/audit configuration, service-agent IAM, and destination invoker role.</w:t>
            </w:r>
          </w:p>
        </w:tc>
      </w:tr>
      <w:tr>
        <w:trPr>
          <w:cantSplit/>
        </w:trPr>
        <w:tc>
          <w:tcPr>
            <w:tcW w:type="dxa" w:w="3744"/>
            <w:tcMar>
              <w:top w:w="80" w:type="dxa"/>
              <w:start w:w="100" w:type="dxa"/>
              <w:bottom w:w="80" w:type="dxa"/>
              <w:end w:w="100" w:type="dxa"/>
            </w:tcMar>
            <w:vAlign w:val="top"/>
          </w:tcPr>
          <w:p>
            <w:pPr>
              <w:spacing w:after="0"/>
            </w:pPr>
            <w:r>
              <w:rPr>
                <w:sz w:val="16"/>
              </w:rPr>
              <w:t>Workflow retry duplicates an order.</w:t>
            </w:r>
          </w:p>
        </w:tc>
        <w:tc>
          <w:tcPr>
            <w:tcW w:type="dxa" w:w="6048"/>
            <w:tcMar>
              <w:top w:w="80" w:type="dxa"/>
              <w:start w:w="100" w:type="dxa"/>
              <w:bottom w:w="80" w:type="dxa"/>
              <w:end w:w="100" w:type="dxa"/>
            </w:tcMar>
            <w:vAlign w:val="top"/>
          </w:tcPr>
          <w:p>
            <w:pPr>
              <w:spacing w:after="0"/>
            </w:pPr>
            <w:r>
              <w:rPr>
                <w:sz w:val="16"/>
              </w:rPr>
              <w:t>Retry only idempotent steps; use operation keys, transactional state, and compensation/reconciliation.</w:t>
            </w:r>
          </w:p>
        </w:tc>
      </w:tr>
      <w:tr>
        <w:trPr>
          <w:cantSplit/>
        </w:trPr>
        <w:tc>
          <w:tcPr>
            <w:tcW w:type="dxa" w:w="3744"/>
            <w:tcMar>
              <w:top w:w="80" w:type="dxa"/>
              <w:start w:w="100" w:type="dxa"/>
              <w:bottom w:w="80" w:type="dxa"/>
              <w:end w:w="100" w:type="dxa"/>
            </w:tcMar>
            <w:vAlign w:val="top"/>
          </w:tcPr>
          <w:p>
            <w:pPr>
              <w:spacing w:after="0"/>
            </w:pPr>
            <w:r>
              <w:rPr>
                <w:sz w:val="16"/>
              </w:rPr>
              <w:t>A scheduled job ran twice.</w:t>
            </w:r>
          </w:p>
        </w:tc>
        <w:tc>
          <w:tcPr>
            <w:tcW w:type="dxa" w:w="6048"/>
            <w:tcMar>
              <w:top w:w="80" w:type="dxa"/>
              <w:start w:w="100" w:type="dxa"/>
              <w:bottom w:w="80" w:type="dxa"/>
              <w:end w:w="100" w:type="dxa"/>
            </w:tcMar>
            <w:vAlign w:val="top"/>
          </w:tcPr>
          <w:p>
            <w:pPr>
              <w:spacing w:after="0"/>
            </w:pPr>
            <w:r>
              <w:rPr>
                <w:sz w:val="16"/>
              </w:rPr>
              <w:t>Scheduler/retry/manual overlap is possible; lock on business period and make the operation idempotent.</w:t>
            </w:r>
          </w:p>
        </w:tc>
      </w:tr>
      <w:tr>
        <w:trPr>
          <w:cantSplit/>
        </w:trPr>
        <w:tc>
          <w:tcPr>
            <w:tcW w:type="dxa" w:w="3744"/>
            <w:tcMar>
              <w:top w:w="80" w:type="dxa"/>
              <w:start w:w="100" w:type="dxa"/>
              <w:bottom w:w="80" w:type="dxa"/>
              <w:end w:w="100" w:type="dxa"/>
            </w:tcMar>
            <w:vAlign w:val="top"/>
          </w:tcPr>
          <w:p>
            <w:pPr>
              <w:spacing w:after="0"/>
            </w:pPr>
            <w:r>
              <w:rPr>
                <w:sz w:val="16"/>
              </w:rPr>
              <w:t>When should a team avoid Kubernetes?</w:t>
            </w:r>
          </w:p>
        </w:tc>
        <w:tc>
          <w:tcPr>
            <w:tcW w:type="dxa" w:w="6048"/>
            <w:tcMar>
              <w:top w:w="80" w:type="dxa"/>
              <w:start w:w="100" w:type="dxa"/>
              <w:bottom w:w="80" w:type="dxa"/>
              <w:end w:w="100" w:type="dxa"/>
            </w:tcMar>
            <w:vAlign w:val="top"/>
          </w:tcPr>
          <w:p>
            <w:pPr>
              <w:spacing w:after="0"/>
            </w:pPr>
            <w:r>
              <w:rPr>
                <w:sz w:val="16"/>
              </w:rPr>
              <w:t>When the workload fits a managed runtime and Kubernetes control does not justify cluster/platform complexity.</w:t>
            </w:r>
          </w:p>
        </w:tc>
      </w:tr>
    </w:tbl>
    <w:p>
      <w:pPr>
        <w:spacing w:after="20"/>
      </w:pPr>
    </w:p>
    <w:p>
      <w:pPr>
        <w:pStyle w:val="Heading1"/>
        <w:keepNext/>
      </w:pPr>
      <w:r>
        <w:t>Command Reference</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160"/>
            <w:shd w:fill="1A73E8"/>
            <w:tcMar>
              <w:top w:w="80" w:type="dxa"/>
              <w:start w:w="100" w:type="dxa"/>
              <w:bottom w:w="80" w:type="dxa"/>
              <w:end w:w="100" w:type="dxa"/>
            </w:tcMar>
            <w:vAlign w:val="center"/>
          </w:tcPr>
          <w:p>
            <w:pPr>
              <w:jc w:val="center"/>
            </w:pPr>
            <w:r>
              <w:rPr>
                <w:b/>
                <w:color w:val="FFFFFF"/>
                <w:sz w:val="16"/>
              </w:rPr>
              <w:t>Area</w:t>
            </w:r>
          </w:p>
        </w:tc>
        <w:tc>
          <w:tcPr>
            <w:tcW w:type="dxa" w:w="7632"/>
            <w:shd w:fill="1A73E8"/>
            <w:tcMar>
              <w:top w:w="80" w:type="dxa"/>
              <w:start w:w="100" w:type="dxa"/>
              <w:bottom w:w="80" w:type="dxa"/>
              <w:end w:w="100" w:type="dxa"/>
            </w:tcMar>
            <w:vAlign w:val="center"/>
          </w:tcPr>
          <w:p>
            <w:pPr>
              <w:jc w:val="center"/>
            </w:pPr>
            <w:r>
              <w:rPr>
                <w:b/>
                <w:color w:val="FFFFFF"/>
                <w:sz w:val="16"/>
              </w:rPr>
              <w:t>Examples</w:t>
            </w:r>
          </w:p>
        </w:tc>
      </w:tr>
      <w:tr>
        <w:trPr>
          <w:cantSplit/>
        </w:trPr>
        <w:tc>
          <w:tcPr>
            <w:tcW w:type="dxa" w:w="2160"/>
            <w:tcMar>
              <w:top w:w="80" w:type="dxa"/>
              <w:start w:w="100" w:type="dxa"/>
              <w:bottom w:w="80" w:type="dxa"/>
              <w:end w:w="100" w:type="dxa"/>
            </w:tcMar>
            <w:vAlign w:val="top"/>
          </w:tcPr>
          <w:p>
            <w:pPr>
              <w:spacing w:after="0"/>
            </w:pPr>
            <w:r>
              <w:rPr>
                <w:sz w:val="16"/>
              </w:rPr>
              <w:t>Artifact Registry</w:t>
            </w:r>
          </w:p>
        </w:tc>
        <w:tc>
          <w:tcPr>
            <w:tcW w:type="dxa" w:w="7632"/>
            <w:tcMar>
              <w:top w:w="80" w:type="dxa"/>
              <w:start w:w="100" w:type="dxa"/>
              <w:bottom w:w="80" w:type="dxa"/>
              <w:end w:w="100" w:type="dxa"/>
            </w:tcMar>
            <w:vAlign w:val="top"/>
          </w:tcPr>
          <w:p>
            <w:pPr>
              <w:spacing w:after="0"/>
            </w:pPr>
            <w:r>
              <w:rPr>
                <w:sz w:val="16"/>
              </w:rPr>
              <w:t>gcloud artifacts repositories list; gcloud artifacts docker images list IMAGE_PATH --include-tags</w:t>
            </w:r>
          </w:p>
        </w:tc>
      </w:tr>
      <w:tr>
        <w:trPr>
          <w:cantSplit/>
        </w:trPr>
        <w:tc>
          <w:tcPr>
            <w:tcW w:type="dxa" w:w="2160"/>
            <w:tcMar>
              <w:top w:w="80" w:type="dxa"/>
              <w:start w:w="100" w:type="dxa"/>
              <w:bottom w:w="80" w:type="dxa"/>
              <w:end w:w="100" w:type="dxa"/>
            </w:tcMar>
            <w:vAlign w:val="top"/>
          </w:tcPr>
          <w:p>
            <w:pPr>
              <w:spacing w:after="0"/>
            </w:pPr>
            <w:r>
              <w:rPr>
                <w:sz w:val="16"/>
              </w:rPr>
              <w:t>GKE</w:t>
            </w:r>
          </w:p>
        </w:tc>
        <w:tc>
          <w:tcPr>
            <w:tcW w:type="dxa" w:w="7632"/>
            <w:tcMar>
              <w:top w:w="80" w:type="dxa"/>
              <w:start w:w="100" w:type="dxa"/>
              <w:bottom w:w="80" w:type="dxa"/>
              <w:end w:w="100" w:type="dxa"/>
            </w:tcMar>
            <w:vAlign w:val="top"/>
          </w:tcPr>
          <w:p>
            <w:pPr>
              <w:spacing w:after="0"/>
            </w:pPr>
            <w:r>
              <w:rPr>
                <w:sz w:val="16"/>
              </w:rPr>
              <w:t>gcloud container clusters list; gcloud container clusters describe NAME --region=REGION</w:t>
            </w:r>
          </w:p>
        </w:tc>
      </w:tr>
      <w:tr>
        <w:trPr>
          <w:cantSplit/>
        </w:trPr>
        <w:tc>
          <w:tcPr>
            <w:tcW w:type="dxa" w:w="2160"/>
            <w:tcMar>
              <w:top w:w="80" w:type="dxa"/>
              <w:start w:w="100" w:type="dxa"/>
              <w:bottom w:w="80" w:type="dxa"/>
              <w:end w:w="100" w:type="dxa"/>
            </w:tcMar>
            <w:vAlign w:val="top"/>
          </w:tcPr>
          <w:p>
            <w:pPr>
              <w:spacing w:after="0"/>
            </w:pPr>
            <w:r>
              <w:rPr>
                <w:sz w:val="16"/>
              </w:rPr>
              <w:t>Kubernetes</w:t>
            </w:r>
          </w:p>
        </w:tc>
        <w:tc>
          <w:tcPr>
            <w:tcW w:type="dxa" w:w="7632"/>
            <w:tcMar>
              <w:top w:w="80" w:type="dxa"/>
              <w:start w:w="100" w:type="dxa"/>
              <w:bottom w:w="80" w:type="dxa"/>
              <w:end w:w="100" w:type="dxa"/>
            </w:tcMar>
            <w:vAlign w:val="top"/>
          </w:tcPr>
          <w:p>
            <w:pPr>
              <w:spacing w:after="0"/>
            </w:pPr>
            <w:r>
              <w:rPr>
                <w:sz w:val="16"/>
              </w:rPr>
              <w:t>kubectl get events -A; kubectl auth can-i VERB RESOURCE --as=IDENTITY</w:t>
            </w:r>
          </w:p>
        </w:tc>
      </w:tr>
      <w:tr>
        <w:trPr>
          <w:cantSplit/>
        </w:trPr>
        <w:tc>
          <w:tcPr>
            <w:tcW w:type="dxa" w:w="2160"/>
            <w:tcMar>
              <w:top w:w="80" w:type="dxa"/>
              <w:start w:w="100" w:type="dxa"/>
              <w:bottom w:w="80" w:type="dxa"/>
              <w:end w:w="100" w:type="dxa"/>
            </w:tcMar>
            <w:vAlign w:val="top"/>
          </w:tcPr>
          <w:p>
            <w:pPr>
              <w:spacing w:after="0"/>
            </w:pPr>
            <w:r>
              <w:rPr>
                <w:sz w:val="16"/>
              </w:rPr>
              <w:t>Cloud Run</w:t>
            </w:r>
          </w:p>
        </w:tc>
        <w:tc>
          <w:tcPr>
            <w:tcW w:type="dxa" w:w="7632"/>
            <w:tcMar>
              <w:top w:w="80" w:type="dxa"/>
              <w:start w:w="100" w:type="dxa"/>
              <w:bottom w:w="80" w:type="dxa"/>
              <w:end w:w="100" w:type="dxa"/>
            </w:tcMar>
            <w:vAlign w:val="top"/>
          </w:tcPr>
          <w:p>
            <w:pPr>
              <w:spacing w:after="0"/>
            </w:pPr>
            <w:r>
              <w:rPr>
                <w:sz w:val="16"/>
              </w:rPr>
              <w:t>gcloud run services list; gcloud run revisions list --service=NAME --region=REGION</w:t>
            </w:r>
          </w:p>
        </w:tc>
      </w:tr>
      <w:tr>
        <w:trPr>
          <w:cantSplit/>
        </w:trPr>
        <w:tc>
          <w:tcPr>
            <w:tcW w:type="dxa" w:w="2160"/>
            <w:tcMar>
              <w:top w:w="80" w:type="dxa"/>
              <w:start w:w="100" w:type="dxa"/>
              <w:bottom w:w="80" w:type="dxa"/>
              <w:end w:w="100" w:type="dxa"/>
            </w:tcMar>
            <w:vAlign w:val="top"/>
          </w:tcPr>
          <w:p>
            <w:pPr>
              <w:spacing w:after="0"/>
            </w:pPr>
            <w:r>
              <w:rPr>
                <w:sz w:val="16"/>
              </w:rPr>
              <w:t>Cloud Run jobs</w:t>
            </w:r>
          </w:p>
        </w:tc>
        <w:tc>
          <w:tcPr>
            <w:tcW w:type="dxa" w:w="7632"/>
            <w:tcMar>
              <w:top w:w="80" w:type="dxa"/>
              <w:start w:w="100" w:type="dxa"/>
              <w:bottom w:w="80" w:type="dxa"/>
              <w:end w:w="100" w:type="dxa"/>
            </w:tcMar>
            <w:vAlign w:val="top"/>
          </w:tcPr>
          <w:p>
            <w:pPr>
              <w:spacing w:after="0"/>
            </w:pPr>
            <w:r>
              <w:rPr>
                <w:sz w:val="16"/>
              </w:rPr>
              <w:t>gcloud run jobs list --region=REGION; gcloud run jobs executions list --job=NAME --region=REGION</w:t>
            </w:r>
          </w:p>
        </w:tc>
      </w:tr>
      <w:tr>
        <w:trPr>
          <w:cantSplit/>
        </w:trPr>
        <w:tc>
          <w:tcPr>
            <w:tcW w:type="dxa" w:w="2160"/>
            <w:tcMar>
              <w:top w:w="80" w:type="dxa"/>
              <w:start w:w="100" w:type="dxa"/>
              <w:bottom w:w="80" w:type="dxa"/>
              <w:end w:w="100" w:type="dxa"/>
            </w:tcMar>
            <w:vAlign w:val="top"/>
          </w:tcPr>
          <w:p>
            <w:pPr>
              <w:spacing w:after="0"/>
            </w:pPr>
            <w:r>
              <w:rPr>
                <w:sz w:val="16"/>
              </w:rPr>
              <w:t>Cloud Run functions</w:t>
            </w:r>
          </w:p>
        </w:tc>
        <w:tc>
          <w:tcPr>
            <w:tcW w:type="dxa" w:w="7632"/>
            <w:tcMar>
              <w:top w:w="80" w:type="dxa"/>
              <w:start w:w="100" w:type="dxa"/>
              <w:bottom w:w="80" w:type="dxa"/>
              <w:end w:w="100" w:type="dxa"/>
            </w:tcMar>
            <w:vAlign w:val="top"/>
          </w:tcPr>
          <w:p>
            <w:pPr>
              <w:spacing w:after="0"/>
            </w:pPr>
            <w:r>
              <w:rPr>
                <w:sz w:val="16"/>
              </w:rPr>
              <w:t>gcloud run functions list --region=REGION; gcloud functions list --regions=REGION</w:t>
            </w:r>
          </w:p>
        </w:tc>
      </w:tr>
      <w:tr>
        <w:trPr>
          <w:cantSplit/>
        </w:trPr>
        <w:tc>
          <w:tcPr>
            <w:tcW w:type="dxa" w:w="2160"/>
            <w:tcMar>
              <w:top w:w="80" w:type="dxa"/>
              <w:start w:w="100" w:type="dxa"/>
              <w:bottom w:w="80" w:type="dxa"/>
              <w:end w:w="100" w:type="dxa"/>
            </w:tcMar>
            <w:vAlign w:val="top"/>
          </w:tcPr>
          <w:p>
            <w:pPr>
              <w:spacing w:after="0"/>
            </w:pPr>
            <w:r>
              <w:rPr>
                <w:sz w:val="16"/>
              </w:rPr>
              <w:t>API Gateway</w:t>
            </w:r>
          </w:p>
        </w:tc>
        <w:tc>
          <w:tcPr>
            <w:tcW w:type="dxa" w:w="7632"/>
            <w:tcMar>
              <w:top w:w="80" w:type="dxa"/>
              <w:start w:w="100" w:type="dxa"/>
              <w:bottom w:w="80" w:type="dxa"/>
              <w:end w:w="100" w:type="dxa"/>
            </w:tcMar>
            <w:vAlign w:val="top"/>
          </w:tcPr>
          <w:p>
            <w:pPr>
              <w:spacing w:after="0"/>
            </w:pPr>
            <w:r>
              <w:rPr>
                <w:sz w:val="16"/>
              </w:rPr>
              <w:t>gcloud api-gateway gateways list --location=REGION; gcloud api-gateway api-configs list --api=API</w:t>
            </w:r>
          </w:p>
        </w:tc>
      </w:tr>
      <w:tr>
        <w:trPr>
          <w:cantSplit/>
        </w:trPr>
        <w:tc>
          <w:tcPr>
            <w:tcW w:type="dxa" w:w="2160"/>
            <w:tcMar>
              <w:top w:w="80" w:type="dxa"/>
              <w:start w:w="100" w:type="dxa"/>
              <w:bottom w:w="80" w:type="dxa"/>
              <w:end w:w="100" w:type="dxa"/>
            </w:tcMar>
            <w:vAlign w:val="top"/>
          </w:tcPr>
          <w:p>
            <w:pPr>
              <w:spacing w:after="0"/>
            </w:pPr>
            <w:r>
              <w:rPr>
                <w:sz w:val="16"/>
              </w:rPr>
              <w:t>Pub/Sub</w:t>
            </w:r>
          </w:p>
        </w:tc>
        <w:tc>
          <w:tcPr>
            <w:tcW w:type="dxa" w:w="7632"/>
            <w:tcMar>
              <w:top w:w="80" w:type="dxa"/>
              <w:start w:w="100" w:type="dxa"/>
              <w:bottom w:w="80" w:type="dxa"/>
              <w:end w:w="100" w:type="dxa"/>
            </w:tcMar>
            <w:vAlign w:val="top"/>
          </w:tcPr>
          <w:p>
            <w:pPr>
              <w:spacing w:after="0"/>
            </w:pPr>
            <w:r>
              <w:rPr>
                <w:sz w:val="16"/>
              </w:rPr>
              <w:t>gcloud pubsub topics list; gcloud pubsub subscriptions describe NAME</w:t>
            </w:r>
          </w:p>
        </w:tc>
      </w:tr>
      <w:tr>
        <w:trPr>
          <w:cantSplit/>
        </w:trPr>
        <w:tc>
          <w:tcPr>
            <w:tcW w:type="dxa" w:w="2160"/>
            <w:tcMar>
              <w:top w:w="80" w:type="dxa"/>
              <w:start w:w="100" w:type="dxa"/>
              <w:bottom w:w="80" w:type="dxa"/>
              <w:end w:w="100" w:type="dxa"/>
            </w:tcMar>
            <w:vAlign w:val="top"/>
          </w:tcPr>
          <w:p>
            <w:pPr>
              <w:spacing w:after="0"/>
            </w:pPr>
            <w:r>
              <w:rPr>
                <w:sz w:val="16"/>
              </w:rPr>
              <w:t>Eventarc</w:t>
            </w:r>
          </w:p>
        </w:tc>
        <w:tc>
          <w:tcPr>
            <w:tcW w:type="dxa" w:w="7632"/>
            <w:tcMar>
              <w:top w:w="80" w:type="dxa"/>
              <w:start w:w="100" w:type="dxa"/>
              <w:bottom w:w="80" w:type="dxa"/>
              <w:end w:w="100" w:type="dxa"/>
            </w:tcMar>
            <w:vAlign w:val="top"/>
          </w:tcPr>
          <w:p>
            <w:pPr>
              <w:spacing w:after="0"/>
            </w:pPr>
            <w:r>
              <w:rPr>
                <w:sz w:val="16"/>
              </w:rPr>
              <w:t>gcloud eventarc triggers list --location=REGION; gcloud eventarc triggers describe NAME --location=REGION</w:t>
            </w:r>
          </w:p>
        </w:tc>
      </w:tr>
      <w:tr>
        <w:trPr>
          <w:cantSplit/>
        </w:trPr>
        <w:tc>
          <w:tcPr>
            <w:tcW w:type="dxa" w:w="2160"/>
            <w:tcMar>
              <w:top w:w="80" w:type="dxa"/>
              <w:start w:w="100" w:type="dxa"/>
              <w:bottom w:w="80" w:type="dxa"/>
              <w:end w:w="100" w:type="dxa"/>
            </w:tcMar>
            <w:vAlign w:val="top"/>
          </w:tcPr>
          <w:p>
            <w:pPr>
              <w:spacing w:after="0"/>
            </w:pPr>
            <w:r>
              <w:rPr>
                <w:sz w:val="16"/>
              </w:rPr>
              <w:t>Workflows</w:t>
            </w:r>
          </w:p>
        </w:tc>
        <w:tc>
          <w:tcPr>
            <w:tcW w:type="dxa" w:w="7632"/>
            <w:tcMar>
              <w:top w:w="80" w:type="dxa"/>
              <w:start w:w="100" w:type="dxa"/>
              <w:bottom w:w="80" w:type="dxa"/>
              <w:end w:w="100" w:type="dxa"/>
            </w:tcMar>
            <w:vAlign w:val="top"/>
          </w:tcPr>
          <w:p>
            <w:pPr>
              <w:spacing w:after="0"/>
            </w:pPr>
            <w:r>
              <w:rPr>
                <w:sz w:val="16"/>
              </w:rPr>
              <w:t>gcloud workflows list --location=REGION; gcloud workflows executions list NAME --location=REGION</w:t>
            </w:r>
          </w:p>
        </w:tc>
      </w:tr>
      <w:tr>
        <w:trPr>
          <w:cantSplit/>
        </w:trPr>
        <w:tc>
          <w:tcPr>
            <w:tcW w:type="dxa" w:w="2160"/>
            <w:tcMar>
              <w:top w:w="80" w:type="dxa"/>
              <w:start w:w="100" w:type="dxa"/>
              <w:bottom w:w="80" w:type="dxa"/>
              <w:end w:w="100" w:type="dxa"/>
            </w:tcMar>
            <w:vAlign w:val="top"/>
          </w:tcPr>
          <w:p>
            <w:pPr>
              <w:spacing w:after="0"/>
            </w:pPr>
            <w:r>
              <w:rPr>
                <w:sz w:val="16"/>
              </w:rPr>
              <w:t>Cloud Tasks</w:t>
            </w:r>
          </w:p>
        </w:tc>
        <w:tc>
          <w:tcPr>
            <w:tcW w:type="dxa" w:w="7632"/>
            <w:tcMar>
              <w:top w:w="80" w:type="dxa"/>
              <w:start w:w="100" w:type="dxa"/>
              <w:bottom w:w="80" w:type="dxa"/>
              <w:end w:w="100" w:type="dxa"/>
            </w:tcMar>
            <w:vAlign w:val="top"/>
          </w:tcPr>
          <w:p>
            <w:pPr>
              <w:spacing w:after="0"/>
            </w:pPr>
            <w:r>
              <w:rPr>
                <w:sz w:val="16"/>
              </w:rPr>
              <w:t>gcloud tasks queues list --location=REGION; gcloud tasks list --queue=QUEUE --location=REGION</w:t>
            </w:r>
          </w:p>
        </w:tc>
      </w:tr>
      <w:tr>
        <w:trPr>
          <w:cantSplit/>
        </w:trPr>
        <w:tc>
          <w:tcPr>
            <w:tcW w:type="dxa" w:w="2160"/>
            <w:tcMar>
              <w:top w:w="80" w:type="dxa"/>
              <w:start w:w="100" w:type="dxa"/>
              <w:bottom w:w="80" w:type="dxa"/>
              <w:end w:w="100" w:type="dxa"/>
            </w:tcMar>
            <w:vAlign w:val="top"/>
          </w:tcPr>
          <w:p>
            <w:pPr>
              <w:spacing w:after="0"/>
            </w:pPr>
            <w:r>
              <w:rPr>
                <w:sz w:val="16"/>
              </w:rPr>
              <w:t>Cloud Scheduler</w:t>
            </w:r>
          </w:p>
        </w:tc>
        <w:tc>
          <w:tcPr>
            <w:tcW w:type="dxa" w:w="7632"/>
            <w:tcMar>
              <w:top w:w="80" w:type="dxa"/>
              <w:start w:w="100" w:type="dxa"/>
              <w:bottom w:w="80" w:type="dxa"/>
              <w:end w:w="100" w:type="dxa"/>
            </w:tcMar>
            <w:vAlign w:val="top"/>
          </w:tcPr>
          <w:p>
            <w:pPr>
              <w:spacing w:after="0"/>
            </w:pPr>
            <w:r>
              <w:rPr>
                <w:sz w:val="16"/>
              </w:rPr>
              <w:t>gcloud scheduler jobs list --location=REGION; gcloud scheduler jobs run NAME --location=REGION</w:t>
            </w:r>
          </w:p>
        </w:tc>
      </w:tr>
      <w:tr>
        <w:trPr>
          <w:cantSplit/>
        </w:trPr>
        <w:tc>
          <w:tcPr>
            <w:tcW w:type="dxa" w:w="2160"/>
            <w:tcMar>
              <w:top w:w="80" w:type="dxa"/>
              <w:start w:w="100" w:type="dxa"/>
              <w:bottom w:w="80" w:type="dxa"/>
              <w:end w:w="100" w:type="dxa"/>
            </w:tcMar>
            <w:vAlign w:val="top"/>
          </w:tcPr>
          <w:p>
            <w:pPr>
              <w:spacing w:after="0"/>
            </w:pPr>
            <w:r>
              <w:rPr>
                <w:sz w:val="16"/>
              </w:rPr>
              <w:t>Asset and cleanup</w:t>
            </w:r>
          </w:p>
        </w:tc>
        <w:tc>
          <w:tcPr>
            <w:tcW w:type="dxa" w:w="7632"/>
            <w:tcMar>
              <w:top w:w="80" w:type="dxa"/>
              <w:start w:w="100" w:type="dxa"/>
              <w:bottom w:w="80" w:type="dxa"/>
              <w:end w:w="100" w:type="dxa"/>
            </w:tcMar>
            <w:vAlign w:val="top"/>
          </w:tcPr>
          <w:p>
            <w:pPr>
              <w:spacing w:after="0"/>
            </w:pPr>
            <w:r>
              <w:rPr>
                <w:sz w:val="16"/>
              </w:rPr>
              <w:t>gcloud asset search-all-resources --scope=projects/PROJECT_ID</w:t>
            </w:r>
          </w:p>
        </w:tc>
      </w:tr>
    </w:tbl>
    <w:p>
      <w:pPr>
        <w:spacing w:after="20"/>
      </w:pPr>
    </w:p>
    <w:p>
      <w:pPr>
        <w:spacing w:after="120"/>
      </w:pPr>
      <w:r>
        <w:rPr>
          <w:i w:val="0"/>
        </w:rPr>
        <w:t>Command groups, product names, and flags evolve. Confirm the installed gcloud components and current official command reference before production use. Always verify project, region, identity, digest, target, and deletion impact.</w:t>
      </w:r>
    </w:p>
    <w:p>
      <w:pPr>
        <w:pStyle w:val="Heading1"/>
        <w:keepNext/>
      </w:pPr>
      <w:r>
        <w:t>Production Readiness Checklist</w:t>
      </w:r>
    </w:p>
    <w:p>
      <w:pPr>
        <w:pStyle w:val="Heading2"/>
        <w:keepNext/>
      </w:pPr>
      <w:r>
        <w:t>Supply Chain</w:t>
      </w:r>
    </w:p>
    <w:p>
      <w:pPr>
        <w:pStyle w:val="ListBullet"/>
        <w:spacing w:after="60"/>
      </w:pPr>
      <w:r>
        <w:t>☐ Images are pinned by digest with source, builder, scan, SBOM, provenance, and approval evidence.</w:t>
      </w:r>
    </w:p>
    <w:p>
      <w:pPr>
        <w:pStyle w:val="ListBullet"/>
        <w:spacing w:after="60"/>
      </w:pPr>
      <w:r>
        <w:t>☐ Build, promotion, deploy, and runtime identities are separate.</w:t>
      </w:r>
    </w:p>
    <w:p>
      <w:pPr>
        <w:pStyle w:val="ListBullet"/>
        <w:spacing w:after="60"/>
      </w:pPr>
      <w:r>
        <w:t>☐ Deployment policy and emergency exception paths are tested.</w:t>
      </w:r>
    </w:p>
    <w:p>
      <w:pPr>
        <w:pStyle w:val="Heading2"/>
        <w:keepNext/>
      </w:pPr>
      <w:r>
        <w:t>Runtime</w:t>
      </w:r>
    </w:p>
    <w:p>
      <w:pPr>
        <w:pStyle w:val="ListBullet"/>
        <w:spacing w:after="60"/>
      </w:pPr>
      <w:r>
        <w:t>☐ GKE versus Cloud Run/function/job/worker choice is documented.</w:t>
      </w:r>
    </w:p>
    <w:p>
      <w:pPr>
        <w:pStyle w:val="ListBullet"/>
        <w:spacing w:after="60"/>
      </w:pPr>
      <w:r>
        <w:t>☐ Requests, limits, concurrency, autoscaling, quotas, disruption, and failure-state capacity are tested.</w:t>
      </w:r>
    </w:p>
    <w:p>
      <w:pPr>
        <w:pStyle w:val="ListBullet"/>
        <w:spacing w:after="60"/>
      </w:pPr>
      <w:r>
        <w:t>☐ Upgrade, canary, rollback, and deprecation ownership are explicit.</w:t>
      </w:r>
    </w:p>
    <w:p>
      <w:pPr>
        <w:pStyle w:val="Heading2"/>
        <w:keepNext/>
      </w:pPr>
      <w:r>
        <w:t>Identity and Network</w:t>
      </w:r>
    </w:p>
    <w:p>
      <w:pPr>
        <w:pStyle w:val="ListBullet"/>
        <w:spacing w:after="60"/>
      </w:pPr>
      <w:r>
        <w:t>☐ Workloads use short-lived identity without downloaded keys.</w:t>
      </w:r>
    </w:p>
    <w:p>
      <w:pPr>
        <w:pStyle w:val="ListBullet"/>
        <w:spacing w:after="60"/>
      </w:pPr>
      <w:r>
        <w:t>☐ Ingress, invocation, east-west, VPC egress, DNS, secrets, and firewall controls are least-privileged.</w:t>
      </w:r>
    </w:p>
    <w:p>
      <w:pPr>
        <w:pStyle w:val="ListBullet"/>
        <w:spacing w:after="60"/>
      </w:pPr>
      <w:r>
        <w:t>☐ Human admin and break-glass access are audited and time-bound.</w:t>
      </w:r>
    </w:p>
    <w:p>
      <w:pPr>
        <w:pStyle w:val="Heading2"/>
        <w:keepNext/>
      </w:pPr>
      <w:r>
        <w:t>API and Integration</w:t>
      </w:r>
    </w:p>
    <w:p>
      <w:pPr>
        <w:pStyle w:val="ListBullet"/>
        <w:spacing w:after="60"/>
      </w:pPr>
      <w:r>
        <w:t>☐ Contracts, versions, authentication, quotas, errors, and consumer ownership are governed.</w:t>
      </w:r>
    </w:p>
    <w:p>
      <w:pPr>
        <w:pStyle w:val="ListBullet"/>
        <w:spacing w:after="60"/>
      </w:pPr>
      <w:r>
        <w:t>☐ Events carry stable IDs, validated metadata, classification, and compatibility rules.</w:t>
      </w:r>
    </w:p>
    <w:p>
      <w:pPr>
        <w:pStyle w:val="ListBullet"/>
        <w:spacing w:after="60"/>
      </w:pPr>
      <w:r>
        <w:t>☐ Retries, idempotency, dead letters, replay, compensation, and reconciliation are tested.</w:t>
      </w:r>
    </w:p>
    <w:p>
      <w:pPr>
        <w:pStyle w:val="Heading2"/>
        <w:keepNext/>
      </w:pPr>
      <w:r>
        <w:t>Observability and Reliability</w:t>
      </w:r>
    </w:p>
    <w:p>
      <w:pPr>
        <w:pStyle w:val="ListBullet"/>
        <w:spacing w:after="60"/>
      </w:pPr>
      <w:r>
        <w:t>☐ SLOs cover user and asynchronous completion paths.</w:t>
      </w:r>
    </w:p>
    <w:p>
      <w:pPr>
        <w:pStyle w:val="ListBullet"/>
        <w:spacing w:after="60"/>
      </w:pPr>
      <w:r>
        <w:t>☐ Logs, metrics, traces, event IDs, task IDs, workflow executions, and business state correlate.</w:t>
      </w:r>
    </w:p>
    <w:p>
      <w:pPr>
        <w:pStyle w:val="ListBullet"/>
        <w:spacing w:after="60"/>
      </w:pPr>
      <w:r>
        <w:t>☐ Load, failure, restore/failover, and regional dependency game days have evidence.</w:t>
      </w:r>
    </w:p>
    <w:p>
      <w:pPr>
        <w:pStyle w:val="Heading2"/>
        <w:keepNext/>
      </w:pPr>
      <w:r>
        <w:t>Cost and Governance</w:t>
      </w:r>
    </w:p>
    <w:p>
      <w:pPr>
        <w:pStyle w:val="ListBullet"/>
        <w:spacing w:after="60"/>
      </w:pPr>
      <w:r>
        <w:t>☐ Labels, budgets, quotas, lifecycle cleanup, cluster/serverless utilization, egress, and log retention are reviewed.</w:t>
      </w:r>
    </w:p>
    <w:p>
      <w:pPr>
        <w:pStyle w:val="ListBullet"/>
        <w:spacing w:after="60"/>
      </w:pPr>
      <w:r>
        <w:t>☐ Platform templates and policies have owners, exception expiry, and compliance evidence.</w:t>
      </w:r>
    </w:p>
    <w:p>
      <w:pPr>
        <w:pStyle w:val="ListBullet"/>
        <w:spacing w:after="60"/>
      </w:pPr>
      <w:r>
        <w:t>☐ All lab and temporary resources have verified cleanup.</w:t>
      </w:r>
    </w:p>
    <w:p>
      <w:pPr>
        <w:pStyle w:val="Heading1"/>
        <w:keepNext/>
      </w:pPr>
      <w:r>
        <w:t>Glossary</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2592"/>
            <w:shd w:fill="1A73E8"/>
            <w:tcMar>
              <w:top w:w="80" w:type="dxa"/>
              <w:start w:w="100" w:type="dxa"/>
              <w:bottom w:w="80" w:type="dxa"/>
              <w:end w:w="100" w:type="dxa"/>
            </w:tcMar>
            <w:vAlign w:val="center"/>
          </w:tcPr>
          <w:p>
            <w:pPr>
              <w:jc w:val="center"/>
            </w:pPr>
            <w:r>
              <w:rPr>
                <w:b/>
                <w:color w:val="FFFFFF"/>
                <w:sz w:val="16"/>
              </w:rPr>
              <w:t>Term</w:t>
            </w:r>
          </w:p>
        </w:tc>
        <w:tc>
          <w:tcPr>
            <w:tcW w:type="dxa" w:w="7200"/>
            <w:shd w:fill="1A73E8"/>
            <w:tcMar>
              <w:top w:w="80" w:type="dxa"/>
              <w:start w:w="100" w:type="dxa"/>
              <w:bottom w:w="80" w:type="dxa"/>
              <w:end w:w="100" w:type="dxa"/>
            </w:tcMar>
            <w:vAlign w:val="center"/>
          </w:tcPr>
          <w:p>
            <w:pPr>
              <w:jc w:val="center"/>
            </w:pPr>
            <w:r>
              <w:rPr>
                <w:b/>
                <w:color w:val="FFFFFF"/>
                <w:sz w:val="16"/>
              </w:rPr>
              <w:t>Definition</w:t>
            </w:r>
          </w:p>
        </w:tc>
      </w:tr>
      <w:tr>
        <w:trPr>
          <w:cantSplit/>
        </w:trPr>
        <w:tc>
          <w:tcPr>
            <w:tcW w:type="dxa" w:w="2592"/>
            <w:tcMar>
              <w:top w:w="80" w:type="dxa"/>
              <w:start w:w="100" w:type="dxa"/>
              <w:bottom w:w="80" w:type="dxa"/>
              <w:end w:w="100" w:type="dxa"/>
            </w:tcMar>
            <w:vAlign w:val="top"/>
          </w:tcPr>
          <w:p>
            <w:pPr>
              <w:spacing w:after="0"/>
            </w:pPr>
            <w:r>
              <w:rPr>
                <w:sz w:val="16"/>
              </w:rPr>
              <w:t>Admission control</w:t>
            </w:r>
          </w:p>
        </w:tc>
        <w:tc>
          <w:tcPr>
            <w:tcW w:type="dxa" w:w="7200"/>
            <w:tcMar>
              <w:top w:w="80" w:type="dxa"/>
              <w:start w:w="100" w:type="dxa"/>
              <w:bottom w:w="80" w:type="dxa"/>
              <w:end w:w="100" w:type="dxa"/>
            </w:tcMar>
            <w:vAlign w:val="top"/>
          </w:tcPr>
          <w:p>
            <w:pPr>
              <w:spacing w:after="0"/>
            </w:pPr>
            <w:r>
              <w:rPr>
                <w:sz w:val="16"/>
              </w:rPr>
              <w:t>Validation or mutation of Kubernetes resources before they are persisted.</w:t>
            </w:r>
          </w:p>
        </w:tc>
      </w:tr>
      <w:tr>
        <w:trPr>
          <w:cantSplit/>
        </w:trPr>
        <w:tc>
          <w:tcPr>
            <w:tcW w:type="dxa" w:w="2592"/>
            <w:tcMar>
              <w:top w:w="80" w:type="dxa"/>
              <w:start w:w="100" w:type="dxa"/>
              <w:bottom w:w="80" w:type="dxa"/>
              <w:end w:w="100" w:type="dxa"/>
            </w:tcMar>
            <w:vAlign w:val="top"/>
          </w:tcPr>
          <w:p>
            <w:pPr>
              <w:spacing w:after="0"/>
            </w:pPr>
            <w:r>
              <w:rPr>
                <w:sz w:val="16"/>
              </w:rPr>
              <w:t>Artifact digest</w:t>
            </w:r>
          </w:p>
        </w:tc>
        <w:tc>
          <w:tcPr>
            <w:tcW w:type="dxa" w:w="7200"/>
            <w:tcMar>
              <w:top w:w="80" w:type="dxa"/>
              <w:start w:w="100" w:type="dxa"/>
              <w:bottom w:w="80" w:type="dxa"/>
              <w:end w:w="100" w:type="dxa"/>
            </w:tcMar>
            <w:vAlign w:val="top"/>
          </w:tcPr>
          <w:p>
            <w:pPr>
              <w:spacing w:after="0"/>
            </w:pPr>
            <w:r>
              <w:rPr>
                <w:sz w:val="16"/>
              </w:rPr>
              <w:t>A content-addressed immutable identifier for an image or package.</w:t>
            </w:r>
          </w:p>
        </w:tc>
      </w:tr>
      <w:tr>
        <w:trPr>
          <w:cantSplit/>
        </w:trPr>
        <w:tc>
          <w:tcPr>
            <w:tcW w:type="dxa" w:w="2592"/>
            <w:tcMar>
              <w:top w:w="80" w:type="dxa"/>
              <w:start w:w="100" w:type="dxa"/>
              <w:bottom w:w="80" w:type="dxa"/>
              <w:end w:w="100" w:type="dxa"/>
            </w:tcMar>
            <w:vAlign w:val="top"/>
          </w:tcPr>
          <w:p>
            <w:pPr>
              <w:spacing w:after="0"/>
            </w:pPr>
            <w:r>
              <w:rPr>
                <w:sz w:val="16"/>
              </w:rPr>
              <w:t>Attestation</w:t>
            </w:r>
          </w:p>
        </w:tc>
        <w:tc>
          <w:tcPr>
            <w:tcW w:type="dxa" w:w="7200"/>
            <w:tcMar>
              <w:top w:w="80" w:type="dxa"/>
              <w:start w:w="100" w:type="dxa"/>
              <w:bottom w:w="80" w:type="dxa"/>
              <w:end w:w="100" w:type="dxa"/>
            </w:tcMar>
            <w:vAlign w:val="top"/>
          </w:tcPr>
          <w:p>
            <w:pPr>
              <w:spacing w:after="0"/>
            </w:pPr>
            <w:r>
              <w:rPr>
                <w:sz w:val="16"/>
              </w:rPr>
              <w:t>A signed statement about an artifact, build, test, or approval.</w:t>
            </w:r>
          </w:p>
        </w:tc>
      </w:tr>
      <w:tr>
        <w:trPr>
          <w:cantSplit/>
        </w:trPr>
        <w:tc>
          <w:tcPr>
            <w:tcW w:type="dxa" w:w="2592"/>
            <w:tcMar>
              <w:top w:w="80" w:type="dxa"/>
              <w:start w:w="100" w:type="dxa"/>
              <w:bottom w:w="80" w:type="dxa"/>
              <w:end w:w="100" w:type="dxa"/>
            </w:tcMar>
            <w:vAlign w:val="top"/>
          </w:tcPr>
          <w:p>
            <w:pPr>
              <w:spacing w:after="0"/>
            </w:pPr>
            <w:r>
              <w:rPr>
                <w:sz w:val="16"/>
              </w:rPr>
              <w:t>Autopilot</w:t>
            </w:r>
          </w:p>
        </w:tc>
        <w:tc>
          <w:tcPr>
            <w:tcW w:type="dxa" w:w="7200"/>
            <w:tcMar>
              <w:top w:w="80" w:type="dxa"/>
              <w:start w:w="100" w:type="dxa"/>
              <w:bottom w:w="80" w:type="dxa"/>
              <w:end w:w="100" w:type="dxa"/>
            </w:tcMar>
            <w:vAlign w:val="top"/>
          </w:tcPr>
          <w:p>
            <w:pPr>
              <w:spacing w:after="0"/>
            </w:pPr>
            <w:r>
              <w:rPr>
                <w:sz w:val="16"/>
              </w:rPr>
              <w:t>A GKE operating mode in which Google manages node infrastructure and many security/scaling settings.</w:t>
            </w:r>
          </w:p>
        </w:tc>
      </w:tr>
      <w:tr>
        <w:trPr>
          <w:cantSplit/>
        </w:trPr>
        <w:tc>
          <w:tcPr>
            <w:tcW w:type="dxa" w:w="2592"/>
            <w:tcMar>
              <w:top w:w="80" w:type="dxa"/>
              <w:start w:w="100" w:type="dxa"/>
              <w:bottom w:w="80" w:type="dxa"/>
              <w:end w:w="100" w:type="dxa"/>
            </w:tcMar>
            <w:vAlign w:val="top"/>
          </w:tcPr>
          <w:p>
            <w:pPr>
              <w:spacing w:after="0"/>
            </w:pPr>
            <w:r>
              <w:rPr>
                <w:sz w:val="16"/>
              </w:rPr>
              <w:t>Binary Authorization</w:t>
            </w:r>
          </w:p>
        </w:tc>
        <w:tc>
          <w:tcPr>
            <w:tcW w:type="dxa" w:w="7200"/>
            <w:tcMar>
              <w:top w:w="80" w:type="dxa"/>
              <w:start w:w="100" w:type="dxa"/>
              <w:bottom w:w="80" w:type="dxa"/>
              <w:end w:w="100" w:type="dxa"/>
            </w:tcMar>
            <w:vAlign w:val="top"/>
          </w:tcPr>
          <w:p>
            <w:pPr>
              <w:spacing w:after="0"/>
            </w:pPr>
            <w:r>
              <w:rPr>
                <w:sz w:val="16"/>
              </w:rPr>
              <w:t>A deploy-time policy service that evaluates image attestations and rules.</w:t>
            </w:r>
          </w:p>
        </w:tc>
      </w:tr>
      <w:tr>
        <w:trPr>
          <w:cantSplit/>
        </w:trPr>
        <w:tc>
          <w:tcPr>
            <w:tcW w:type="dxa" w:w="2592"/>
            <w:tcMar>
              <w:top w:w="80" w:type="dxa"/>
              <w:start w:w="100" w:type="dxa"/>
              <w:bottom w:w="80" w:type="dxa"/>
              <w:end w:w="100" w:type="dxa"/>
            </w:tcMar>
            <w:vAlign w:val="top"/>
          </w:tcPr>
          <w:p>
            <w:pPr>
              <w:spacing w:after="0"/>
            </w:pPr>
            <w:r>
              <w:rPr>
                <w:sz w:val="16"/>
              </w:rPr>
              <w:t>CloudEvents</w:t>
            </w:r>
          </w:p>
        </w:tc>
        <w:tc>
          <w:tcPr>
            <w:tcW w:type="dxa" w:w="7200"/>
            <w:tcMar>
              <w:top w:w="80" w:type="dxa"/>
              <w:start w:w="100" w:type="dxa"/>
              <w:bottom w:w="80" w:type="dxa"/>
              <w:end w:w="100" w:type="dxa"/>
            </w:tcMar>
            <w:vAlign w:val="top"/>
          </w:tcPr>
          <w:p>
            <w:pPr>
              <w:spacing w:after="0"/>
            </w:pPr>
            <w:r>
              <w:rPr>
                <w:sz w:val="16"/>
              </w:rPr>
              <w:t>An open specification for standardized event metadata.</w:t>
            </w:r>
          </w:p>
        </w:tc>
      </w:tr>
      <w:tr>
        <w:trPr>
          <w:cantSplit/>
        </w:trPr>
        <w:tc>
          <w:tcPr>
            <w:tcW w:type="dxa" w:w="2592"/>
            <w:tcMar>
              <w:top w:w="80" w:type="dxa"/>
              <w:start w:w="100" w:type="dxa"/>
              <w:bottom w:w="80" w:type="dxa"/>
              <w:end w:w="100" w:type="dxa"/>
            </w:tcMar>
            <w:vAlign w:val="top"/>
          </w:tcPr>
          <w:p>
            <w:pPr>
              <w:spacing w:after="0"/>
            </w:pPr>
            <w:r>
              <w:rPr>
                <w:sz w:val="16"/>
              </w:rPr>
              <w:t>Compensation</w:t>
            </w:r>
          </w:p>
        </w:tc>
        <w:tc>
          <w:tcPr>
            <w:tcW w:type="dxa" w:w="7200"/>
            <w:tcMar>
              <w:top w:w="80" w:type="dxa"/>
              <w:start w:w="100" w:type="dxa"/>
              <w:bottom w:w="80" w:type="dxa"/>
              <w:end w:w="100" w:type="dxa"/>
            </w:tcMar>
            <w:vAlign w:val="top"/>
          </w:tcPr>
          <w:p>
            <w:pPr>
              <w:spacing w:after="0"/>
            </w:pPr>
            <w:r>
              <w:rPr>
                <w:sz w:val="16"/>
              </w:rPr>
              <w:t>A business action that reverses or mitigates a previously completed distributed step.</w:t>
            </w:r>
          </w:p>
        </w:tc>
      </w:tr>
      <w:tr>
        <w:trPr>
          <w:cantSplit/>
        </w:trPr>
        <w:tc>
          <w:tcPr>
            <w:tcW w:type="dxa" w:w="2592"/>
            <w:tcMar>
              <w:top w:w="80" w:type="dxa"/>
              <w:start w:w="100" w:type="dxa"/>
              <w:bottom w:w="80" w:type="dxa"/>
              <w:end w:w="100" w:type="dxa"/>
            </w:tcMar>
            <w:vAlign w:val="top"/>
          </w:tcPr>
          <w:p>
            <w:pPr>
              <w:spacing w:after="0"/>
            </w:pPr>
            <w:r>
              <w:rPr>
                <w:sz w:val="16"/>
              </w:rPr>
              <w:t>Concurrency</w:t>
            </w:r>
          </w:p>
        </w:tc>
        <w:tc>
          <w:tcPr>
            <w:tcW w:type="dxa" w:w="7200"/>
            <w:tcMar>
              <w:top w:w="80" w:type="dxa"/>
              <w:start w:w="100" w:type="dxa"/>
              <w:bottom w:w="80" w:type="dxa"/>
              <w:end w:w="100" w:type="dxa"/>
            </w:tcMar>
            <w:vAlign w:val="top"/>
          </w:tcPr>
          <w:p>
            <w:pPr>
              <w:spacing w:after="0"/>
            </w:pPr>
            <w:r>
              <w:rPr>
                <w:sz w:val="16"/>
              </w:rPr>
              <w:t>The number of requests or units of work processed by one instance at the same time.</w:t>
            </w:r>
          </w:p>
        </w:tc>
      </w:tr>
      <w:tr>
        <w:trPr>
          <w:cantSplit/>
        </w:trPr>
        <w:tc>
          <w:tcPr>
            <w:tcW w:type="dxa" w:w="2592"/>
            <w:tcMar>
              <w:top w:w="80" w:type="dxa"/>
              <w:start w:w="100" w:type="dxa"/>
              <w:bottom w:w="80" w:type="dxa"/>
              <w:end w:w="100" w:type="dxa"/>
            </w:tcMar>
            <w:vAlign w:val="top"/>
          </w:tcPr>
          <w:p>
            <w:pPr>
              <w:spacing w:after="0"/>
            </w:pPr>
            <w:r>
              <w:rPr>
                <w:sz w:val="16"/>
              </w:rPr>
              <w:t>Dead-letter topic</w:t>
            </w:r>
          </w:p>
        </w:tc>
        <w:tc>
          <w:tcPr>
            <w:tcW w:type="dxa" w:w="7200"/>
            <w:tcMar>
              <w:top w:w="80" w:type="dxa"/>
              <w:start w:w="100" w:type="dxa"/>
              <w:bottom w:w="80" w:type="dxa"/>
              <w:end w:w="100" w:type="dxa"/>
            </w:tcMar>
            <w:vAlign w:val="top"/>
          </w:tcPr>
          <w:p>
            <w:pPr>
              <w:spacing w:after="0"/>
            </w:pPr>
            <w:r>
              <w:rPr>
                <w:sz w:val="16"/>
              </w:rPr>
              <w:t>A Pub/Sub topic used to isolate messages that cannot be processed after configured attempts.</w:t>
            </w:r>
          </w:p>
        </w:tc>
      </w:tr>
      <w:tr>
        <w:trPr>
          <w:cantSplit/>
        </w:trPr>
        <w:tc>
          <w:tcPr>
            <w:tcW w:type="dxa" w:w="2592"/>
            <w:tcMar>
              <w:top w:w="80" w:type="dxa"/>
              <w:start w:w="100" w:type="dxa"/>
              <w:bottom w:w="80" w:type="dxa"/>
              <w:end w:w="100" w:type="dxa"/>
            </w:tcMar>
            <w:vAlign w:val="top"/>
          </w:tcPr>
          <w:p>
            <w:pPr>
              <w:spacing w:after="0"/>
            </w:pPr>
            <w:r>
              <w:rPr>
                <w:sz w:val="16"/>
              </w:rPr>
              <w:t>Eventarc</w:t>
            </w:r>
          </w:p>
        </w:tc>
        <w:tc>
          <w:tcPr>
            <w:tcW w:type="dxa" w:w="7200"/>
            <w:tcMar>
              <w:top w:w="80" w:type="dxa"/>
              <w:start w:w="100" w:type="dxa"/>
              <w:bottom w:w="80" w:type="dxa"/>
              <w:end w:w="100" w:type="dxa"/>
            </w:tcMar>
            <w:vAlign w:val="top"/>
          </w:tcPr>
          <w:p>
            <w:pPr>
              <w:spacing w:after="0"/>
            </w:pPr>
            <w:r>
              <w:rPr>
                <w:sz w:val="16"/>
              </w:rPr>
              <w:t>Google Cloud managed event routing offered in Standard and Advanced editions.</w:t>
            </w:r>
          </w:p>
        </w:tc>
      </w:tr>
      <w:tr>
        <w:trPr>
          <w:cantSplit/>
        </w:trPr>
        <w:tc>
          <w:tcPr>
            <w:tcW w:type="dxa" w:w="2592"/>
            <w:tcMar>
              <w:top w:w="80" w:type="dxa"/>
              <w:start w:w="100" w:type="dxa"/>
              <w:bottom w:w="80" w:type="dxa"/>
              <w:end w:w="100" w:type="dxa"/>
            </w:tcMar>
            <w:vAlign w:val="top"/>
          </w:tcPr>
          <w:p>
            <w:pPr>
              <w:spacing w:after="0"/>
            </w:pPr>
            <w:r>
              <w:rPr>
                <w:sz w:val="16"/>
              </w:rPr>
              <w:t>Fleet</w:t>
            </w:r>
          </w:p>
        </w:tc>
        <w:tc>
          <w:tcPr>
            <w:tcW w:type="dxa" w:w="7200"/>
            <w:tcMar>
              <w:top w:w="80" w:type="dxa"/>
              <w:start w:w="100" w:type="dxa"/>
              <w:bottom w:w="80" w:type="dxa"/>
              <w:end w:w="100" w:type="dxa"/>
            </w:tcMar>
            <w:vAlign w:val="top"/>
          </w:tcPr>
          <w:p>
            <w:pPr>
              <w:spacing w:after="0"/>
            </w:pPr>
            <w:r>
              <w:rPr>
                <w:sz w:val="16"/>
              </w:rPr>
              <w:t>A logical grouping of GKE clusters for consistent management capabilities.</w:t>
            </w:r>
          </w:p>
        </w:tc>
      </w:tr>
      <w:tr>
        <w:trPr>
          <w:cantSplit/>
        </w:trPr>
        <w:tc>
          <w:tcPr>
            <w:tcW w:type="dxa" w:w="2592"/>
            <w:tcMar>
              <w:top w:w="80" w:type="dxa"/>
              <w:start w:w="100" w:type="dxa"/>
              <w:bottom w:w="80" w:type="dxa"/>
              <w:end w:w="100" w:type="dxa"/>
            </w:tcMar>
            <w:vAlign w:val="top"/>
          </w:tcPr>
          <w:p>
            <w:pPr>
              <w:spacing w:after="0"/>
            </w:pPr>
            <w:r>
              <w:rPr>
                <w:sz w:val="16"/>
              </w:rPr>
              <w:t>Idempotency</w:t>
            </w:r>
          </w:p>
        </w:tc>
        <w:tc>
          <w:tcPr>
            <w:tcW w:type="dxa" w:w="7200"/>
            <w:tcMar>
              <w:top w:w="80" w:type="dxa"/>
              <w:start w:w="100" w:type="dxa"/>
              <w:bottom w:w="80" w:type="dxa"/>
              <w:end w:w="100" w:type="dxa"/>
            </w:tcMar>
            <w:vAlign w:val="top"/>
          </w:tcPr>
          <w:p>
            <w:pPr>
              <w:spacing w:after="0"/>
            </w:pPr>
            <w:r>
              <w:rPr>
                <w:sz w:val="16"/>
              </w:rPr>
              <w:t>The property that repeating an operation does not create additional unintended effects.</w:t>
            </w:r>
          </w:p>
        </w:tc>
      </w:tr>
      <w:tr>
        <w:trPr>
          <w:cantSplit/>
        </w:trPr>
        <w:tc>
          <w:tcPr>
            <w:tcW w:type="dxa" w:w="2592"/>
            <w:tcMar>
              <w:top w:w="80" w:type="dxa"/>
              <w:start w:w="100" w:type="dxa"/>
              <w:bottom w:w="80" w:type="dxa"/>
              <w:end w:w="100" w:type="dxa"/>
            </w:tcMar>
            <w:vAlign w:val="top"/>
          </w:tcPr>
          <w:p>
            <w:pPr>
              <w:spacing w:after="0"/>
            </w:pPr>
            <w:r>
              <w:rPr>
                <w:sz w:val="16"/>
              </w:rPr>
              <w:t>Ordering key</w:t>
            </w:r>
          </w:p>
        </w:tc>
        <w:tc>
          <w:tcPr>
            <w:tcW w:type="dxa" w:w="7200"/>
            <w:tcMar>
              <w:top w:w="80" w:type="dxa"/>
              <w:start w:w="100" w:type="dxa"/>
              <w:bottom w:w="80" w:type="dxa"/>
              <w:end w:w="100" w:type="dxa"/>
            </w:tcMar>
            <w:vAlign w:val="top"/>
          </w:tcPr>
          <w:p>
            <w:pPr>
              <w:spacing w:after="0"/>
            </w:pPr>
            <w:r>
              <w:rPr>
                <w:sz w:val="16"/>
              </w:rPr>
              <w:t>A Pub/Sub key that requests ordered delivery for related messages within documented scope.</w:t>
            </w:r>
          </w:p>
        </w:tc>
      </w:tr>
      <w:tr>
        <w:trPr>
          <w:cantSplit/>
        </w:trPr>
        <w:tc>
          <w:tcPr>
            <w:tcW w:type="dxa" w:w="2592"/>
            <w:tcMar>
              <w:top w:w="80" w:type="dxa"/>
              <w:start w:w="100" w:type="dxa"/>
              <w:bottom w:w="80" w:type="dxa"/>
              <w:end w:w="100" w:type="dxa"/>
            </w:tcMar>
            <w:vAlign w:val="top"/>
          </w:tcPr>
          <w:p>
            <w:pPr>
              <w:spacing w:after="0"/>
            </w:pPr>
            <w:r>
              <w:rPr>
                <w:sz w:val="16"/>
              </w:rPr>
              <w:t>PodDisruptionBudget</w:t>
            </w:r>
          </w:p>
        </w:tc>
        <w:tc>
          <w:tcPr>
            <w:tcW w:type="dxa" w:w="7200"/>
            <w:tcMar>
              <w:top w:w="80" w:type="dxa"/>
              <w:start w:w="100" w:type="dxa"/>
              <w:bottom w:w="80" w:type="dxa"/>
              <w:end w:w="100" w:type="dxa"/>
            </w:tcMar>
            <w:vAlign w:val="top"/>
          </w:tcPr>
          <w:p>
            <w:pPr>
              <w:spacing w:after="0"/>
            </w:pPr>
            <w:r>
              <w:rPr>
                <w:sz w:val="16"/>
              </w:rPr>
              <w:t>A Kubernetes policy limiting voluntary disruption of available pods.</w:t>
            </w:r>
          </w:p>
        </w:tc>
      </w:tr>
      <w:tr>
        <w:trPr>
          <w:cantSplit/>
        </w:trPr>
        <w:tc>
          <w:tcPr>
            <w:tcW w:type="dxa" w:w="2592"/>
            <w:tcMar>
              <w:top w:w="80" w:type="dxa"/>
              <w:start w:w="100" w:type="dxa"/>
              <w:bottom w:w="80" w:type="dxa"/>
              <w:end w:w="100" w:type="dxa"/>
            </w:tcMar>
            <w:vAlign w:val="top"/>
          </w:tcPr>
          <w:p>
            <w:pPr>
              <w:spacing w:after="0"/>
            </w:pPr>
            <w:r>
              <w:rPr>
                <w:sz w:val="16"/>
              </w:rPr>
              <w:t>Provenance</w:t>
            </w:r>
          </w:p>
        </w:tc>
        <w:tc>
          <w:tcPr>
            <w:tcW w:type="dxa" w:w="7200"/>
            <w:tcMar>
              <w:top w:w="80" w:type="dxa"/>
              <w:start w:w="100" w:type="dxa"/>
              <w:bottom w:w="80" w:type="dxa"/>
              <w:end w:w="100" w:type="dxa"/>
            </w:tcMar>
            <w:vAlign w:val="top"/>
          </w:tcPr>
          <w:p>
            <w:pPr>
              <w:spacing w:after="0"/>
            </w:pPr>
            <w:r>
              <w:rPr>
                <w:sz w:val="16"/>
              </w:rPr>
              <w:t>Verifiable metadata describing how and from what inputs an artifact was built.</w:t>
            </w:r>
          </w:p>
        </w:tc>
      </w:tr>
      <w:tr>
        <w:trPr>
          <w:cantSplit/>
        </w:trPr>
        <w:tc>
          <w:tcPr>
            <w:tcW w:type="dxa" w:w="2592"/>
            <w:tcMar>
              <w:top w:w="80" w:type="dxa"/>
              <w:start w:w="100" w:type="dxa"/>
              <w:bottom w:w="80" w:type="dxa"/>
              <w:end w:w="100" w:type="dxa"/>
            </w:tcMar>
            <w:vAlign w:val="top"/>
          </w:tcPr>
          <w:p>
            <w:pPr>
              <w:spacing w:after="0"/>
            </w:pPr>
            <w:r>
              <w:rPr>
                <w:sz w:val="16"/>
              </w:rPr>
              <w:t>Revision</w:t>
            </w:r>
          </w:p>
        </w:tc>
        <w:tc>
          <w:tcPr>
            <w:tcW w:type="dxa" w:w="7200"/>
            <w:tcMar>
              <w:top w:w="80" w:type="dxa"/>
              <w:start w:w="100" w:type="dxa"/>
              <w:bottom w:w="80" w:type="dxa"/>
              <w:end w:w="100" w:type="dxa"/>
            </w:tcMar>
            <w:vAlign w:val="top"/>
          </w:tcPr>
          <w:p>
            <w:pPr>
              <w:spacing w:after="0"/>
            </w:pPr>
            <w:r>
              <w:rPr>
                <w:sz w:val="16"/>
              </w:rPr>
              <w:t>An immutable Cloud Run service configuration and image version.</w:t>
            </w:r>
          </w:p>
        </w:tc>
      </w:tr>
      <w:tr>
        <w:trPr>
          <w:cantSplit/>
        </w:trPr>
        <w:tc>
          <w:tcPr>
            <w:tcW w:type="dxa" w:w="2592"/>
            <w:tcMar>
              <w:top w:w="80" w:type="dxa"/>
              <w:start w:w="100" w:type="dxa"/>
              <w:bottom w:w="80" w:type="dxa"/>
              <w:end w:w="100" w:type="dxa"/>
            </w:tcMar>
            <w:vAlign w:val="top"/>
          </w:tcPr>
          <w:p>
            <w:pPr>
              <w:spacing w:after="0"/>
            </w:pPr>
            <w:r>
              <w:rPr>
                <w:sz w:val="16"/>
              </w:rPr>
              <w:t>SBOM</w:t>
            </w:r>
          </w:p>
        </w:tc>
        <w:tc>
          <w:tcPr>
            <w:tcW w:type="dxa" w:w="7200"/>
            <w:tcMar>
              <w:top w:w="80" w:type="dxa"/>
              <w:start w:w="100" w:type="dxa"/>
              <w:bottom w:w="80" w:type="dxa"/>
              <w:end w:w="100" w:type="dxa"/>
            </w:tcMar>
            <w:vAlign w:val="top"/>
          </w:tcPr>
          <w:p>
            <w:pPr>
              <w:spacing w:after="0"/>
            </w:pPr>
            <w:r>
              <w:rPr>
                <w:sz w:val="16"/>
              </w:rPr>
              <w:t>Software bill of materials listing components included in an artifact.</w:t>
            </w:r>
          </w:p>
        </w:tc>
      </w:tr>
      <w:tr>
        <w:trPr>
          <w:cantSplit/>
        </w:trPr>
        <w:tc>
          <w:tcPr>
            <w:tcW w:type="dxa" w:w="2592"/>
            <w:tcMar>
              <w:top w:w="80" w:type="dxa"/>
              <w:start w:w="100" w:type="dxa"/>
              <w:bottom w:w="80" w:type="dxa"/>
              <w:end w:w="100" w:type="dxa"/>
            </w:tcMar>
            <w:vAlign w:val="top"/>
          </w:tcPr>
          <w:p>
            <w:pPr>
              <w:spacing w:after="0"/>
            </w:pPr>
            <w:r>
              <w:rPr>
                <w:sz w:val="16"/>
              </w:rPr>
              <w:t>Workload Identity Federation for GKE</w:t>
            </w:r>
          </w:p>
        </w:tc>
        <w:tc>
          <w:tcPr>
            <w:tcW w:type="dxa" w:w="7200"/>
            <w:tcMar>
              <w:top w:w="80" w:type="dxa"/>
              <w:start w:w="100" w:type="dxa"/>
              <w:bottom w:w="80" w:type="dxa"/>
              <w:end w:w="100" w:type="dxa"/>
            </w:tcMar>
            <w:vAlign w:val="top"/>
          </w:tcPr>
          <w:p>
            <w:pPr>
              <w:spacing w:after="0"/>
            </w:pPr>
            <w:r>
              <w:rPr>
                <w:sz w:val="16"/>
              </w:rPr>
              <w:t>Short-lived identity-based access from Kubernetes workloads to Google Cloud APIs without static keys.</w:t>
            </w:r>
          </w:p>
        </w:tc>
      </w:tr>
      <w:tr>
        <w:trPr>
          <w:cantSplit/>
        </w:trPr>
        <w:tc>
          <w:tcPr>
            <w:tcW w:type="dxa" w:w="2592"/>
            <w:tcMar>
              <w:top w:w="80" w:type="dxa"/>
              <w:start w:w="100" w:type="dxa"/>
              <w:bottom w:w="80" w:type="dxa"/>
              <w:end w:w="100" w:type="dxa"/>
            </w:tcMar>
            <w:vAlign w:val="top"/>
          </w:tcPr>
          <w:p>
            <w:pPr>
              <w:spacing w:after="0"/>
            </w:pPr>
            <w:r>
              <w:rPr>
                <w:sz w:val="16"/>
              </w:rPr>
              <w:t>Workflow connector</w:t>
            </w:r>
          </w:p>
        </w:tc>
        <w:tc>
          <w:tcPr>
            <w:tcW w:type="dxa" w:w="7200"/>
            <w:tcMar>
              <w:top w:w="80" w:type="dxa"/>
              <w:start w:w="100" w:type="dxa"/>
              <w:bottom w:w="80" w:type="dxa"/>
              <w:end w:w="100" w:type="dxa"/>
            </w:tcMar>
            <w:vAlign w:val="top"/>
          </w:tcPr>
          <w:p>
            <w:pPr>
              <w:spacing w:after="0"/>
            </w:pPr>
            <w:r>
              <w:rPr>
                <w:sz w:val="16"/>
              </w:rPr>
              <w:t>A built-in Workflows integration for calling a Google Cloud API.</w:t>
            </w:r>
          </w:p>
        </w:tc>
      </w:tr>
      <w:tr>
        <w:trPr>
          <w:cantSplit/>
        </w:trPr>
        <w:tc>
          <w:tcPr>
            <w:tcW w:type="dxa" w:w="2592"/>
            <w:tcMar>
              <w:top w:w="80" w:type="dxa"/>
              <w:start w:w="100" w:type="dxa"/>
              <w:bottom w:w="80" w:type="dxa"/>
              <w:end w:w="100" w:type="dxa"/>
            </w:tcMar>
            <w:vAlign w:val="top"/>
          </w:tcPr>
          <w:p>
            <w:pPr>
              <w:spacing w:after="0"/>
            </w:pPr>
            <w:r>
              <w:rPr>
                <w:sz w:val="16"/>
              </w:rPr>
              <w:t>Worker pool</w:t>
            </w:r>
          </w:p>
        </w:tc>
        <w:tc>
          <w:tcPr>
            <w:tcW w:type="dxa" w:w="7200"/>
            <w:tcMar>
              <w:top w:w="80" w:type="dxa"/>
              <w:start w:w="100" w:type="dxa"/>
              <w:bottom w:w="80" w:type="dxa"/>
              <w:end w:w="100" w:type="dxa"/>
            </w:tcMar>
            <w:vAlign w:val="top"/>
          </w:tcPr>
          <w:p>
            <w:pPr>
              <w:spacing w:after="0"/>
            </w:pPr>
            <w:r>
              <w:rPr>
                <w:sz w:val="16"/>
              </w:rPr>
              <w:t>A Cloud Run resource for continuous background work without a load-balanced URL.</w:t>
            </w:r>
          </w:p>
        </w:tc>
      </w:tr>
    </w:tbl>
    <w:p>
      <w:pPr>
        <w:spacing w:after="20"/>
      </w:pPr>
    </w:p>
    <w:p>
      <w:pPr>
        <w:pStyle w:val="Heading1"/>
        <w:keepNext/>
      </w:pPr>
      <w:r>
        <w:t>Official Documentation Index</w:t>
      </w:r>
    </w:p>
    <w:tbl>
      <w:tblPr>
        <w:tblStyle w:val="TableGrid"/>
        <w:tblW w:type="auto" w:w="0"/>
        <w:jc w:val="center"/>
        <w:tblLook w:firstColumn="1" w:firstRow="1" w:lastColumn="0" w:lastRow="0" w:noHBand="0" w:noVBand="1" w:val="04A0"/>
      </w:tblPr>
      <w:tblGrid>
        <w:gridCol w:w="5083"/>
        <w:gridCol w:w="5083"/>
      </w:tblGrid>
      <w:tr>
        <w:trPr>
          <w:tblHeader w:val="true"/>
          <w:tblHeader w:val="true"/>
        </w:trPr>
        <w:tc>
          <w:tcPr>
            <w:tcW w:type="dxa" w:w="3168"/>
            <w:shd w:fill="1A73E8"/>
            <w:tcMar>
              <w:top w:w="80" w:type="dxa"/>
              <w:start w:w="100" w:type="dxa"/>
              <w:bottom w:w="80" w:type="dxa"/>
              <w:end w:w="100" w:type="dxa"/>
            </w:tcMar>
            <w:vAlign w:val="center"/>
          </w:tcPr>
          <w:p>
            <w:pPr>
              <w:jc w:val="center"/>
            </w:pPr>
            <w:r>
              <w:rPr>
                <w:b/>
                <w:color w:val="FFFFFF"/>
                <w:sz w:val="16"/>
              </w:rPr>
              <w:t>Service</w:t>
            </w:r>
          </w:p>
        </w:tc>
        <w:tc>
          <w:tcPr>
            <w:tcW w:type="dxa" w:w="6624"/>
            <w:shd w:fill="1A73E8"/>
            <w:tcMar>
              <w:top w:w="80" w:type="dxa"/>
              <w:start w:w="100" w:type="dxa"/>
              <w:bottom w:w="80" w:type="dxa"/>
              <w:end w:w="100" w:type="dxa"/>
            </w:tcMar>
            <w:vAlign w:val="center"/>
          </w:tcPr>
          <w:p>
            <w:pPr>
              <w:jc w:val="center"/>
            </w:pPr>
            <w:r>
              <w:rPr>
                <w:b/>
                <w:color w:val="FFFFFF"/>
                <w:sz w:val="16"/>
              </w:rPr>
              <w:t>Official Documentation</w:t>
            </w:r>
          </w:p>
        </w:tc>
      </w:tr>
      <w:tr>
        <w:trPr>
          <w:cantSplit/>
        </w:trPr>
        <w:tc>
          <w:tcPr>
            <w:tcW w:type="dxa" w:w="3168"/>
            <w:tcMar>
              <w:top w:w="80" w:type="dxa"/>
              <w:start w:w="100" w:type="dxa"/>
              <w:bottom w:w="80" w:type="dxa"/>
              <w:end w:w="100" w:type="dxa"/>
            </w:tcMar>
            <w:vAlign w:val="top"/>
          </w:tcPr>
          <w:p>
            <w:pPr>
              <w:spacing w:after="0"/>
            </w:pPr>
            <w:r>
              <w:rPr>
                <w:sz w:val="16"/>
              </w:rPr>
              <w:t>Artifact Registry</w:t>
            </w:r>
          </w:p>
        </w:tc>
        <w:tc>
          <w:tcPr>
            <w:tcW w:type="dxa" w:w="6624"/>
            <w:tcMar>
              <w:top w:w="80" w:type="dxa"/>
              <w:start w:w="100" w:type="dxa"/>
              <w:bottom w:w="80" w:type="dxa"/>
              <w:end w:w="100" w:type="dxa"/>
            </w:tcMar>
            <w:vAlign w:val="top"/>
          </w:tcPr>
          <w:p>
            <w:pPr>
              <w:spacing w:after="0"/>
            </w:pPr>
            <w:r>
              <w:rPr>
                <w:sz w:val="16"/>
              </w:rPr>
              <w:t>https://docs.cloud.google.com/artifact-registry/docs</w:t>
            </w:r>
          </w:p>
        </w:tc>
      </w:tr>
      <w:tr>
        <w:trPr>
          <w:cantSplit/>
        </w:trPr>
        <w:tc>
          <w:tcPr>
            <w:tcW w:type="dxa" w:w="3168"/>
            <w:tcMar>
              <w:top w:w="80" w:type="dxa"/>
              <w:start w:w="100" w:type="dxa"/>
              <w:bottom w:w="80" w:type="dxa"/>
              <w:end w:w="100" w:type="dxa"/>
            </w:tcMar>
            <w:vAlign w:val="top"/>
          </w:tcPr>
          <w:p>
            <w:pPr>
              <w:spacing w:after="0"/>
            </w:pPr>
            <w:r>
              <w:rPr>
                <w:sz w:val="16"/>
              </w:rPr>
              <w:t>Container Analysis</w:t>
            </w:r>
          </w:p>
        </w:tc>
        <w:tc>
          <w:tcPr>
            <w:tcW w:type="dxa" w:w="6624"/>
            <w:tcMar>
              <w:top w:w="80" w:type="dxa"/>
              <w:start w:w="100" w:type="dxa"/>
              <w:bottom w:w="80" w:type="dxa"/>
              <w:end w:w="100" w:type="dxa"/>
            </w:tcMar>
            <w:vAlign w:val="top"/>
          </w:tcPr>
          <w:p>
            <w:pPr>
              <w:spacing w:after="0"/>
            </w:pPr>
            <w:r>
              <w:rPr>
                <w:sz w:val="16"/>
              </w:rPr>
              <w:t>https://docs.cloud.google.com/artifact-analysis/docs</w:t>
            </w:r>
          </w:p>
        </w:tc>
      </w:tr>
      <w:tr>
        <w:trPr>
          <w:cantSplit/>
        </w:trPr>
        <w:tc>
          <w:tcPr>
            <w:tcW w:type="dxa" w:w="3168"/>
            <w:tcMar>
              <w:top w:w="80" w:type="dxa"/>
              <w:start w:w="100" w:type="dxa"/>
              <w:bottom w:w="80" w:type="dxa"/>
              <w:end w:w="100" w:type="dxa"/>
            </w:tcMar>
            <w:vAlign w:val="top"/>
          </w:tcPr>
          <w:p>
            <w:pPr>
              <w:spacing w:after="0"/>
            </w:pPr>
            <w:r>
              <w:rPr>
                <w:sz w:val="16"/>
              </w:rPr>
              <w:t>Binary Authorization</w:t>
            </w:r>
          </w:p>
        </w:tc>
        <w:tc>
          <w:tcPr>
            <w:tcW w:type="dxa" w:w="6624"/>
            <w:tcMar>
              <w:top w:w="80" w:type="dxa"/>
              <w:start w:w="100" w:type="dxa"/>
              <w:bottom w:w="80" w:type="dxa"/>
              <w:end w:w="100" w:type="dxa"/>
            </w:tcMar>
            <w:vAlign w:val="top"/>
          </w:tcPr>
          <w:p>
            <w:pPr>
              <w:spacing w:after="0"/>
            </w:pPr>
            <w:r>
              <w:rPr>
                <w:sz w:val="16"/>
              </w:rPr>
              <w:t>https://docs.cloud.google.com/binary-authorization/docs</w:t>
            </w:r>
          </w:p>
        </w:tc>
      </w:tr>
      <w:tr>
        <w:trPr>
          <w:cantSplit/>
        </w:trPr>
        <w:tc>
          <w:tcPr>
            <w:tcW w:type="dxa" w:w="3168"/>
            <w:tcMar>
              <w:top w:w="80" w:type="dxa"/>
              <w:start w:w="100" w:type="dxa"/>
              <w:bottom w:w="80" w:type="dxa"/>
              <w:end w:w="100" w:type="dxa"/>
            </w:tcMar>
            <w:vAlign w:val="top"/>
          </w:tcPr>
          <w:p>
            <w:pPr>
              <w:spacing w:after="0"/>
            </w:pPr>
            <w:r>
              <w:rPr>
                <w:sz w:val="16"/>
              </w:rPr>
              <w:t>Google Kubernetes Engine</w:t>
            </w:r>
          </w:p>
        </w:tc>
        <w:tc>
          <w:tcPr>
            <w:tcW w:type="dxa" w:w="6624"/>
            <w:tcMar>
              <w:top w:w="80" w:type="dxa"/>
              <w:start w:w="100" w:type="dxa"/>
              <w:bottom w:w="80" w:type="dxa"/>
              <w:end w:w="100" w:type="dxa"/>
            </w:tcMar>
            <w:vAlign w:val="top"/>
          </w:tcPr>
          <w:p>
            <w:pPr>
              <w:spacing w:after="0"/>
            </w:pPr>
            <w:r>
              <w:rPr>
                <w:sz w:val="16"/>
              </w:rPr>
              <w:t>https://docs.cloud.google.com/kubernetes-engine/docs</w:t>
            </w:r>
          </w:p>
        </w:tc>
      </w:tr>
      <w:tr>
        <w:trPr>
          <w:cantSplit/>
        </w:trPr>
        <w:tc>
          <w:tcPr>
            <w:tcW w:type="dxa" w:w="3168"/>
            <w:tcMar>
              <w:top w:w="80" w:type="dxa"/>
              <w:start w:w="100" w:type="dxa"/>
              <w:bottom w:w="80" w:type="dxa"/>
              <w:end w:w="100" w:type="dxa"/>
            </w:tcMar>
            <w:vAlign w:val="top"/>
          </w:tcPr>
          <w:p>
            <w:pPr>
              <w:spacing w:after="0"/>
            </w:pPr>
            <w:r>
              <w:rPr>
                <w:sz w:val="16"/>
              </w:rPr>
              <w:t>GKE Autopilot</w:t>
            </w:r>
          </w:p>
        </w:tc>
        <w:tc>
          <w:tcPr>
            <w:tcW w:type="dxa" w:w="6624"/>
            <w:tcMar>
              <w:top w:w="80" w:type="dxa"/>
              <w:start w:w="100" w:type="dxa"/>
              <w:bottom w:w="80" w:type="dxa"/>
              <w:end w:w="100" w:type="dxa"/>
            </w:tcMar>
            <w:vAlign w:val="top"/>
          </w:tcPr>
          <w:p>
            <w:pPr>
              <w:spacing w:after="0"/>
            </w:pPr>
            <w:r>
              <w:rPr>
                <w:sz w:val="16"/>
              </w:rPr>
              <w:t>https://docs.cloud.google.com/kubernetes-engine/docs/concepts/autopilot-overview</w:t>
            </w:r>
          </w:p>
        </w:tc>
      </w:tr>
      <w:tr>
        <w:trPr>
          <w:cantSplit/>
        </w:trPr>
        <w:tc>
          <w:tcPr>
            <w:tcW w:type="dxa" w:w="3168"/>
            <w:tcMar>
              <w:top w:w="80" w:type="dxa"/>
              <w:start w:w="100" w:type="dxa"/>
              <w:bottom w:w="80" w:type="dxa"/>
              <w:end w:w="100" w:type="dxa"/>
            </w:tcMar>
            <w:vAlign w:val="top"/>
          </w:tcPr>
          <w:p>
            <w:pPr>
              <w:spacing w:after="0"/>
            </w:pPr>
            <w:r>
              <w:rPr>
                <w:sz w:val="16"/>
              </w:rPr>
              <w:t>Workload Identity Federation for GKE</w:t>
            </w:r>
          </w:p>
        </w:tc>
        <w:tc>
          <w:tcPr>
            <w:tcW w:type="dxa" w:w="6624"/>
            <w:tcMar>
              <w:top w:w="80" w:type="dxa"/>
              <w:start w:w="100" w:type="dxa"/>
              <w:bottom w:w="80" w:type="dxa"/>
              <w:end w:w="100" w:type="dxa"/>
            </w:tcMar>
            <w:vAlign w:val="top"/>
          </w:tcPr>
          <w:p>
            <w:pPr>
              <w:spacing w:after="0"/>
            </w:pPr>
            <w:r>
              <w:rPr>
                <w:sz w:val="16"/>
              </w:rPr>
              <w:t>https://docs.cloud.google.com/kubernetes-engine/docs/how-to/workload-identity</w:t>
            </w:r>
          </w:p>
        </w:tc>
      </w:tr>
      <w:tr>
        <w:trPr>
          <w:cantSplit/>
        </w:trPr>
        <w:tc>
          <w:tcPr>
            <w:tcW w:type="dxa" w:w="3168"/>
            <w:tcMar>
              <w:top w:w="80" w:type="dxa"/>
              <w:start w:w="100" w:type="dxa"/>
              <w:bottom w:w="80" w:type="dxa"/>
              <w:end w:w="100" w:type="dxa"/>
            </w:tcMar>
            <w:vAlign w:val="top"/>
          </w:tcPr>
          <w:p>
            <w:pPr>
              <w:spacing w:after="0"/>
            </w:pPr>
            <w:r>
              <w:rPr>
                <w:sz w:val="16"/>
              </w:rPr>
              <w:t>Cloud Run</w:t>
            </w:r>
          </w:p>
        </w:tc>
        <w:tc>
          <w:tcPr>
            <w:tcW w:type="dxa" w:w="6624"/>
            <w:tcMar>
              <w:top w:w="80" w:type="dxa"/>
              <w:start w:w="100" w:type="dxa"/>
              <w:bottom w:w="80" w:type="dxa"/>
              <w:end w:w="100" w:type="dxa"/>
            </w:tcMar>
            <w:vAlign w:val="top"/>
          </w:tcPr>
          <w:p>
            <w:pPr>
              <w:spacing w:after="0"/>
            </w:pPr>
            <w:r>
              <w:rPr>
                <w:sz w:val="16"/>
              </w:rPr>
              <w:t>https://docs.cloud.google.com/run/docs</w:t>
            </w:r>
          </w:p>
        </w:tc>
      </w:tr>
      <w:tr>
        <w:trPr>
          <w:cantSplit/>
        </w:trPr>
        <w:tc>
          <w:tcPr>
            <w:tcW w:type="dxa" w:w="3168"/>
            <w:tcMar>
              <w:top w:w="80" w:type="dxa"/>
              <w:start w:w="100" w:type="dxa"/>
              <w:bottom w:w="80" w:type="dxa"/>
              <w:end w:w="100" w:type="dxa"/>
            </w:tcMar>
            <w:vAlign w:val="top"/>
          </w:tcPr>
          <w:p>
            <w:pPr>
              <w:spacing w:after="0"/>
            </w:pPr>
            <w:r>
              <w:rPr>
                <w:sz w:val="16"/>
              </w:rPr>
              <w:t>Cloud Run functions</w:t>
            </w:r>
          </w:p>
        </w:tc>
        <w:tc>
          <w:tcPr>
            <w:tcW w:type="dxa" w:w="6624"/>
            <w:tcMar>
              <w:top w:w="80" w:type="dxa"/>
              <w:start w:w="100" w:type="dxa"/>
              <w:bottom w:w="80" w:type="dxa"/>
              <w:end w:w="100" w:type="dxa"/>
            </w:tcMar>
            <w:vAlign w:val="top"/>
          </w:tcPr>
          <w:p>
            <w:pPr>
              <w:spacing w:after="0"/>
            </w:pPr>
            <w:r>
              <w:rPr>
                <w:sz w:val="16"/>
              </w:rPr>
              <w:t>https://docs.cloud.google.com/functions/docs</w:t>
            </w:r>
          </w:p>
        </w:tc>
      </w:tr>
      <w:tr>
        <w:trPr>
          <w:cantSplit/>
        </w:trPr>
        <w:tc>
          <w:tcPr>
            <w:tcW w:type="dxa" w:w="3168"/>
            <w:tcMar>
              <w:top w:w="80" w:type="dxa"/>
              <w:start w:w="100" w:type="dxa"/>
              <w:bottom w:w="80" w:type="dxa"/>
              <w:end w:w="100" w:type="dxa"/>
            </w:tcMar>
            <w:vAlign w:val="top"/>
          </w:tcPr>
          <w:p>
            <w:pPr>
              <w:spacing w:after="0"/>
            </w:pPr>
            <w:r>
              <w:rPr>
                <w:sz w:val="16"/>
              </w:rPr>
              <w:t>API Gateway</w:t>
            </w:r>
          </w:p>
        </w:tc>
        <w:tc>
          <w:tcPr>
            <w:tcW w:type="dxa" w:w="6624"/>
            <w:tcMar>
              <w:top w:w="80" w:type="dxa"/>
              <w:start w:w="100" w:type="dxa"/>
              <w:bottom w:w="80" w:type="dxa"/>
              <w:end w:w="100" w:type="dxa"/>
            </w:tcMar>
            <w:vAlign w:val="top"/>
          </w:tcPr>
          <w:p>
            <w:pPr>
              <w:spacing w:after="0"/>
            </w:pPr>
            <w:r>
              <w:rPr>
                <w:sz w:val="16"/>
              </w:rPr>
              <w:t>https://docs.cloud.google.com/api-gateway/docs</w:t>
            </w:r>
          </w:p>
        </w:tc>
      </w:tr>
      <w:tr>
        <w:trPr>
          <w:cantSplit/>
        </w:trPr>
        <w:tc>
          <w:tcPr>
            <w:tcW w:type="dxa" w:w="3168"/>
            <w:tcMar>
              <w:top w:w="80" w:type="dxa"/>
              <w:start w:w="100" w:type="dxa"/>
              <w:bottom w:w="80" w:type="dxa"/>
              <w:end w:w="100" w:type="dxa"/>
            </w:tcMar>
            <w:vAlign w:val="top"/>
          </w:tcPr>
          <w:p>
            <w:pPr>
              <w:spacing w:after="0"/>
            </w:pPr>
            <w:r>
              <w:rPr>
                <w:sz w:val="16"/>
              </w:rPr>
              <w:t>Apigee</w:t>
            </w:r>
          </w:p>
        </w:tc>
        <w:tc>
          <w:tcPr>
            <w:tcW w:type="dxa" w:w="6624"/>
            <w:tcMar>
              <w:top w:w="80" w:type="dxa"/>
              <w:start w:w="100" w:type="dxa"/>
              <w:bottom w:w="80" w:type="dxa"/>
              <w:end w:w="100" w:type="dxa"/>
            </w:tcMar>
            <w:vAlign w:val="top"/>
          </w:tcPr>
          <w:p>
            <w:pPr>
              <w:spacing w:after="0"/>
            </w:pPr>
            <w:r>
              <w:rPr>
                <w:sz w:val="16"/>
              </w:rPr>
              <w:t>https://docs.cloud.google.com/apigee/docs</w:t>
            </w:r>
          </w:p>
        </w:tc>
      </w:tr>
      <w:tr>
        <w:trPr>
          <w:cantSplit/>
        </w:trPr>
        <w:tc>
          <w:tcPr>
            <w:tcW w:type="dxa" w:w="3168"/>
            <w:tcMar>
              <w:top w:w="80" w:type="dxa"/>
              <w:start w:w="100" w:type="dxa"/>
              <w:bottom w:w="80" w:type="dxa"/>
              <w:end w:w="100" w:type="dxa"/>
            </w:tcMar>
            <w:vAlign w:val="top"/>
          </w:tcPr>
          <w:p>
            <w:pPr>
              <w:spacing w:after="0"/>
            </w:pPr>
            <w:r>
              <w:rPr>
                <w:sz w:val="16"/>
              </w:rPr>
              <w:t>Pub/Sub</w:t>
            </w:r>
          </w:p>
        </w:tc>
        <w:tc>
          <w:tcPr>
            <w:tcW w:type="dxa" w:w="6624"/>
            <w:tcMar>
              <w:top w:w="80" w:type="dxa"/>
              <w:start w:w="100" w:type="dxa"/>
              <w:bottom w:w="80" w:type="dxa"/>
              <w:end w:w="100" w:type="dxa"/>
            </w:tcMar>
            <w:vAlign w:val="top"/>
          </w:tcPr>
          <w:p>
            <w:pPr>
              <w:spacing w:after="0"/>
            </w:pPr>
            <w:r>
              <w:rPr>
                <w:sz w:val="16"/>
              </w:rPr>
              <w:t>https://docs.cloud.google.com/pubsub/docs</w:t>
            </w:r>
          </w:p>
        </w:tc>
      </w:tr>
      <w:tr>
        <w:trPr>
          <w:cantSplit/>
        </w:trPr>
        <w:tc>
          <w:tcPr>
            <w:tcW w:type="dxa" w:w="3168"/>
            <w:tcMar>
              <w:top w:w="80" w:type="dxa"/>
              <w:start w:w="100" w:type="dxa"/>
              <w:bottom w:w="80" w:type="dxa"/>
              <w:end w:w="100" w:type="dxa"/>
            </w:tcMar>
            <w:vAlign w:val="top"/>
          </w:tcPr>
          <w:p>
            <w:pPr>
              <w:spacing w:after="0"/>
            </w:pPr>
            <w:r>
              <w:rPr>
                <w:sz w:val="16"/>
              </w:rPr>
              <w:t>Eventarc</w:t>
            </w:r>
          </w:p>
        </w:tc>
        <w:tc>
          <w:tcPr>
            <w:tcW w:type="dxa" w:w="6624"/>
            <w:tcMar>
              <w:top w:w="80" w:type="dxa"/>
              <w:start w:w="100" w:type="dxa"/>
              <w:bottom w:w="80" w:type="dxa"/>
              <w:end w:w="100" w:type="dxa"/>
            </w:tcMar>
            <w:vAlign w:val="top"/>
          </w:tcPr>
          <w:p>
            <w:pPr>
              <w:spacing w:after="0"/>
            </w:pPr>
            <w:r>
              <w:rPr>
                <w:sz w:val="16"/>
              </w:rPr>
              <w:t>https://docs.cloud.google.com/eventarc/docs</w:t>
            </w:r>
          </w:p>
        </w:tc>
      </w:tr>
      <w:tr>
        <w:trPr>
          <w:cantSplit/>
        </w:trPr>
        <w:tc>
          <w:tcPr>
            <w:tcW w:type="dxa" w:w="3168"/>
            <w:tcMar>
              <w:top w:w="80" w:type="dxa"/>
              <w:start w:w="100" w:type="dxa"/>
              <w:bottom w:w="80" w:type="dxa"/>
              <w:end w:w="100" w:type="dxa"/>
            </w:tcMar>
            <w:vAlign w:val="top"/>
          </w:tcPr>
          <w:p>
            <w:pPr>
              <w:spacing w:after="0"/>
            </w:pPr>
            <w:r>
              <w:rPr>
                <w:sz w:val="16"/>
              </w:rPr>
              <w:t>Workflows</w:t>
            </w:r>
          </w:p>
        </w:tc>
        <w:tc>
          <w:tcPr>
            <w:tcW w:type="dxa" w:w="6624"/>
            <w:tcMar>
              <w:top w:w="80" w:type="dxa"/>
              <w:start w:w="100" w:type="dxa"/>
              <w:bottom w:w="80" w:type="dxa"/>
              <w:end w:w="100" w:type="dxa"/>
            </w:tcMar>
            <w:vAlign w:val="top"/>
          </w:tcPr>
          <w:p>
            <w:pPr>
              <w:spacing w:after="0"/>
            </w:pPr>
            <w:r>
              <w:rPr>
                <w:sz w:val="16"/>
              </w:rPr>
              <w:t>https://docs.cloud.google.com/workflows/docs</w:t>
            </w:r>
          </w:p>
        </w:tc>
      </w:tr>
      <w:tr>
        <w:trPr>
          <w:cantSplit/>
        </w:trPr>
        <w:tc>
          <w:tcPr>
            <w:tcW w:type="dxa" w:w="3168"/>
            <w:tcMar>
              <w:top w:w="80" w:type="dxa"/>
              <w:start w:w="100" w:type="dxa"/>
              <w:bottom w:w="80" w:type="dxa"/>
              <w:end w:w="100" w:type="dxa"/>
            </w:tcMar>
            <w:vAlign w:val="top"/>
          </w:tcPr>
          <w:p>
            <w:pPr>
              <w:spacing w:after="0"/>
            </w:pPr>
            <w:r>
              <w:rPr>
                <w:sz w:val="16"/>
              </w:rPr>
              <w:t>Cloud Tasks</w:t>
            </w:r>
          </w:p>
        </w:tc>
        <w:tc>
          <w:tcPr>
            <w:tcW w:type="dxa" w:w="6624"/>
            <w:tcMar>
              <w:top w:w="80" w:type="dxa"/>
              <w:start w:w="100" w:type="dxa"/>
              <w:bottom w:w="80" w:type="dxa"/>
              <w:end w:w="100" w:type="dxa"/>
            </w:tcMar>
            <w:vAlign w:val="top"/>
          </w:tcPr>
          <w:p>
            <w:pPr>
              <w:spacing w:after="0"/>
            </w:pPr>
            <w:r>
              <w:rPr>
                <w:sz w:val="16"/>
              </w:rPr>
              <w:t>https://docs.cloud.google.com/tasks/docs</w:t>
            </w:r>
          </w:p>
        </w:tc>
      </w:tr>
      <w:tr>
        <w:trPr>
          <w:cantSplit/>
        </w:trPr>
        <w:tc>
          <w:tcPr>
            <w:tcW w:type="dxa" w:w="3168"/>
            <w:tcMar>
              <w:top w:w="80" w:type="dxa"/>
              <w:start w:w="100" w:type="dxa"/>
              <w:bottom w:w="80" w:type="dxa"/>
              <w:end w:w="100" w:type="dxa"/>
            </w:tcMar>
            <w:vAlign w:val="top"/>
          </w:tcPr>
          <w:p>
            <w:pPr>
              <w:spacing w:after="0"/>
            </w:pPr>
            <w:r>
              <w:rPr>
                <w:sz w:val="16"/>
              </w:rPr>
              <w:t>Cloud Scheduler</w:t>
            </w:r>
          </w:p>
        </w:tc>
        <w:tc>
          <w:tcPr>
            <w:tcW w:type="dxa" w:w="6624"/>
            <w:tcMar>
              <w:top w:w="80" w:type="dxa"/>
              <w:start w:w="100" w:type="dxa"/>
              <w:bottom w:w="80" w:type="dxa"/>
              <w:end w:w="100" w:type="dxa"/>
            </w:tcMar>
            <w:vAlign w:val="top"/>
          </w:tcPr>
          <w:p>
            <w:pPr>
              <w:spacing w:after="0"/>
            </w:pPr>
            <w:r>
              <w:rPr>
                <w:sz w:val="16"/>
              </w:rPr>
              <w:t>https://docs.cloud.google.com/scheduler/docs</w:t>
            </w:r>
          </w:p>
        </w:tc>
      </w:tr>
      <w:tr>
        <w:trPr>
          <w:cantSplit/>
        </w:trPr>
        <w:tc>
          <w:tcPr>
            <w:tcW w:type="dxa" w:w="3168"/>
            <w:tcMar>
              <w:top w:w="80" w:type="dxa"/>
              <w:start w:w="100" w:type="dxa"/>
              <w:bottom w:w="80" w:type="dxa"/>
              <w:end w:w="100" w:type="dxa"/>
            </w:tcMar>
            <w:vAlign w:val="top"/>
          </w:tcPr>
          <w:p>
            <w:pPr>
              <w:spacing w:after="0"/>
            </w:pPr>
            <w:r>
              <w:rPr>
                <w:sz w:val="16"/>
              </w:rPr>
              <w:t>Cloud Architecture Center - Applications</w:t>
            </w:r>
          </w:p>
        </w:tc>
        <w:tc>
          <w:tcPr>
            <w:tcW w:type="dxa" w:w="6624"/>
            <w:tcMar>
              <w:top w:w="80" w:type="dxa"/>
              <w:start w:w="100" w:type="dxa"/>
              <w:bottom w:w="80" w:type="dxa"/>
              <w:end w:w="100" w:type="dxa"/>
            </w:tcMar>
            <w:vAlign w:val="top"/>
          </w:tcPr>
          <w:p>
            <w:pPr>
              <w:spacing w:after="0"/>
            </w:pPr>
            <w:r>
              <w:rPr>
                <w:sz w:val="16"/>
              </w:rPr>
              <w:t>https://docs.cloud.google.com/architecture/applications</w:t>
            </w:r>
          </w:p>
        </w:tc>
      </w:tr>
    </w:tbl>
    <w:p>
      <w:pPr>
        <w:spacing w:after="20"/>
      </w:pPr>
    </w:p>
    <w:p>
      <w:pPr>
        <w:spacing w:after="120"/>
      </w:pPr>
      <w:r>
        <w:rPr>
          <w:i w:val="0"/>
        </w:rPr>
        <w:t>Google Cloud services change continuously. Recheck editions, regional availability, limits, pricing, deprecations, execution semantics, and command syntax against official documentation before production implementation.</w:t>
      </w:r>
    </w:p>
    <w:p>
      <w:pPr>
        <w:spacing w:before="240" w:after="240"/>
        <w:jc w:val="center"/>
      </w:pPr>
      <w:r>
        <w:rPr>
          <w:b/>
          <w:color w:val="174EA6"/>
          <w:sz w:val="22"/>
        </w:rPr>
        <w:t>END OF VOLUME 8D  |  NEXT: VOLUME 8E - GOOGLE CLOUD DEVOPS, OBSERVABILITY, SECURITY, GOVERNANCE, AND FINOPS</w:t>
      </w:r>
    </w:p>
    <w:sectPr w:rsidR="00FC693F" w:rsidRPr="0006063C" w:rsidSect="00034616">
      <w:headerReference w:type="default" r:id="rId9"/>
      <w:footerReference w:type="default" r:id="rId10"/>
      <w:pgSz w:w="12240" w:h="15840"/>
      <w:pgMar w:top="936" w:right="1037" w:bottom="936"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05050"/>
        <w:sz w:val="16"/>
      </w:rPr>
      <w:t xml:space="preserve">VOLUME 8D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color w:val="174EA6"/>
        <w:sz w:val="16"/>
      </w:rPr>
      <w:t>DEVOPS MASTER COURSE  |  VOLUME 8D - GOOGLE CLOUD CONTAINERS AND SERVERLESS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ptos Display" w:hAnsi="Aptos Display"/>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Aptos Display" w:hAnsi="Aptos Display"/>
      <w:b/>
      <w:bCs/>
      <w:color w:val="17365D"/>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200"/>
      <w:contextualSpacing/>
    </w:pPr>
    <w:rPr>
      <w:rFonts w:asciiTheme="majorHAnsi" w:eastAsiaTheme="majorEastAsia" w:hAnsiTheme="majorHAnsi" w:cstheme="majorBidi" w:ascii="Aptos Display" w:hAnsi="Aptos Display"/>
      <w:b/>
      <w:color w:val="17365D"/>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rPr>
      <w:rFonts w:ascii="Aptos" w:hAnsi="Aptos"/>
      <w:sz w:val="19"/>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80" w:after="120"/>
      <w:ind w:left="259" w:right="259"/>
      <w:shd w:fill="1E1E1E"/>
    </w:pPr>
    <w:rPr>
      <w:rFonts w:ascii="Liberation Mono" w:hAnsi="Liberation Mono"/>
      <w:color w:val="F5F5F5"/>
      <w:sz w:val="17"/>
    </w:rPr>
  </w:style>
  <w:style w:type="paragraph" w:customStyle="1" w:styleId="SmallNote">
    <w:name w:val="Small Note"/>
    <w:pPr>
      <w:spacing w:after="10"/>
    </w:pPr>
    <w:rPr>
      <w:rFonts w:ascii="Aptos" w:hAnsi="Aptos"/>
      <w:color w:val="505050"/>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DevOps Master Course - Volume 8D: Google Cloud Containers, Serverless, APIs, Events, and Workflows</dc:title>
  <dc:subject>Artifact Registry, GKE, Cloud Run, Cloud Run functions, API Gateway, Apigee, Pub/Sub, Eventarc, Workflows, Cloud Tasks, Cloud Scheduler, and enterprise cloud-native architecture</dc:subject>
  <dc:creator>DevOps Master Course</dc:creator>
  <cp:keywords>Google Cloud, GCP, Artifact Registry, GKE, Kubernetes, Cloud Run, Cloud Run functions, API Gateway, Apigee, Pub/Sub, Eventarc, Workflows, Cloud Tasks, Cloud Scheduler, serverless, containers</cp:keywords>
  <dc:description>2026 Edition</dc:description>
  <cp:lastModifiedBy/>
  <cp:revision>1</cp:revision>
  <dcterms:created xsi:type="dcterms:W3CDTF">2013-12-23T23:15:00Z</dcterms:created>
  <dcterms:modified xsi:type="dcterms:W3CDTF">2013-12-23T23:15:00Z</dcterms:modified>
  <cp:category/>
</cp:coreProperties>
</file>