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06" w14:textId="77777777" w:rsidR="00C7279A" w:rsidRDefault="00C7279A" w:rsidP="00C7279A">
      <w:pPr>
        <w:pStyle w:val="ListParagraph"/>
        <w:ind w:left="0"/>
      </w:pPr>
      <w:r>
        <w:t>The second layer of information will be used to generate the five secondary squares within each primary square. The names of each of the secondary squares will be:</w:t>
      </w:r>
    </w:p>
    <w:p w14:paraId="434A2F5D" w14:textId="77777777" w:rsidR="00C7279A" w:rsidRDefault="00C7279A" w:rsidP="00C7279A">
      <w:pPr>
        <w:pStyle w:val="ListBullet"/>
      </w:pPr>
      <w:r>
        <w:t>S&amp;P 500</w:t>
      </w:r>
    </w:p>
    <w:p w14:paraId="1007E8FE" w14:textId="77777777" w:rsidR="00C7279A" w:rsidRDefault="00C7279A" w:rsidP="00C7279A">
      <w:pPr>
        <w:pStyle w:val="ListBullet"/>
      </w:pPr>
      <w:r>
        <w:t>Russell 2000</w:t>
      </w:r>
    </w:p>
    <w:p w14:paraId="1A820276" w14:textId="77777777" w:rsidR="00C7279A" w:rsidRPr="001302DC" w:rsidRDefault="00C7279A" w:rsidP="00C7279A">
      <w:pPr>
        <w:pStyle w:val="ListBullet"/>
        <w:rPr>
          <w:strike/>
        </w:rPr>
      </w:pPr>
      <w:r w:rsidRPr="001302DC">
        <w:rPr>
          <w:strike/>
        </w:rPr>
        <w:t>Oil</w:t>
      </w:r>
      <w:r>
        <w:t xml:space="preserve"> </w:t>
      </w:r>
      <w:r>
        <w:rPr>
          <w:color w:val="FF0000"/>
        </w:rPr>
        <w:t xml:space="preserve">Commodities </w:t>
      </w:r>
    </w:p>
    <w:p w14:paraId="08A52676" w14:textId="77777777" w:rsidR="00C7279A" w:rsidRPr="001302DC" w:rsidRDefault="00C7279A" w:rsidP="00C7279A">
      <w:pPr>
        <w:pStyle w:val="ListBullet"/>
        <w:rPr>
          <w:strike/>
        </w:rPr>
      </w:pPr>
      <w:r w:rsidRPr="001302DC">
        <w:rPr>
          <w:strike/>
        </w:rPr>
        <w:t>NASDAQ 100</w:t>
      </w:r>
      <w:r>
        <w:t xml:space="preserve"> </w:t>
      </w:r>
      <w:r w:rsidRPr="001302DC">
        <w:rPr>
          <w:color w:val="FF0000"/>
        </w:rPr>
        <w:t>Emerging Markets</w:t>
      </w:r>
    </w:p>
    <w:p w14:paraId="42C13C2F" w14:textId="77777777" w:rsidR="00C7279A" w:rsidRDefault="00C7279A" w:rsidP="00C7279A">
      <w:pPr>
        <w:pStyle w:val="ListBullet"/>
      </w:pPr>
      <w:r>
        <w:t xml:space="preserve">20+ </w:t>
      </w:r>
      <w:proofErr w:type="spellStart"/>
      <w:r>
        <w:t>yr</w:t>
      </w:r>
      <w:proofErr w:type="spellEnd"/>
      <w:r>
        <w:t xml:space="preserve"> Treasuries </w:t>
      </w:r>
    </w:p>
    <w:p w14:paraId="1236A4FA" w14:textId="77777777" w:rsidR="005A122C" w:rsidRDefault="005A122C"/>
    <w:sectPr w:rsidR="005A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C0D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A"/>
    <w:rsid w:val="005A122C"/>
    <w:rsid w:val="00C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84E8"/>
  <w15:chartTrackingRefBased/>
  <w15:docId w15:val="{6DA181AC-3323-4BA3-90A3-F649946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9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2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2021-07-01T00:39:00Z</dcterms:created>
  <dcterms:modified xsi:type="dcterms:W3CDTF">2021-07-01T00:40:00Z</dcterms:modified>
</cp:coreProperties>
</file>