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Arial" w:cs="Arial" w:eastAsia="Arial" w:hAnsi="Arial"/>
          <w:b/>
          <w:bCs/>
          <w:color w:val="7a1a1a"/>
          <w:sz w:val="56"/>
          <w:szCs w:val="56"/>
        </w:rPr>
        <w:t xml:space="preserve">CAPA Report</w:t>
      </w:r>
    </w:p>
    <w:p>
      <w:pPr>
        <w:spacing w:after="60" w:before="0"/>
        <w:jc w:val="center"/>
      </w:pPr>
      <w:r>
        <w:rPr>
          <w:rFonts w:ascii="Arial" w:cs="Arial" w:eastAsia="Arial" w:hAnsi="Arial"/>
          <w:color w:val="4a4a6a"/>
          <w:sz w:val="28"/>
          <w:szCs w:val="28"/>
        </w:rPr>
        <w:t xml:space="preserve">Corrective and Preventive Action</w:t>
      </w:r>
    </w:p>
    <w:p>
      <w:pPr>
        <w:spacing w:after="60" w:before="0"/>
        <w:jc w:val="center"/>
      </w:pPr>
      <w:r>
        <w:rPr>
          <w:rFonts w:ascii="Arial" w:cs="Arial" w:eastAsia="Arial" w:hAnsi="Arial"/>
          <w:i/>
          <w:iCs/>
          <w:color w:val="4a4a6a"/>
          <w:sz w:val="22"/>
          <w:szCs w:val="22"/>
        </w:rPr>
        <w:t xml:space="preserve">Column-Level Security (CLS) Framework — Schema Synchronization Gap and Restricted-Column Error-Masking Rule Failure</w:t>
      </w:r>
    </w:p>
    <w:p>
      <w:pPr>
        <w:pBdr>
          <w:bottom w:val="single" w:color="CCCCDD" w:sz="4"/>
        </w:pBdr>
        <w:spacing w:after="80" w:before="80"/>
      </w:pPr>
      <w:r>
        <w:t xml:space="preserve"/>
      </w:r>
    </w:p>
    <w:p>
      <w:pPr>
        <w:spacing w:after="60" w:before="0"/>
        <w:jc w:val="center"/>
      </w:pPr>
      <w:r>
        <w:rPr>
          <w:rFonts w:ascii="Arial" w:cs="Arial" w:eastAsia="Arial" w:hAnsi="Arial"/>
          <w:color w:val="888888"/>
          <w:sz w:val="20"/>
          <w:szCs w:val="20"/>
        </w:rPr>
        <w:t xml:space="preserve">Confidential — Internal Engineering</w:t>
      </w:r>
    </w:p>
    <w:p>
      <w:r>
        <w:br w:type="page"/>
      </w:r>
    </w:p>
    <w:p>
      <w:pPr>
        <w:pStyle w:val="Heading1"/>
        <w:spacing w:after="120" w:before="400"/>
      </w:pPr>
      <w:r>
        <w:rPr>
          <w:rFonts w:ascii="Arial" w:cs="Arial" w:eastAsia="Arial" w:hAnsi="Arial"/>
          <w:b/>
          <w:bCs/>
          <w:color w:val="1a1a2e"/>
          <w:sz w:val="32"/>
          <w:szCs w:val="32"/>
        </w:rPr>
        <w:t xml:space="preserve">1. Executive Summary</w:t>
      </w:r>
    </w:p>
    <w:p>
      <w:pPr>
        <w:pBdr>
          <w:bottom w:val="single" w:color="CCCCDD" w:sz="4"/>
        </w:pBdr>
        <w:spacing w:after="80" w:before="80"/>
      </w:pPr>
      <w:r>
        <w:t xml:space="preserve"/>
      </w:r>
    </w:p>
    <w:p>
      <w:pPr>
        <w:spacing w:after="80" w:before="60"/>
        <w:jc w:val="both"/>
      </w:pPr>
      <w:r>
        <w:rPr>
          <w:rFonts w:ascii="Arial" w:cs="Arial" w:eastAsia="Arial" w:hAnsi="Arial"/>
          <w:color w:val="2a2a2a"/>
          <w:sz w:val="21"/>
          <w:szCs w:val="21"/>
        </w:rPr>
        <w:t xml:space="preserve">The Column-Level Security (CLS) framework, implemented as a Spark SQL query-compiler extension, experienced two related production-impacting defects within the same release lifecycle: a schema synchronization gap and a query-compiler error-masking rule failure.</w:t>
      </w:r>
    </w:p>
    <w:p>
      <w:pPr>
        <w:spacing w:after="80" w:before="0"/>
      </w:pPr>
      <w:r>
        <w:t xml:space="preserve"/>
      </w:r>
    </w:p>
    <w:p>
      <w:pPr>
        <w:spacing w:after="80" w:before="60"/>
        <w:jc w:val="both"/>
      </w:pPr>
      <w:r>
        <w:rPr>
          <w:rFonts w:ascii="Arial" w:cs="Arial" w:eastAsia="Arial" w:hAnsi="Arial"/>
          <w:color w:val="2a2a2a"/>
          <w:sz w:val="21"/>
          <w:szCs w:val="21"/>
        </w:rPr>
        <w:t xml:space="preserve">The first defect was a schema synchronization gap: CREATE TABLE on an existing Delta log path did not trigger Hive Metastore (HMS) schema synchronization, causing the HMS-recorded schema to diverge from the actual Delta log schema. Since HMS is the CLS source of truth for column permission metadata, this divergence undermined the reliability of the security boundary for affected tables.</w:t>
      </w:r>
    </w:p>
    <w:p>
      <w:pPr>
        <w:spacing w:after="80" w:before="0"/>
      </w:pPr>
      <w:r>
        <w:t xml:space="preserve"/>
      </w:r>
    </w:p>
    <w:p>
      <w:pPr>
        <w:spacing w:after="80" w:before="60"/>
        <w:jc w:val="both"/>
      </w:pPr>
      <w:r>
        <w:rPr>
          <w:rFonts w:ascii="Arial" w:cs="Arial" w:eastAsia="Arial" w:hAnsi="Arial"/>
          <w:color w:val="2a2a2a"/>
          <w:sz w:val="21"/>
          <w:szCs w:val="21"/>
        </w:rPr>
        <w:t xml:space="preserve">The second, more severe defect was introduced by a postHoc resolution rule (CLSRestrictedColumnErrorRule) intended to sanitise AnalysisException messages so that restricted column names and internal plan fragments would not leak to end users. Because Spark's query compiler is not a single linear pass — analysis re-enters recursively from the optimizer and physical planner via planLater — this rule intercepted internal AnalysisException instances that Spark uses as control-flow signals during plan exploration. This broke Spark's own planning fallback mechanism and caused a non-deterministic subset of fully permitted queries to fail. This defect required a full production rollback.</w:t>
      </w:r>
    </w:p>
    <w:p>
      <w:pPr>
        <w:spacing w:after="80" w:before="0"/>
      </w:pPr>
      <w:r>
        <w:t xml:space="preserve"/>
      </w:r>
    </w:p>
    <w:p>
      <w:pPr>
        <w:spacing w:after="80" w:before="60"/>
        <w:jc w:val="both"/>
      </w:pPr>
      <w:r>
        <w:rPr>
          <w:rFonts w:ascii="Arial" w:cs="Arial" w:eastAsia="Arial" w:hAnsi="Arial"/>
          <w:color w:val="2a2a2a"/>
          <w:sz w:val="21"/>
          <w:szCs w:val="21"/>
        </w:rPr>
        <w:t xml:space="preserve">This report documents the issue symptoms and blast radius, the rollback action taken, the forward fix strategy, root-cause analysis via the Five Whys method, learnings, corrective and preventive actions, detection and monitoring gaps, and testing and validation improvements adopted to prevent recurrence.</w:t>
      </w:r>
    </w:p>
    <w:p>
      <w:r>
        <w:br w:type="page"/>
      </w:r>
    </w:p>
    <w:p>
      <w:pPr>
        <w:pStyle w:val="Heading1"/>
        <w:spacing w:after="120" w:before="400"/>
      </w:pPr>
      <w:r>
        <w:rPr>
          <w:rFonts w:ascii="Arial" w:cs="Arial" w:eastAsia="Arial" w:hAnsi="Arial"/>
          <w:b/>
          <w:bCs/>
          <w:color w:val="1a1a2e"/>
          <w:sz w:val="32"/>
          <w:szCs w:val="32"/>
        </w:rPr>
        <w:t xml:space="preserve">2. Issue Description</w:t>
      </w:r>
    </w:p>
    <w:p>
      <w:pPr>
        <w:pBdr>
          <w:bottom w:val="single" w:color="CCCCDD" w:sz="4"/>
        </w:pBdr>
        <w:spacing w:after="80" w:before="80"/>
      </w:pPr>
      <w:r>
        <w:t xml:space="preserve"/>
      </w:r>
    </w:p>
    <w:p>
      <w:pPr>
        <w:pStyle w:val="Heading2"/>
        <w:spacing w:after="80" w:before="280"/>
      </w:pPr>
      <w:r>
        <w:rPr>
          <w:rFonts w:ascii="Arial" w:cs="Arial" w:eastAsia="Arial" w:hAnsi="Arial"/>
          <w:b/>
          <w:bCs/>
          <w:color w:val="7a1a1a"/>
          <w:sz w:val="26"/>
          <w:szCs w:val="26"/>
        </w:rPr>
        <w:t xml:space="preserve">2.a Symptoms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AAAACC" w:sz="1"/>
              <w:left w:val="single" w:color="AAAACC" w:sz="1"/>
              <w:bottom w:val="single" w:color="AAAACC" w:sz="1"/>
              <w:right w:val="single" w:color="AAAACC" w:sz="1"/>
            </w:tcBorders>
            <w:shd w:fill="7a1a1a"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6552"/>
            <w:tcBorders>
              <w:top w:val="single" w:color="AAAACC" w:sz="1"/>
              <w:left w:val="single" w:color="AAAACC" w:sz="1"/>
              <w:bottom w:val="single" w:color="AAAACC" w:sz="1"/>
              <w:right w:val="single" w:color="AAAACC" w:sz="1"/>
            </w:tcBorders>
            <w:shd w:fill="7a1a1a" w:val="clear"/>
            <w:tcMar>
              <w:top w:type="dxa" w:w="80"/>
              <w:left w:type="dxa" w:w="120"/>
              <w:bottom w:type="dxa" w:w="80"/>
              <w:right w:type="dxa" w:w="120"/>
            </w:tcMar>
            <w:vAlign w:val="center"/>
          </w:tcPr>
          <w:p>
            <w:r>
              <w:rPr>
                <w:rFonts w:ascii="Arial" w:cs="Arial" w:eastAsia="Arial" w:hAnsi="Arial"/>
                <w:b/>
                <w:bCs/>
                <w:color w:val="FFFFFF"/>
                <w:sz w:val="18"/>
                <w:szCs w:val="18"/>
              </w:rPr>
              <w:t xml:space="preserve">Observed Symptom</w:t>
            </w:r>
          </w:p>
        </w:tc>
      </w:tr>
      <w:tr>
        <w:tc>
          <w:tcPr>
            <w:tcW w:type="dxa" w:w="2808"/>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Schema Synchronization Gap</w:t>
            </w:r>
          </w:p>
        </w:tc>
        <w:tc>
          <w:tcPr>
            <w:tcW w:type="dxa" w:w="6552"/>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Tables created via CREATE TABLE over an existing Delta log path showed a CLS-enforced column set that did not match the table's actual schema. Queries referencing columns present in the Delta log but absent from the stale HMS schema record were either incorrectly permitted or incorrectly denied, depending on which side of the drift the column fell on.</w:t>
            </w:r>
          </w:p>
        </w:tc>
      </w:tr>
      <w:tr>
        <w:tc>
          <w:tcPr>
            <w:tcW w:type="dxa" w:w="280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Restricted Column Error-Masking Rule</w:t>
            </w:r>
          </w:p>
        </w:tc>
        <w:tc>
          <w:tcPr>
            <w:tcW w:type="dxa" w:w="655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A non-deterministic subset of fully permitted, previously working queries began failing with AnalysisException after the masking rule was deployed. Failures were not reproducible on every run of the same query — they depended on plan shape and how many times planLater re-entered the analysis pipeline during physical planning. Some queries failed only on certain clusters or under certain plan caching states.</w:t>
            </w:r>
          </w:p>
        </w:tc>
      </w:tr>
      <w:tr>
        <w:tc>
          <w:tcPr>
            <w:tcW w:type="dxa" w:w="2808"/>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DeltaMerge Star Expansion (related)</w:t>
            </w:r>
          </w:p>
        </w:tc>
        <w:tc>
          <w:tcPr>
            <w:tcW w:type="dxa" w:w="6552"/>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MERGE statements using SET * or INSERT * silently exposed CLS-restricted columns because star expansion in the MERGE SET clause was not covered by the existing CLS star-handling logic, which had only been validated for FROM-clause star expansion.</w:t>
            </w:r>
          </w:p>
        </w:tc>
      </w:tr>
    </w:tbl>
    <w:p>
      <w:pPr>
        <w:spacing w:after="80" w:before="0"/>
      </w:pPr>
      <w:r>
        <w:t xml:space="preserve"/>
      </w:r>
    </w:p>
    <w:p>
      <w:pPr>
        <w:pStyle w:val="Heading2"/>
        <w:spacing w:after="80" w:before="280"/>
      </w:pPr>
      <w:r>
        <w:rPr>
          <w:rFonts w:ascii="Arial" w:cs="Arial" w:eastAsia="Arial" w:hAnsi="Arial"/>
          <w:b/>
          <w:bCs/>
          <w:color w:val="7a1a1a"/>
          <w:sz w:val="26"/>
          <w:szCs w:val="26"/>
        </w:rPr>
        <w:t xml:space="preserve">2.b Blast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39"/>
      </w:tblGrid>
      <w:tr>
        <w:trPr>
          <w:tblHeader/>
        </w:trPr>
        <w:tc>
          <w:tcPr>
            <w:tcW w:type="dxa" w:w="2620"/>
            <w:tcBorders>
              <w:top w:val="single" w:color="AAAACC" w:sz="1"/>
              <w:left w:val="single" w:color="AAAACC" w:sz="1"/>
              <w:bottom w:val="single" w:color="AAAACC" w:sz="1"/>
              <w:right w:val="single" w:color="AAAACC" w:sz="1"/>
            </w:tcBorders>
            <w:shd w:fill="7a1a1a"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6739"/>
            <w:tcBorders>
              <w:top w:val="single" w:color="AAAACC" w:sz="1"/>
              <w:left w:val="single" w:color="AAAACC" w:sz="1"/>
              <w:bottom w:val="single" w:color="AAAACC" w:sz="1"/>
              <w:right w:val="single" w:color="AAAACC" w:sz="1"/>
            </w:tcBorders>
            <w:shd w:fill="7a1a1a"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r>
      <w:tr>
        <w:tc>
          <w:tcPr>
            <w:tcW w:type="dxa" w:w="2620"/>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Affected tables</w:t>
            </w:r>
          </w:p>
        </w:tc>
        <w:tc>
          <w:tcPr>
            <w:tcW w:type="dxa" w:w="6739"/>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All tables created via CREATE TABLE on a pre-existing Delta log path across all CLS-onboarded customers, including customer NAVI</w:t>
            </w:r>
          </w:p>
        </w:tc>
      </w:tr>
      <w:tr>
        <w:tc>
          <w:tcPr>
            <w:tcW w:type="dxa" w:w="262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Affected queries</w:t>
            </w:r>
          </w:p>
        </w:tc>
        <w:tc>
          <w:tcPr>
            <w:tcW w:type="dxa" w:w="6739"/>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Any query touching a CLS-protected view or table whose physical plan invoked planLater one or more times during physical planning — in practice, a non-deterministic but materially significant fraction of production query volume</w:t>
            </w:r>
          </w:p>
        </w:tc>
      </w:tr>
      <w:tr>
        <w:tc>
          <w:tcPr>
            <w:tcW w:type="dxa" w:w="2620"/>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Affected operations</w:t>
            </w:r>
          </w:p>
        </w:tc>
        <w:tc>
          <w:tcPr>
            <w:tcW w:type="dxa" w:w="6739"/>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SELECT queries (primary), MERGE INTO with SET * / INSERT * (secondary, separate root cause)</w:t>
            </w:r>
          </w:p>
        </w:tc>
      </w:tr>
      <w:tr>
        <w:tc>
          <w:tcPr>
            <w:tcW w:type="dxa" w:w="262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Customer impact</w:t>
            </w:r>
          </w:p>
        </w:tc>
        <w:tc>
          <w:tcPr>
            <w:tcW w:type="dxa" w:w="6739"/>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Production query failures on previously working, fully permitted SQL; in the schema-sync case, potential security-boundary unreliability since HMS schema is the basis for CLS enforcement</w:t>
            </w:r>
          </w:p>
        </w:tc>
      </w:tr>
      <w:tr>
        <w:tc>
          <w:tcPr>
            <w:tcW w:type="dxa" w:w="2620"/>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Severity</w:t>
            </w:r>
          </w:p>
        </w:tc>
        <w:tc>
          <w:tcPr>
            <w:tcW w:type="dxa" w:w="6739"/>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Critical — production rollback required for the restricted-column error-masking rule; high for the schema synchronization gap due to its bearing on the security boundary</w:t>
            </w:r>
          </w:p>
        </w:tc>
      </w:tr>
    </w:tbl>
    <w:p>
      <w:r>
        <w:br w:type="page"/>
      </w:r>
    </w:p>
    <w:p>
      <w:pPr>
        <w:pStyle w:val="Heading1"/>
        <w:spacing w:after="120" w:before="400"/>
      </w:pPr>
      <w:r>
        <w:rPr>
          <w:rFonts w:ascii="Arial" w:cs="Arial" w:eastAsia="Arial" w:hAnsi="Arial"/>
          <w:b/>
          <w:bCs/>
          <w:color w:val="1a1a2e"/>
          <w:sz w:val="32"/>
          <w:szCs w:val="32"/>
        </w:rPr>
        <w:t xml:space="preserve">3. Fix — Rollback to Pre-CLS Version</w:t>
      </w:r>
    </w:p>
    <w:p>
      <w:pPr>
        <w:pBdr>
          <w:bottom w:val="single" w:color="CCCCDD" w:sz="4"/>
        </w:pBdr>
        <w:spacing w:after="80" w:before="80"/>
      </w:pPr>
      <w:r>
        <w:t xml:space="preserve"/>
      </w:r>
    </w:p>
    <w:p>
      <w:pPr>
        <w:spacing w:after="80" w:before="60"/>
        <w:jc w:val="both"/>
      </w:pPr>
      <w:r>
        <w:rPr>
          <w:rFonts w:ascii="Arial" w:cs="Arial" w:eastAsia="Arial" w:hAnsi="Arial"/>
          <w:color w:val="2a2a2a"/>
          <w:sz w:val="21"/>
          <w:szCs w:val="21"/>
        </w:rPr>
        <w:t xml:space="preserve">Given the severity and non-deterministic nature of the restricted-column error-masking rule failure, the immediate response was to roll back to the last known-good release that predated the CLS implementation entirely, rather than attempting a forward-fix under production pressure. This restored query reliability immediately at the cost of temporarily disabling column-level enforcement.</w:t>
      </w:r>
    </w:p>
    <w:p>
      <w:pPr>
        <w:spacing w:after="80" w:before="0"/>
      </w:pPr>
      <w:r>
        <w:t xml:space="preserve"/>
      </w:r>
    </w:p>
    <w:p>
      <w:pPr>
        <w:pStyle w:val="Heading2"/>
        <w:spacing w:after="80" w:before="280"/>
      </w:pPr>
      <w:r>
        <w:rPr>
          <w:rFonts w:ascii="Arial" w:cs="Arial" w:eastAsia="Arial" w:hAnsi="Arial"/>
          <w:b/>
          <w:bCs/>
          <w:color w:val="7a1a1a"/>
          <w:sz w:val="26"/>
          <w:szCs w:val="26"/>
        </w:rPr>
        <w:t xml:space="preserve">3.a Mitigation /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AAAACC" w:sz="1"/>
              <w:left w:val="single" w:color="AAAACC" w:sz="1"/>
              <w:bottom w:val="single" w:color="AAAACC" w:sz="1"/>
              <w:right w:val="single" w:color="AAAACC" w:sz="1"/>
            </w:tcBorders>
            <w:shd w:fill="7a1a1a"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8424"/>
            <w:tcBorders>
              <w:top w:val="single" w:color="AAAACC" w:sz="1"/>
              <w:left w:val="single" w:color="AAAACC" w:sz="1"/>
              <w:bottom w:val="single" w:color="AAAACC" w:sz="1"/>
              <w:right w:val="single" w:color="AAAACC" w:sz="1"/>
            </w:tcBorders>
            <w:shd w:fill="7a1a1a"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936"/>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1</w:t>
            </w:r>
          </w:p>
        </w:tc>
        <w:tc>
          <w:tcPr>
            <w:tcW w:type="dxa" w:w="8424"/>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Immediate rollback of the Spark SQL extension JAR to the last pre-CLS production release across all affected clusters</w:t>
            </w:r>
          </w:p>
        </w:tc>
      </w:tr>
      <w:tr>
        <w:tc>
          <w:tcPr>
            <w:tcW w:type="dxa" w:w="93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2</w:t>
            </w:r>
          </w:p>
        </w:tc>
        <w:tc>
          <w:tcPr>
            <w:tcW w:type="dxa" w:w="8424"/>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Disabled CLSRestrictedColumnErrorRule registration in the extension entry point as the first corrective step once root cause was identified, ahead of a full re-release</w:t>
            </w:r>
          </w:p>
        </w:tc>
      </w:tr>
      <w:tr>
        <w:tc>
          <w:tcPr>
            <w:tcW w:type="dxa" w:w="936"/>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3</w:t>
            </w:r>
          </w:p>
        </w:tc>
        <w:tc>
          <w:tcPr>
            <w:tcW w:type="dxa" w:w="8424"/>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Verified previously failing queries returned to passing state post-rollback</w:t>
            </w:r>
          </w:p>
        </w:tc>
      </w:tr>
      <w:tr>
        <w:tc>
          <w:tcPr>
            <w:tcW w:type="dxa" w:w="93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4</w:t>
            </w:r>
          </w:p>
        </w:tc>
        <w:tc>
          <w:tcPr>
            <w:tcW w:type="dxa" w:w="8424"/>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Notified affected customers (including NAVI) of the temporary disabling of column-level enforcement and the expected timeline for re-release</w:t>
            </w:r>
          </w:p>
        </w:tc>
      </w:tr>
      <w:tr>
        <w:tc>
          <w:tcPr>
            <w:tcW w:type="dxa" w:w="936"/>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5</w:t>
            </w:r>
          </w:p>
        </w:tc>
        <w:tc>
          <w:tcPr>
            <w:tcW w:type="dxa" w:w="8424"/>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Held a freeze on CLS-related changes until the forward-fix and expanded test suite were validated in a staging environment representative of production plan shapes</w:t>
            </w:r>
          </w:p>
        </w:tc>
      </w:tr>
    </w:tbl>
    <w:p>
      <w:pPr>
        <w:spacing w:after="80" w:before="0"/>
      </w:pPr>
      <w:r>
        <w:t xml:space="preserve"/>
      </w:r>
    </w:p>
    <w:p>
      <w:pPr>
        <w:shd w:fill="FFF0F0" w:val="clear"/>
        <w:spacing w:after="120" w:before="120"/>
        <w:ind w:left="360" w:right="360"/>
      </w:pPr>
      <w:r>
        <w:rPr>
          <w:rFonts w:ascii="Arial" w:cs="Arial" w:eastAsia="Arial" w:hAnsi="Arial"/>
          <w:i/>
          <w:iCs/>
          <w:color w:val="7a1a1a"/>
          <w:sz w:val="20"/>
          <w:szCs w:val="20"/>
        </w:rPr>
        <w:t xml:space="preserve">The rollback was a deliberate trade-off: restoring query availability took priority over column-level enforcement for the duration of the incident. This is recorded explicitly because it represents a temporary, accepted reduction in the security posture and was time-boxed to the shortest interval needed to validate a forward fix.</w:t>
      </w:r>
    </w:p>
    <w:p>
      <w:r>
        <w:br w:type="page"/>
      </w:r>
    </w:p>
    <w:p>
      <w:pPr>
        <w:pStyle w:val="Heading1"/>
        <w:spacing w:after="120" w:before="400"/>
      </w:pPr>
      <w:r>
        <w:rPr>
          <w:rFonts w:ascii="Arial" w:cs="Arial" w:eastAsia="Arial" w:hAnsi="Arial"/>
          <w:b/>
          <w:bCs/>
          <w:color w:val="1a1a2e"/>
          <w:sz w:val="32"/>
          <w:szCs w:val="32"/>
        </w:rPr>
        <w:t xml:space="preserve">4. Fix Forward</w:t>
      </w:r>
    </w:p>
    <w:p>
      <w:pPr>
        <w:pBdr>
          <w:bottom w:val="single" w:color="CCCCDD" w:sz="4"/>
        </w:pBdr>
        <w:spacing w:after="80" w:before="80"/>
      </w:pPr>
      <w:r>
        <w:t xml:space="preserve"/>
      </w:r>
    </w:p>
    <w:p>
      <w:pPr>
        <w:spacing w:after="80" w:before="60"/>
        <w:jc w:val="both"/>
      </w:pPr>
      <w:r>
        <w:rPr>
          <w:rFonts w:ascii="Arial" w:cs="Arial" w:eastAsia="Arial" w:hAnsi="Arial"/>
          <w:color w:val="2a2a2a"/>
          <w:sz w:val="21"/>
          <w:szCs w:val="21"/>
        </w:rPr>
        <w:t xml:space="preserve">The forward fix addressed each defect at its root rather than patching symptoms, and was paired with an expanded automated test suite before re-release.</w:t>
      </w:r>
    </w:p>
    <w:p>
      <w:pPr>
        <w:spacing w:after="80" w:before="0"/>
      </w:pPr>
      <w:r>
        <w:t xml:space="preserve"/>
      </w:r>
    </w:p>
    <w:p>
      <w:pPr>
        <w:pStyle w:val="Heading3"/>
        <w:spacing w:after="60" w:before="200"/>
      </w:pPr>
      <w:r>
        <w:rPr>
          <w:rFonts w:ascii="Arial" w:cs="Arial" w:eastAsia="Arial" w:hAnsi="Arial"/>
          <w:b/>
          <w:bCs/>
          <w:color w:val="9a3a3a"/>
          <w:sz w:val="22"/>
          <w:szCs w:val="22"/>
        </w:rPr>
        <w:t xml:space="preserve">Schema Synchronization</w:t>
      </w:r>
    </w:p>
    <w:p>
      <w:pPr>
        <w:spacing w:after="80" w:before="60"/>
        <w:jc w:val="both"/>
      </w:pPr>
      <w:r>
        <w:rPr>
          <w:rFonts w:ascii="Arial" w:cs="Arial" w:eastAsia="Arial" w:hAnsi="Arial"/>
          <w:color w:val="2a2a2a"/>
          <w:sz w:val="21"/>
          <w:szCs w:val="21"/>
        </w:rPr>
        <w:t xml:space="preserve">Schema synchronization logic was extended to cover the CREATE TABLE on existing Delta log path, which had been the single gap in an otherwise complete set of schema mutation and evaluation paths (CREATE OR REPLACE TABLE, ALTER TABLE schema evolution, schema-on-read evaluation, REPLACE WHERE / partition overwrite, and Delta log schema merge were already correctly covered). HMS is treated as the canonical source of truth for CLS metadata, and any operation capable of mutating or evaluating a table schema now triggers a synchronization check against the underlying Delta log before CLS metadata is read or written.</w:t>
      </w:r>
    </w:p>
    <w:p>
      <w:pPr>
        <w:spacing w:after="80" w:before="0"/>
      </w:pPr>
      <w:r>
        <w:t xml:space="preserve"/>
      </w:r>
    </w:p>
    <w:p>
      <w:pPr>
        <w:pStyle w:val="Heading3"/>
        <w:spacing w:after="60" w:before="200"/>
      </w:pPr>
      <w:r>
        <w:rPr>
          <w:rFonts w:ascii="Arial" w:cs="Arial" w:eastAsia="Arial" w:hAnsi="Arial"/>
          <w:b/>
          <w:bCs/>
          <w:color w:val="9a3a3a"/>
          <w:sz w:val="22"/>
          <w:szCs w:val="22"/>
        </w:rPr>
        <w:t xml:space="preserve">Restricted Column Error-Masking Rule</w:t>
      </w:r>
    </w:p>
    <w:p>
      <w:pPr>
        <w:spacing w:after="80" w:before="60"/>
        <w:jc w:val="both"/>
      </w:pPr>
      <w:r>
        <w:rPr>
          <w:rFonts w:ascii="Arial" w:cs="Arial" w:eastAsia="Arial" w:hAnsi="Arial"/>
          <w:color w:val="2a2a2a"/>
          <w:sz w:val="21"/>
          <w:szCs w:val="21"/>
        </w:rPr>
        <w:t xml:space="preserve">CLSRestrictedColumnErrorRule was permanently removed from the postHoc resolution rule chain. AnalysisException sanitisation — the original intent of the rule, to prevent restricted column names and internal plan fragments leaking through exception output — is being re-implemented at the QueryExecution.assertAnalyzed boundary in patched Spark source, the single point in the compiler pipeline where exceptions surface to the user after all internal planLater re-entries are complete. This boundary fires exactly once per query, eliminating the interference with Spark's internal planning fallback mechanism that caused the original failure.</w:t>
      </w:r>
    </w:p>
    <w:p>
      <w:pPr>
        <w:spacing w:after="80" w:before="0"/>
      </w:pPr>
      <w:r>
        <w:t xml:space="preserve"/>
      </w:r>
    </w:p>
    <w:p>
      <w:pPr>
        <w:pStyle w:val="Heading3"/>
        <w:spacing w:after="60" w:before="200"/>
      </w:pPr>
      <w:r>
        <w:rPr>
          <w:rFonts w:ascii="Arial" w:cs="Arial" w:eastAsia="Arial" w:hAnsi="Arial"/>
          <w:b/>
          <w:bCs/>
          <w:color w:val="9a3a3a"/>
          <w:sz w:val="22"/>
          <w:szCs w:val="22"/>
        </w:rPr>
        <w:t xml:space="preserve">DeltaMerge Star Expansion</w:t>
      </w:r>
    </w:p>
    <w:p>
      <w:pPr>
        <w:spacing w:after="80" w:before="60"/>
        <w:jc w:val="both"/>
      </w:pPr>
      <w:r>
        <w:rPr>
          <w:rFonts w:ascii="Arial" w:cs="Arial" w:eastAsia="Arial" w:hAnsi="Arial"/>
          <w:color w:val="2a2a2a"/>
          <w:sz w:val="21"/>
          <w:szCs w:val="21"/>
        </w:rPr>
        <w:t xml:space="preserve">Star expansion handling in CLS was extended from FROM-clause only to also cover SET * and INSERT * in MERGE statements, ensuring wildcard expansion in all syntactic positions resolves against the CLS-restricted output rather than the raw source schema.</w:t>
      </w:r>
    </w:p>
    <w:p>
      <w:pPr>
        <w:spacing w:after="80" w:before="0"/>
      </w:pPr>
      <w:r>
        <w:t xml:space="preserve"/>
      </w:r>
    </w:p>
    <w:p>
      <w:pPr>
        <w:pStyle w:val="Heading3"/>
        <w:spacing w:after="60" w:before="200"/>
      </w:pPr>
      <w:r>
        <w:rPr>
          <w:rFonts w:ascii="Arial" w:cs="Arial" w:eastAsia="Arial" w:hAnsi="Arial"/>
          <w:b/>
          <w:bCs/>
          <w:color w:val="9a3a3a"/>
          <w:sz w:val="22"/>
          <w:szCs w:val="22"/>
        </w:rPr>
        <w:t xml:space="preserve">Test Suite Inclusion</w:t>
      </w:r>
    </w:p>
    <w:p>
      <w:pPr>
        <w:spacing w:after="80" w:before="60"/>
        <w:jc w:val="both"/>
      </w:pPr>
      <w:r>
        <w:rPr>
          <w:rFonts w:ascii="Arial" w:cs="Arial" w:eastAsia="Arial" w:hAnsi="Arial"/>
          <w:color w:val="2a2a2a"/>
          <w:sz w:val="21"/>
          <w:szCs w:val="21"/>
        </w:rPr>
        <w:t xml:space="preserve">Before re-release, an expanded automated regression suite was added covering single-table, multi-table join, broadcast join, subquery, and partition dynamic-pruning query shapes against both CLS-protected tables and CLS-protected views, across Delta and Parquet formats, with explicit assertions that restricted-column queries fail with the correct CLS-specific error and permitted-column queries execute successfully. This suite is detailed further in Section 9.</w:t>
      </w:r>
    </w:p>
    <w:p>
      <w:r>
        <w:br w:type="page"/>
      </w:r>
    </w:p>
    <w:p>
      <w:pPr>
        <w:pStyle w:val="Heading1"/>
        <w:spacing w:after="120" w:before="400"/>
      </w:pPr>
      <w:r>
        <w:rPr>
          <w:rFonts w:ascii="Arial" w:cs="Arial" w:eastAsia="Arial" w:hAnsi="Arial"/>
          <w:b/>
          <w:bCs/>
          <w:color w:val="1a1a2e"/>
          <w:sz w:val="32"/>
          <w:szCs w:val="32"/>
        </w:rPr>
        <w:t xml:space="preserve">5. Five Whys</w:t>
      </w:r>
    </w:p>
    <w:p>
      <w:pPr>
        <w:pBdr>
          <w:bottom w:val="single" w:color="CCCCDD" w:sz="4"/>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3182"/>
        <w:gridCol w:w="5616"/>
      </w:tblGrid>
      <w:tr>
        <w:trPr>
          <w:tblHeader/>
        </w:trPr>
        <w:tc>
          <w:tcPr>
            <w:tcW w:type="dxa" w:w="561"/>
            <w:tcBorders>
              <w:top w:val="single" w:color="AAAACC" w:sz="1"/>
              <w:left w:val="single" w:color="AAAACC" w:sz="1"/>
              <w:bottom w:val="single" w:color="AAAACC" w:sz="1"/>
              <w:right w:val="single" w:color="AAAACC" w:sz="1"/>
            </w:tcBorders>
            <w:shd w:fill="7a1a1a"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182"/>
            <w:tcBorders>
              <w:top w:val="single" w:color="AAAACC" w:sz="1"/>
              <w:left w:val="single" w:color="AAAACC" w:sz="1"/>
              <w:bottom w:val="single" w:color="AAAACC" w:sz="1"/>
              <w:right w:val="single" w:color="AAAACC" w:sz="1"/>
            </w:tcBorders>
            <w:shd w:fill="7a1a1a" w:val="clear"/>
            <w:tcMar>
              <w:top w:type="dxa" w:w="80"/>
              <w:left w:type="dxa" w:w="120"/>
              <w:bottom w:type="dxa" w:w="80"/>
              <w:right w:type="dxa" w:w="120"/>
            </w:tcMar>
            <w:vAlign w:val="center"/>
          </w:tcPr>
          <w:p>
            <w:r>
              <w:rPr>
                <w:rFonts w:ascii="Arial" w:cs="Arial" w:eastAsia="Arial" w:hAnsi="Arial"/>
                <w:b/>
                <w:bCs/>
                <w:color w:val="FFFFFF"/>
                <w:sz w:val="18"/>
                <w:szCs w:val="18"/>
              </w:rPr>
              <w:t xml:space="preserve">Why</w:t>
            </w:r>
          </w:p>
        </w:tc>
        <w:tc>
          <w:tcPr>
            <w:tcW w:type="dxa" w:w="5616"/>
            <w:tcBorders>
              <w:top w:val="single" w:color="AAAACC" w:sz="1"/>
              <w:left w:val="single" w:color="AAAACC" w:sz="1"/>
              <w:bottom w:val="single" w:color="AAAACC" w:sz="1"/>
              <w:right w:val="single" w:color="AAAACC" w:sz="1"/>
            </w:tcBorders>
            <w:shd w:fill="7a1a1a" w:val="clear"/>
            <w:tcMar>
              <w:top w:type="dxa" w:w="80"/>
              <w:left w:type="dxa" w:w="120"/>
              <w:bottom w:type="dxa" w:w="80"/>
              <w:right w:type="dxa" w:w="120"/>
            </w:tcMar>
            <w:vAlign w:val="center"/>
          </w:tcPr>
          <w:p>
            <w:r>
              <w:rPr>
                <w:rFonts w:ascii="Arial" w:cs="Arial" w:eastAsia="Arial" w:hAnsi="Arial"/>
                <w:b/>
                <w:bCs/>
                <w:color w:val="FFFFFF"/>
                <w:sz w:val="18"/>
                <w:szCs w:val="18"/>
              </w:rPr>
              <w:t xml:space="preserve">Finding</w:t>
            </w:r>
          </w:p>
        </w:tc>
      </w:tr>
      <w:tr>
        <w:tc>
          <w:tcPr>
            <w:tcW w:type="dxa" w:w="561"/>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1</w:t>
            </w:r>
          </w:p>
        </w:tc>
        <w:tc>
          <w:tcPr>
            <w:tcW w:type="dxa" w:w="3182"/>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Why did the schema synchronization gap occur?</w:t>
            </w:r>
          </w:p>
        </w:tc>
        <w:tc>
          <w:tcPr>
            <w:tcW w:type="dxa" w:w="5616"/>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Schema synchronization logic enumerated known schema mutation and evaluation paths individually rather than deriving from a single schema-inference contract. CREATE TABLE on an existing Delta log is a case where the table is newly registered in HMS but the physical data and schema already exist at the storage layer — this schema-inference case was not enumerated, so no synchronization check ran for it.</w:t>
            </w:r>
          </w:p>
        </w:tc>
      </w:tr>
      <w:tr>
        <w:tc>
          <w:tcPr>
            <w:tcW w:type="dxa" w:w="561"/>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2</w:t>
            </w:r>
          </w:p>
        </w:tc>
        <w:tc>
          <w:tcPr>
            <w:tcW w:type="dxa" w:w="318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Why did view consumption fail mid-query-compilation under the restricted rule?</w:t>
            </w:r>
          </w:p>
        </w:tc>
        <w:tc>
          <w:tcPr>
            <w:tcW w:type="dxa" w:w="561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The restricted-column error-masking rule was registered as a postHoc resolution rule, which Spark re-invokes every time planLater defers a sub-plan and re-triggers analysis. For views, sub-plan re-analysis is common (CTE inlining, subquery resolution), so the rule fired mid-compilation on plan fragments that were not yet in their final, fully-resolved form, causing legitimate in-progress AnalysisException control-flow signals to be replaced with terminal user-facing errors.</w:t>
            </w:r>
          </w:p>
        </w:tc>
      </w:tr>
      <w:tr>
        <w:tc>
          <w:tcPr>
            <w:tcW w:type="dxa" w:w="561"/>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3</w:t>
            </w:r>
          </w:p>
        </w:tc>
        <w:tc>
          <w:tcPr>
            <w:tcW w:type="dxa" w:w="3182"/>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Why was the restricted rule added at the end without being thoroughly tested against re-entrant analysis?</w:t>
            </w:r>
          </w:p>
        </w:tc>
        <w:tc>
          <w:tcPr>
            <w:tcW w:type="dxa" w:w="5616"/>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The rule was added late in the release cycle as a targeted fix for exception-message leakage and was validated against direct, single-pass query execution only. The recursive nature of Spark's analysis-optimizer-planner pipeline (via planLater) was not exercised in the validation queries used at the time, so the re-entrancy interaction was not discovered before release.</w:t>
            </w:r>
          </w:p>
        </w:tc>
      </w:tr>
      <w:tr>
        <w:tc>
          <w:tcPr>
            <w:tcW w:type="dxa" w:w="561"/>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4</w:t>
            </w:r>
          </w:p>
        </w:tc>
        <w:tc>
          <w:tcPr>
            <w:tcW w:type="dxa" w:w="318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Why did DeltaMerge with * in SET / UPDATE expose restricted columns?</w:t>
            </w:r>
          </w:p>
        </w:tc>
        <w:tc>
          <w:tcPr>
            <w:tcW w:type="dxa" w:w="561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CLS star-expansion handling was implemented and tested against FROM-clause star expansion only. SET * and INSERT * in MERGE statements expand internally against the source relation's pre-CLS output as part of Delta's own merge resolution rules, and this expansion path was not covered by the same interception logic, so it was not in scope of the original star-handling fix.</w:t>
            </w:r>
          </w:p>
        </w:tc>
      </w:tr>
      <w:tr>
        <w:tc>
          <w:tcPr>
            <w:tcW w:type="dxa" w:w="561"/>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5</w:t>
            </w:r>
          </w:p>
        </w:tc>
        <w:tc>
          <w:tcPr>
            <w:tcW w:type="dxa" w:w="3182"/>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Why were schema synchronization cases not covered for all paths from the outset?</w:t>
            </w:r>
          </w:p>
        </w:tc>
        <w:tc>
          <w:tcPr>
            <w:tcW w:type="dxa" w:w="5616"/>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Schema synchronization paths were derived from a list of explicitly known DDL and write operations rather than from a systematic audit of every code path capable of producing schema drift between HMS and the underlying storage engine (Delta log, Parquet footer, Iceberg metadata). The CREATE TABLE on existing Delta log path falls outside the explicit list because, from a DDL perspective, it appears as new-table creation rather than schema mutation, even though it implicitly inherits an existing schema from storage.</w:t>
            </w:r>
          </w:p>
        </w:tc>
      </w:tr>
    </w:tbl>
    <w:p>
      <w:r>
        <w:br w:type="page"/>
      </w:r>
    </w:p>
    <w:p>
      <w:pPr>
        <w:pStyle w:val="Heading1"/>
        <w:spacing w:after="120" w:before="400"/>
      </w:pPr>
      <w:r>
        <w:rPr>
          <w:rFonts w:ascii="Arial" w:cs="Arial" w:eastAsia="Arial" w:hAnsi="Arial"/>
          <w:b/>
          <w:bCs/>
          <w:color w:val="1a1a2e"/>
          <w:sz w:val="32"/>
          <w:szCs w:val="32"/>
        </w:rPr>
        <w:t xml:space="preserve">6. Learnings</w:t>
      </w:r>
    </w:p>
    <w:p>
      <w:pPr>
        <w:pBdr>
          <w:bottom w:val="single" w:color="CCCCDD" w:sz="4"/>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5"/>
        <w:gridCol w:w="5054"/>
      </w:tblGrid>
      <w:tr>
        <w:trPr>
          <w:tblHeader/>
        </w:trPr>
        <w:tc>
          <w:tcPr>
            <w:tcW w:type="dxa" w:w="4305"/>
            <w:tcBorders>
              <w:top w:val="single" w:color="AAAACC" w:sz="1"/>
              <w:left w:val="single" w:color="AAAACC" w:sz="1"/>
              <w:bottom w:val="single" w:color="AAAACC" w:sz="1"/>
              <w:right w:val="single" w:color="AAAACC" w:sz="1"/>
            </w:tcBorders>
            <w:shd w:fill="7a1a1a" w:val="clear"/>
            <w:tcMar>
              <w:top w:type="dxa" w:w="80"/>
              <w:left w:type="dxa" w:w="120"/>
              <w:bottom w:type="dxa" w:w="80"/>
              <w:right w:type="dxa" w:w="120"/>
            </w:tcMar>
            <w:vAlign w:val="center"/>
          </w:tcPr>
          <w:p>
            <w:r>
              <w:rPr>
                <w:rFonts w:ascii="Arial" w:cs="Arial" w:eastAsia="Arial" w:hAnsi="Arial"/>
                <w:b/>
                <w:bCs/>
                <w:color w:val="FFFFFF"/>
                <w:sz w:val="18"/>
                <w:szCs w:val="18"/>
              </w:rPr>
              <w:t xml:space="preserve">Learning</w:t>
            </w:r>
          </w:p>
        </w:tc>
        <w:tc>
          <w:tcPr>
            <w:tcW w:type="dxa" w:w="5054"/>
            <w:tcBorders>
              <w:top w:val="single" w:color="AAAACC" w:sz="1"/>
              <w:left w:val="single" w:color="AAAACC" w:sz="1"/>
              <w:bottom w:val="single" w:color="AAAACC" w:sz="1"/>
              <w:right w:val="single" w:color="AAAACC" w:sz="1"/>
            </w:tcBorders>
            <w:shd w:fill="7a1a1a"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Resulting Action</w:t>
            </w:r>
          </w:p>
        </w:tc>
      </w:tr>
      <w:tr>
        <w:tc>
          <w:tcPr>
            <w:tcW w:type="dxa" w:w="4305"/>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Spark's analysis, optimization, and physical planning phases are mutually recursive via planLater, not a single linear pass.</w:t>
            </w:r>
          </w:p>
        </w:tc>
        <w:tc>
          <w:tcPr>
            <w:tcW w:type="dxa" w:w="5054"/>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Any cross-cutting rule intended to fire exactly once at the user-facing boundary (e.g. exception sanitisation) must be implemented at the QueryExecution level in patched Spark source, never as a postHoc or resolution Spark extension rule.</w:t>
            </w:r>
          </w:p>
        </w:tc>
      </w:tr>
      <w:tr>
        <w:tc>
          <w:tcPr>
            <w:tcW w:type="dxa" w:w="4305"/>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Schema synchronization paths enumerated from a known-operations list rather than a systematic schema-drift audit will miss implicit-inheritance cases such as CREATE TABLE on an existing Delta log.</w:t>
            </w:r>
          </w:p>
        </w:tc>
        <w:tc>
          <w:tcPr>
            <w:tcW w:type="dxa" w:w="5054"/>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Schema synchronization is now triggered from a single shared check invoked by every code path that reads or writes table metadata, rather than being duplicated per-operation, and is being extended with a periodic background audit comparing HMS schema to underlying storage-engine schema for all CLS-protected tables.</w:t>
            </w:r>
          </w:p>
        </w:tc>
      </w:tr>
      <w:tr>
        <w:tc>
          <w:tcPr>
            <w:tcW w:type="dxa" w:w="4305"/>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Wildcard (*) expansion exists in multiple syntactic positions (FROM, SELECT, MERGE SET, MERGE INSERT) and each must be independently verified, not assumed covered by a single fix.</w:t>
            </w:r>
          </w:p>
        </w:tc>
        <w:tc>
          <w:tcPr>
            <w:tcW w:type="dxa" w:w="5054"/>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A checklist of all known star-expansion call sites across SQL and DML grammar is maintained and re-validated whenever CLS star-handling logic changes.</w:t>
            </w:r>
          </w:p>
        </w:tc>
      </w:tr>
      <w:tr>
        <w:tc>
          <w:tcPr>
            <w:tcW w:type="dxa" w:w="4305"/>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Rules added late in a release cycle as targeted fixes carry higher risk because they receive narrower validation than features designed in from the start.</w:t>
            </w:r>
          </w:p>
        </w:tc>
        <w:tc>
          <w:tcPr>
            <w:tcW w:type="dxa" w:w="5054"/>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Any new Spark extension rule, regardless of how small, now requires a mandatory recursive-compilation regression pass (multi-table joins, broadcast joins, subqueries, CTEs, views-on-views) before merge, not just direct single-pass query validation.</w:t>
            </w:r>
          </w:p>
        </w:tc>
      </w:tr>
      <w:tr>
        <w:tc>
          <w:tcPr>
            <w:tcW w:type="dxa" w:w="4305"/>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A production rollback to a pre-CLS release, while effective, temporarily removed column-level enforcement entirely rather than degrading gracefully.</w:t>
            </w:r>
          </w:p>
        </w:tc>
        <w:tc>
          <w:tcPr>
            <w:tcW w:type="dxa" w:w="5054"/>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A kill-switch design is being evaluated that allows disabling a single problematic CLS rule (e.g. via a feature flag) without rolling back the entire CLS framework, so future incidents can be contained without losing all enforcement.</w:t>
            </w:r>
          </w:p>
        </w:tc>
      </w:tr>
    </w:tbl>
    <w:p>
      <w:r>
        <w:br w:type="page"/>
      </w:r>
    </w:p>
    <w:p>
      <w:pPr>
        <w:pStyle w:val="Heading1"/>
        <w:spacing w:after="120" w:before="400"/>
      </w:pPr>
      <w:r>
        <w:rPr>
          <w:rFonts w:ascii="Arial" w:cs="Arial" w:eastAsia="Arial" w:hAnsi="Arial"/>
          <w:b/>
          <w:bCs/>
          <w:color w:val="1a1a2e"/>
          <w:sz w:val="32"/>
          <w:szCs w:val="32"/>
        </w:rPr>
        <w:t xml:space="preserve">7. Corrective and Preventive Actions (CAPA)</w:t>
      </w:r>
    </w:p>
    <w:p>
      <w:pPr>
        <w:pBdr>
          <w:bottom w:val="single" w:color="CCCCDD" w:sz="4"/>
        </w:pBdr>
        <w:spacing w:after="80" w:before="80"/>
      </w:pPr>
      <w:r>
        <w:t xml:space="preserve"/>
      </w:r>
    </w:p>
    <w:p>
      <w:pPr>
        <w:spacing w:after="80" w:before="60"/>
        <w:jc w:val="both"/>
      </w:pPr>
      <w:r>
        <w:rPr>
          <w:rFonts w:ascii="Arial" w:cs="Arial" w:eastAsia="Arial" w:hAnsi="Arial"/>
          <w:color w:val="2a2a2a"/>
          <w:sz w:val="21"/>
          <w:szCs w:val="21"/>
        </w:rPr>
        <w:t xml:space="preserve">The corrective and preventive action plan centres on systematic test coverage across the full cross-product of data formats, entity types, and operation types that the CLS framework must enforce against, rather than the narrower validation scope that allowed both defects to reach production.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AAAACC" w:sz="1"/>
              <w:left w:val="single" w:color="AAAACC" w:sz="1"/>
              <w:bottom w:val="single" w:color="AAAACC" w:sz="1"/>
              <w:right w:val="single" w:color="AAAACC" w:sz="1"/>
            </w:tcBorders>
            <w:shd w:fill="7a1a1a"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7020"/>
            <w:tcBorders>
              <w:top w:val="single" w:color="AAAACC" w:sz="1"/>
              <w:left w:val="single" w:color="AAAACC" w:sz="1"/>
              <w:bottom w:val="single" w:color="AAAACC" w:sz="1"/>
              <w:right w:val="single" w:color="AAAACC" w:sz="1"/>
            </w:tcBorders>
            <w:shd w:fill="7a1a1a" w:val="clear"/>
            <w:tcMar>
              <w:top w:type="dxa" w:w="80"/>
              <w:left w:type="dxa" w:w="120"/>
              <w:bottom w:type="dxa" w:w="80"/>
              <w:right w:type="dxa" w:w="120"/>
            </w:tcMar>
            <w:vAlign w:val="center"/>
          </w:tcPr>
          <w:p>
            <w:r>
              <w:rPr>
                <w:rFonts w:ascii="Arial" w:cs="Arial" w:eastAsia="Arial" w:hAnsi="Arial"/>
                <w:b/>
                <w:bCs/>
                <w:color w:val="FFFFFF"/>
                <w:sz w:val="18"/>
                <w:szCs w:val="18"/>
              </w:rPr>
              <w:t xml:space="preserve">Coverage</w:t>
            </w:r>
          </w:p>
        </w:tc>
      </w:tr>
      <w:tr>
        <w:tc>
          <w:tcPr>
            <w:tcW w:type="dxa" w:w="2340"/>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Data format coverage</w:t>
            </w:r>
          </w:p>
        </w:tc>
        <w:tc>
          <w:tcPr>
            <w:tcW w:type="dxa" w:w="7020"/>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All CLS-enforced read and write paths are tested against Delta, Parquet, and Iceberg table formats independently — no fix or new rule is considered validated until it has been exercised against each format, since schema and DML resolution paths differ meaningfully between them</w:t>
            </w:r>
          </w:p>
        </w:tc>
      </w:tr>
      <w:tr>
        <w:tc>
          <w:tcPr>
            <w:tcW w:type="dxa" w:w="234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Entity-type coverage</w:t>
            </w:r>
          </w:p>
        </w:tc>
        <w:tc>
          <w:tcPr>
            <w:tcW w:type="dxa" w:w="702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Every test scenario is run against both a CLS-protected table and a CLS-protected view referencing that table, including view-on-view composition, since the two enforcement paths (table-level secure projection vs. view-level CustomView boundary) have independent code paths and independent failure modes</w:t>
            </w:r>
          </w:p>
        </w:tc>
      </w:tr>
      <w:tr>
        <w:tc>
          <w:tcPr>
            <w:tcW w:type="dxa" w:w="2340"/>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DML operation coverage</w:t>
            </w:r>
          </w:p>
        </w:tc>
        <w:tc>
          <w:tcPr>
            <w:tcW w:type="dxa" w:w="7020"/>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MERGE INTO (including SET * / INSERT * star expansion), UPDATE, DELETE, and INSERT are each tested against CLS-protected targets and CLS-protected sources, validating both that restricted columns are blocked on read paths and that Lakeshare-gated write permission is correctly treated as full-column access on write targets</w:t>
            </w:r>
          </w:p>
        </w:tc>
      </w:tr>
      <w:tr>
        <w:tc>
          <w:tcPr>
            <w:tcW w:type="dxa" w:w="234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Access-path coverage</w:t>
            </w:r>
          </w:p>
        </w:tc>
        <w:tc>
          <w:tcPr>
            <w:tcW w:type="dxa" w:w="702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Every test scenario is validated through both spark.sql(...) string queries and the equivalent DataFrame API call chain (e.g. .select(), .filter(), .join()), since the two access paths exercise different portions of the resolver and have historically diverged in enforcement behaviour</w:t>
            </w:r>
          </w:p>
        </w:tc>
      </w:tr>
      <w:tr>
        <w:tc>
          <w:tcPr>
            <w:tcW w:type="dxa" w:w="2340"/>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Recursive-compilation coverage</w:t>
            </w:r>
          </w:p>
        </w:tc>
        <w:tc>
          <w:tcPr>
            <w:tcW w:type="dxa" w:w="7020"/>
            <w:tcBorders>
              <w:top w:val="single" w:color="AAAACC" w:sz="1"/>
              <w:left w:val="single" w:color="AAAACC" w:sz="1"/>
              <w:bottom w:val="single" w:color="AAAACC" w:sz="1"/>
              <w:right w:val="single" w:color="AAAACC" w:sz="1"/>
            </w:tcBorders>
            <w:shd w:fill="F8F0F0" w:val="clear"/>
            <w:tcMar>
              <w:top w:type="dxa" w:w="80"/>
              <w:left w:type="dxa" w:w="120"/>
              <w:bottom w:type="dxa" w:w="80"/>
              <w:right w:type="dxa" w:w="120"/>
            </w:tcMar>
            <w:vAlign w:val="top"/>
          </w:tcPr>
          <w:p>
            <w:r>
              <w:rPr>
                <w:rFonts w:ascii="Arial" w:cs="Arial" w:eastAsia="Arial" w:hAnsi="Arial"/>
                <w:color w:val="2a2a2a"/>
                <w:sz w:val="18"/>
                <w:szCs w:val="18"/>
              </w:rPr>
              <w:t xml:space="preserve">Test scenarios explicitly include query shapes known to trigger planLater re-entrant analysis — broadcast joins, scalar and correlated subqueries, multi-level CTEs, and dynamic partition pruning — so that any future rule with re-entrancy sensitivity is caught before release rather than in production</w:t>
            </w:r>
          </w:p>
        </w:tc>
      </w:tr>
    </w:tbl>
    <w:p>
      <w:r>
        <w:br w:type="page"/>
      </w:r>
    </w:p>
    <w:p>
      <w:pPr>
        <w:pStyle w:val="Heading1"/>
        <w:spacing w:after="120" w:before="400"/>
      </w:pPr>
      <w:r>
        <w:rPr>
          <w:rFonts w:ascii="Arial" w:cs="Arial" w:eastAsia="Arial" w:hAnsi="Arial"/>
          <w:b/>
          <w:bCs/>
          <w:color w:val="1a1a2e"/>
          <w:sz w:val="32"/>
          <w:szCs w:val="32"/>
        </w:rPr>
        <w:t xml:space="preserve">8. Detection and Monitoring Gaps</w:t>
      </w:r>
    </w:p>
    <w:p>
      <w:pPr>
        <w:pBdr>
          <w:bottom w:val="single" w:color="CCCCDD" w:sz="4"/>
        </w:pBdr>
        <w:spacing w:after="80" w:before="80"/>
      </w:pPr>
      <w:r>
        <w:t xml:space="preserve"/>
      </w:r>
    </w:p>
    <w:p>
      <w:pPr>
        <w:pStyle w:val="Heading2"/>
        <w:spacing w:after="80" w:before="280"/>
      </w:pPr>
      <w:r>
        <w:rPr>
          <w:rFonts w:ascii="Arial" w:cs="Arial" w:eastAsia="Arial" w:hAnsi="Arial"/>
          <w:b/>
          <w:bCs/>
          <w:color w:val="7a1a1a"/>
          <w:sz w:val="26"/>
          <w:szCs w:val="26"/>
        </w:rPr>
        <w:t xml:space="preserve">8.a Customer-Created External Delta Table — Schema Sync Failure</w:t>
      </w:r>
    </w:p>
    <w:p>
      <w:pPr>
        <w:spacing w:after="80" w:before="60"/>
        <w:jc w:val="both"/>
      </w:pPr>
      <w:r>
        <w:rPr>
          <w:rFonts w:ascii="Arial" w:cs="Arial" w:eastAsia="Arial" w:hAnsi="Arial"/>
          <w:color w:val="2a2a2a"/>
          <w:sz w:val="21"/>
          <w:szCs w:val="21"/>
        </w:rPr>
        <w:t xml:space="preserve">A customer (NAVI) created an external Delta table pointing at a path with a pre-existing Delta log, registering it via CREATE TABLE. No monitoring signal existed to detect that the HMS-recorded schema diverged from the actual Delta log schema at table-registration time. The drift was discovered only when CLS enforcement behaviour appeared inconsistent with the customer's expectations — there was no proactive alert, and detection was entirely reactive, dependent on the customer or an engineer noticing incorrect column visibility.</w:t>
      </w:r>
    </w:p>
    <w:p>
      <w:pPr>
        <w:spacing w:after="80" w:before="0"/>
      </w:pPr>
      <w:r>
        <w:t xml:space="preserve"/>
      </w:r>
    </w:p>
    <w:p>
      <w:pPr>
        <w:pStyle w:val="Heading2"/>
        <w:spacing w:after="80" w:before="280"/>
      </w:pPr>
      <w:r>
        <w:rPr>
          <w:rFonts w:ascii="Arial" w:cs="Arial" w:eastAsia="Arial" w:hAnsi="Arial"/>
          <w:b/>
          <w:bCs/>
          <w:color w:val="7a1a1a"/>
          <w:sz w:val="26"/>
          <w:szCs w:val="26"/>
        </w:rPr>
        <w:t xml:space="preserve">8.b MERGE with * in UPDATE / INSERT</w:t>
      </w:r>
    </w:p>
    <w:p>
      <w:pPr>
        <w:spacing w:after="80" w:before="60"/>
        <w:jc w:val="both"/>
      </w:pPr>
      <w:r>
        <w:rPr>
          <w:rFonts w:ascii="Arial" w:cs="Arial" w:eastAsia="Arial" w:hAnsi="Arial"/>
          <w:color w:val="2a2a2a"/>
          <w:sz w:val="21"/>
          <w:szCs w:val="21"/>
        </w:rPr>
        <w:t xml:space="preserve">No automated check existed to flag star-expansion code paths in DML grammar that were not covered by existing CLS interception logic. The gap in SET * / INSERT * handling was discovered through code review during an unrelated investigation rather than through any test failure, monitoring alert, or static analysis signal — meaning a similar gap in a different DML clause could exist today without detection.</w:t>
      </w:r>
    </w:p>
    <w:p>
      <w:pPr>
        <w:spacing w:after="80" w:before="0"/>
      </w:pPr>
      <w:r>
        <w:t xml:space="preserve"/>
      </w:r>
    </w:p>
    <w:p>
      <w:pPr>
        <w:pStyle w:val="Heading2"/>
        <w:spacing w:after="80" w:before="280"/>
      </w:pPr>
      <w:r>
        <w:rPr>
          <w:rFonts w:ascii="Arial" w:cs="Arial" w:eastAsia="Arial" w:hAnsi="Arial"/>
          <w:b/>
          <w:bCs/>
          <w:color w:val="7a1a1a"/>
          <w:sz w:val="26"/>
          <w:szCs w:val="26"/>
        </w:rPr>
        <w:t xml:space="preserve">8.c Lack of Test Suite Around CLS Feature Impacting Read and DML</w:t>
      </w:r>
    </w:p>
    <w:p>
      <w:pPr>
        <w:spacing w:after="80" w:before="60"/>
        <w:jc w:val="both"/>
      </w:pPr>
      <w:r>
        <w:rPr>
          <w:rFonts w:ascii="Arial" w:cs="Arial" w:eastAsia="Arial" w:hAnsi="Arial"/>
          <w:color w:val="2a2a2a"/>
          <w:sz w:val="21"/>
          <w:szCs w:val="21"/>
        </w:rPr>
        <w:t xml:space="preserve">At the time of both incidents, the CLS test suite was narrow in scope: it validated direct single-table SELECT queries against a small number of plan shapes and did not systematically exercise the cross-product of data formats, entity types (table vs. view), DML operation types, and access paths (SQL vs. DataFrame API) described in Section 7. Consequently, defects whose root cause lay in an under-tested combination of these dimensions — view consumption under re-entrant analysis, MERGE star expansion, and CREATE TABLE on existing Delta log — were able to reach production undetected.</w:t>
      </w:r>
    </w:p>
    <w:p>
      <w:r>
        <w:br w:type="page"/>
      </w:r>
    </w:p>
    <w:p>
      <w:pPr>
        <w:pStyle w:val="Heading1"/>
        <w:spacing w:after="120" w:before="400"/>
      </w:pPr>
      <w:r>
        <w:rPr>
          <w:rFonts w:ascii="Arial" w:cs="Arial" w:eastAsia="Arial" w:hAnsi="Arial"/>
          <w:b/>
          <w:bCs/>
          <w:color w:val="1a1a2e"/>
          <w:sz w:val="32"/>
          <w:szCs w:val="32"/>
        </w:rPr>
        <w:t xml:space="preserve">9. Testing and Validation Improvements</w:t>
      </w:r>
    </w:p>
    <w:p>
      <w:pPr>
        <w:pBdr>
          <w:bottom w:val="single" w:color="CCCCDD" w:sz="4"/>
        </w:pBdr>
        <w:spacing w:after="80" w:before="80"/>
      </w:pPr>
      <w:r>
        <w:t xml:space="preserve"/>
      </w:r>
    </w:p>
    <w:p>
      <w:pPr>
        <w:spacing w:after="80" w:before="60"/>
        <w:jc w:val="both"/>
      </w:pPr>
      <w:r>
        <w:rPr>
          <w:rFonts w:ascii="Arial" w:cs="Arial" w:eastAsia="Arial" w:hAnsi="Arial"/>
          <w:color w:val="2a2a2a"/>
          <w:sz w:val="21"/>
          <w:szCs w:val="21"/>
        </w:rPr>
        <w:t xml:space="preserve">The following test suites have been added or expanded as part of the forward fix and are now part of the mandatory pre-release regression gate for any change to the CLS framework.</w:t>
      </w:r>
    </w:p>
    <w:p>
      <w:pPr>
        <w:spacing w:after="80" w:before="0"/>
      </w:pPr>
      <w:r>
        <w:t xml:space="preserve"/>
      </w:r>
    </w:p>
    <w:p>
      <w:pPr>
        <w:pStyle w:val="Heading3"/>
        <w:spacing w:after="60" w:before="200"/>
      </w:pPr>
      <w:r>
        <w:rPr>
          <w:rFonts w:ascii="Arial" w:cs="Arial" w:eastAsia="Arial" w:hAnsi="Arial"/>
          <w:b/>
          <w:bCs/>
          <w:color w:val="9a3a3a"/>
          <w:sz w:val="22"/>
          <w:szCs w:val="22"/>
        </w:rPr>
        <w:t xml:space="preserve">Functional Coverage Suites</w:t>
      </w:r>
    </w:p>
    <w:p>
      <w:pPr>
        <w:pStyle w:val="ListParagraph"/>
        <w:numPr>
          <w:ilvl w:val="0"/>
          <w:numId w:val="2"/>
        </w:numPr>
        <w:spacing w:after="40" w:before="40"/>
      </w:pPr>
      <w:r>
        <w:rPr>
          <w:rFonts w:ascii="Arial" w:cs="Arial" w:eastAsia="Arial" w:hAnsi="Arial"/>
          <w:color w:val="2a2a2a"/>
          <w:sz w:val="21"/>
          <w:szCs w:val="21"/>
        </w:rPr>
        <w:t xml:space="preserve">Single-table CLS enforcement suite — SELECT, WHERE, ORDER BY, GROUP BY, HAVING, DISTINCT, window functions, CASE expressions, TABLESAMPLE, and PIVOT against both restricted and permitted columns, run against Delta and Parquet table formats.</w:t>
      </w:r>
    </w:p>
    <w:p>
      <w:pPr>
        <w:pStyle w:val="ListParagraph"/>
        <w:numPr>
          <w:ilvl w:val="0"/>
          <w:numId w:val="2"/>
        </w:numPr>
        <w:spacing w:after="40" w:before="40"/>
      </w:pPr>
      <w:r>
        <w:rPr>
          <w:rFonts w:ascii="Arial" w:cs="Arial" w:eastAsia="Arial" w:hAnsi="Arial"/>
          <w:color w:val="2a2a2a"/>
          <w:sz w:val="21"/>
          <w:szCs w:val="21"/>
        </w:rPr>
        <w:t xml:space="preserve">Multi-table join CLS enforcement suite — inner, left, right, full outer, cross, left semi, and left anti joins; UNION, UNION ALL, INTERSECT, EXCEPT; and JOIN USING, validating that restricted columns are blocked whether referenced in the join condition or the projection list.</w:t>
      </w:r>
    </w:p>
    <w:p>
      <w:pPr>
        <w:pStyle w:val="ListParagraph"/>
        <w:numPr>
          <w:ilvl w:val="0"/>
          <w:numId w:val="2"/>
        </w:numPr>
        <w:spacing w:after="40" w:before="40"/>
      </w:pPr>
      <w:r>
        <w:rPr>
          <w:rFonts w:ascii="Arial" w:cs="Arial" w:eastAsia="Arial" w:hAnsi="Arial"/>
          <w:color w:val="2a2a2a"/>
          <w:sz w:val="21"/>
          <w:szCs w:val="21"/>
        </w:rPr>
        <w:t xml:space="preserve">Broadcast join CLS enforcement suite — the same query shapes as above re-validated with explicit BROADCAST hints, since broadcast plans take a different physical planning path that has independently triggered planLater re-entrancy in the past.</w:t>
      </w:r>
    </w:p>
    <w:p>
      <w:pPr>
        <w:pStyle w:val="ListParagraph"/>
        <w:numPr>
          <w:ilvl w:val="0"/>
          <w:numId w:val="2"/>
        </w:numPr>
        <w:spacing w:after="40" w:before="40"/>
      </w:pPr>
      <w:r>
        <w:rPr>
          <w:rFonts w:ascii="Arial" w:cs="Arial" w:eastAsia="Arial" w:hAnsi="Arial"/>
          <w:color w:val="2a2a2a"/>
          <w:sz w:val="21"/>
          <w:szCs w:val="21"/>
        </w:rPr>
        <w:t xml:space="preserve">Subquery CLS enforcement suite — scalar subqueries in WHERE and SELECT, correlated subqueries, IN / NOT IN, EXISTS / NOT EXISTS, and nested subqueries up to three levels deep, validating restricted-column blocking at every nesting level.</w:t>
      </w:r>
    </w:p>
    <w:p>
      <w:pPr>
        <w:pStyle w:val="ListParagraph"/>
        <w:numPr>
          <w:ilvl w:val="0"/>
          <w:numId w:val="2"/>
        </w:numPr>
        <w:spacing w:after="40" w:before="40"/>
      </w:pPr>
      <w:r>
        <w:rPr>
          <w:rFonts w:ascii="Arial" w:cs="Arial" w:eastAsia="Arial" w:hAnsi="Arial"/>
          <w:color w:val="2a2a2a"/>
          <w:sz w:val="21"/>
          <w:szCs w:val="21"/>
        </w:rPr>
        <w:t xml:space="preserve">Dynamic partition pruning (DPP) CLS enforcement suite — dimension-table filter pushdown scenarios combined with restricted-column references in both the fact and dimension sides, including CTE-based DPP shapes.</w:t>
      </w:r>
    </w:p>
    <w:p>
      <w:pPr>
        <w:pStyle w:val="ListParagraph"/>
        <w:numPr>
          <w:ilvl w:val="0"/>
          <w:numId w:val="2"/>
        </w:numPr>
        <w:spacing w:after="40" w:before="40"/>
      </w:pPr>
      <w:r>
        <w:rPr>
          <w:rFonts w:ascii="Arial" w:cs="Arial" w:eastAsia="Arial" w:hAnsi="Arial"/>
          <w:color w:val="2a2a2a"/>
          <w:sz w:val="21"/>
          <w:szCs w:val="21"/>
        </w:rPr>
        <w:t xml:space="preserve">CTE enforcement suite — single-level CTEs, CTEs referencing other CTEs, and CTEs nested up to four levels deep, validating that restricted columns are blocked regardless of CTE nesting depth, and that CTE name conflicts with real catalog tables are resolved in favour of the CTE per Spark's scoping rules.</w:t>
      </w:r>
    </w:p>
    <w:p>
      <w:pPr>
        <w:spacing w:after="80" w:before="0"/>
      </w:pPr>
      <w:r>
        <w:t xml:space="preserve"/>
      </w:r>
    </w:p>
    <w:p>
      <w:pPr>
        <w:pStyle w:val="Heading3"/>
        <w:spacing w:after="60" w:before="200"/>
      </w:pPr>
      <w:r>
        <w:rPr>
          <w:rFonts w:ascii="Arial" w:cs="Arial" w:eastAsia="Arial" w:hAnsi="Arial"/>
          <w:b/>
          <w:bCs/>
          <w:color w:val="9a3a3a"/>
          <w:sz w:val="22"/>
          <w:szCs w:val="22"/>
        </w:rPr>
        <w:t xml:space="preserve">View-Specific Suites</w:t>
      </w:r>
    </w:p>
    <w:p>
      <w:pPr>
        <w:pStyle w:val="ListParagraph"/>
        <w:numPr>
          <w:ilvl w:val="0"/>
          <w:numId w:val="2"/>
        </w:numPr>
        <w:spacing w:after="40" w:before="40"/>
      </w:pPr>
      <w:r>
        <w:rPr>
          <w:rFonts w:ascii="Arial" w:cs="Arial" w:eastAsia="Arial" w:hAnsi="Arial"/>
          <w:color w:val="2a2a2a"/>
          <w:sz w:val="21"/>
          <w:szCs w:val="21"/>
        </w:rPr>
        <w:t xml:space="preserve">View-over-table CLS enforcement suite — the full functional coverage suite re-run against CLS-protected views instead of tables, using the cls_-prefixed column convention to validate the FSMetaStoreCatalog secure-column discriminator.</w:t>
      </w:r>
    </w:p>
    <w:p>
      <w:pPr>
        <w:pStyle w:val="ListParagraph"/>
        <w:numPr>
          <w:ilvl w:val="0"/>
          <w:numId w:val="2"/>
        </w:numPr>
        <w:spacing w:after="40" w:before="40"/>
      </w:pPr>
      <w:r>
        <w:rPr>
          <w:rFonts w:ascii="Arial" w:cs="Arial" w:eastAsia="Arial" w:hAnsi="Arial"/>
          <w:color w:val="2a2a2a"/>
          <w:sz w:val="21"/>
          <w:szCs w:val="21"/>
        </w:rPr>
        <w:t xml:space="preserve">View-on-view CLS enforcement suite — validating that a view built on top of another CLS-protected view correctly composes both layers' column policies, and that the LeafNode boundary on CustomView prevents the optimizer from pushing predicates or projections through a nested view.</w:t>
      </w:r>
    </w:p>
    <w:p>
      <w:pPr>
        <w:spacing w:after="80" w:before="0"/>
      </w:pPr>
      <w:r>
        <w:t xml:space="preserve"/>
      </w:r>
    </w:p>
    <w:p>
      <w:pPr>
        <w:pStyle w:val="Heading3"/>
        <w:spacing w:after="60" w:before="200"/>
      </w:pPr>
      <w:r>
        <w:rPr>
          <w:rFonts w:ascii="Arial" w:cs="Arial" w:eastAsia="Arial" w:hAnsi="Arial"/>
          <w:b/>
          <w:bCs/>
          <w:color w:val="9a3a3a"/>
          <w:sz w:val="22"/>
          <w:szCs w:val="22"/>
        </w:rPr>
        <w:t xml:space="preserve">DML Suites</w:t>
      </w:r>
    </w:p>
    <w:p>
      <w:pPr>
        <w:pStyle w:val="ListParagraph"/>
        <w:numPr>
          <w:ilvl w:val="0"/>
          <w:numId w:val="2"/>
        </w:numPr>
        <w:spacing w:after="40" w:before="40"/>
      </w:pPr>
      <w:r>
        <w:rPr>
          <w:rFonts w:ascii="Arial" w:cs="Arial" w:eastAsia="Arial" w:hAnsi="Arial"/>
          <w:color w:val="2a2a2a"/>
          <w:sz w:val="21"/>
          <w:szCs w:val="21"/>
        </w:rPr>
        <w:t xml:space="preserve">MERGE INTO suite — WHEN MATCHED / WHEN NOT MATCHED with explicit column assignments and with SET * / INSERT * star expansion, against both CLS-protected source and CLS-protected target, validating that target write access is correctly treated as full-column (Lakeshare-gated) while source read access remains column-restricted.</w:t>
      </w:r>
    </w:p>
    <w:p>
      <w:pPr>
        <w:pStyle w:val="ListParagraph"/>
        <w:numPr>
          <w:ilvl w:val="0"/>
          <w:numId w:val="2"/>
        </w:numPr>
        <w:spacing w:after="40" w:before="40"/>
      </w:pPr>
      <w:r>
        <w:rPr>
          <w:rFonts w:ascii="Arial" w:cs="Arial" w:eastAsia="Arial" w:hAnsi="Arial"/>
          <w:color w:val="2a2a2a"/>
          <w:sz w:val="21"/>
          <w:szCs w:val="21"/>
        </w:rPr>
        <w:t xml:space="preserve">UPDATE and DELETE suite — restricted columns referenced in the SET clause or WHERE condition against CLS-protected tables, validating correct rejection, and confirming that the write target itself is not incorrectly column-restricted for the write operation.</w:t>
      </w:r>
    </w:p>
    <w:p>
      <w:pPr>
        <w:pStyle w:val="ListParagraph"/>
        <w:numPr>
          <w:ilvl w:val="0"/>
          <w:numId w:val="2"/>
        </w:numPr>
        <w:spacing w:after="40" w:before="40"/>
      </w:pPr>
      <w:r>
        <w:rPr>
          <w:rFonts w:ascii="Arial" w:cs="Arial" w:eastAsia="Arial" w:hAnsi="Arial"/>
          <w:color w:val="2a2a2a"/>
          <w:sz w:val="21"/>
          <w:szCs w:val="21"/>
        </w:rPr>
        <w:t xml:space="preserve">Schema synchronization regression suite — CREATE TABLE on a pre-existing Delta log path, CREATE OR REPLACE TABLE, ALTER TABLE schema evolution, REPLACE WHERE / partition overwrite, and Delta log schema merge, each validated to trigger HMS-to-storage schema synchronization before CLS metadata is read.</w:t>
      </w:r>
    </w:p>
    <w:p>
      <w:pPr>
        <w:spacing w:after="80" w:before="0"/>
      </w:pPr>
      <w:r>
        <w:t xml:space="preserve"/>
      </w:r>
    </w:p>
    <w:p>
      <w:pPr>
        <w:pStyle w:val="Heading3"/>
        <w:spacing w:after="60" w:before="200"/>
      </w:pPr>
      <w:r>
        <w:rPr>
          <w:rFonts w:ascii="Arial" w:cs="Arial" w:eastAsia="Arial" w:hAnsi="Arial"/>
          <w:b/>
          <w:bCs/>
          <w:color w:val="9a3a3a"/>
          <w:sz w:val="22"/>
          <w:szCs w:val="22"/>
        </w:rPr>
        <w:t xml:space="preserve">Access-Path Parity Suites</w:t>
      </w:r>
    </w:p>
    <w:p>
      <w:pPr>
        <w:pStyle w:val="ListParagraph"/>
        <w:numPr>
          <w:ilvl w:val="0"/>
          <w:numId w:val="2"/>
        </w:numPr>
        <w:spacing w:after="40" w:before="40"/>
      </w:pPr>
      <w:r>
        <w:rPr>
          <w:rFonts w:ascii="Arial" w:cs="Arial" w:eastAsia="Arial" w:hAnsi="Arial"/>
          <w:color w:val="2a2a2a"/>
          <w:sz w:val="21"/>
          <w:szCs w:val="21"/>
        </w:rPr>
        <w:t xml:space="preserve">SQL-vs-DataFrame parity suite — every functional test case above is run twice: once as a spark.sql(...) string query and once as the equivalent DataFrame API call chain, with an automated diff asserting identical CLS enforcement outcomes across both access paths.</w:t>
      </w:r>
    </w:p>
    <w:p>
      <w:pPr>
        <w:pStyle w:val="ListParagraph"/>
        <w:numPr>
          <w:ilvl w:val="0"/>
          <w:numId w:val="2"/>
        </w:numPr>
        <w:spacing w:after="40" w:before="40"/>
      </w:pPr>
      <w:r>
        <w:rPr>
          <w:rFonts w:ascii="Arial" w:cs="Arial" w:eastAsia="Arial" w:hAnsi="Arial"/>
          <w:color w:val="2a2a2a"/>
          <w:sz w:val="21"/>
          <w:szCs w:val="21"/>
        </w:rPr>
        <w:t xml:space="preserve">Recursive-compilation stress suite — query shapes specifically constructed to maximise planLater re-entrancy (broadcast joins combined with correlated subqueries and multi-level CTEs) to catch any future rule with re-entrancy sensitivity before it reaches 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7a1a1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9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2026-06-16T07:51:50.164Z</dcterms:created>
  <dcterms:modified xsi:type="dcterms:W3CDTF">2026-06-16T07:51:50.176Z</dcterms:modified>
</cp:coreProperties>
</file>

<file path=docProps/custom.xml><?xml version="1.0" encoding="utf-8"?>
<Properties xmlns="http://schemas.openxmlformats.org/officeDocument/2006/custom-properties" xmlns:vt="http://schemas.openxmlformats.org/officeDocument/2006/docPropsVTypes"/>
</file>