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Arial" w:cs="Arial" w:eastAsia="Arial" w:hAnsi="Arial"/>
          <w:b/>
          <w:bCs/>
          <w:color w:val="1a1a2e"/>
          <w:sz w:val="56"/>
          <w:szCs w:val="56"/>
        </w:rPr>
        <w:t xml:space="preserve">Column-Level Security</w:t>
      </w:r>
    </w:p>
    <w:p>
      <w:pPr>
        <w:spacing w:after="60" w:before="0"/>
        <w:jc w:val="center"/>
      </w:pPr>
      <w:r>
        <w:rPr>
          <w:rFonts w:ascii="Arial" w:cs="Arial" w:eastAsia="Arial" w:hAnsi="Arial"/>
          <w:color w:val="4a4a6a"/>
          <w:sz w:val="28"/>
          <w:szCs w:val="28"/>
        </w:rPr>
        <w:t xml:space="preserve">Apache Spark Query Compiler Extension</w:t>
      </w:r>
    </w:p>
    <w:p>
      <w:pPr>
        <w:spacing w:after="60" w:before="0"/>
        <w:jc w:val="center"/>
      </w:pPr>
      <w:r>
        <w:rPr>
          <w:rFonts w:ascii="Arial" w:cs="Arial" w:eastAsia="Arial" w:hAnsi="Arial"/>
          <w:i/>
          <w:iCs/>
          <w:color w:val="4a4a6a"/>
          <w:sz w:val="24"/>
          <w:szCs w:val="24"/>
        </w:rPr>
        <w:t xml:space="preserve">Design Document, Incident Reports &amp; Engineering Decisions</w:t>
      </w:r>
    </w:p>
    <w:p>
      <w:pPr>
        <w:pBdr>
          <w:bottom w:val="single" w:color="CCCCDD" w:sz="4"/>
        </w:pBdr>
        <w:spacing w:after="80" w:before="80"/>
      </w:pPr>
      <w:r>
        <w:t xml:space="preserve"/>
      </w:r>
    </w:p>
    <w:p>
      <w:pPr>
        <w:spacing w:after="60" w:before="0"/>
        <w:jc w:val="center"/>
      </w:pPr>
      <w:r>
        <w:rPr>
          <w:rFonts w:ascii="Arial" w:cs="Arial" w:eastAsia="Arial" w:hAnsi="Arial"/>
          <w:color w:val="888888"/>
          <w:sz w:val="20"/>
          <w:szCs w:val="20"/>
        </w:rPr>
        <w:t xml:space="preserve">Confidential — Internal Engineering</w:t>
      </w:r>
    </w:p>
    <w:p>
      <w:r>
        <w:br w:type="page"/>
      </w:r>
    </w:p>
    <w:p>
      <w:pPr>
        <w:pStyle w:val="Heading1"/>
        <w:spacing w:after="120" w:before="400"/>
      </w:pPr>
      <w:r>
        <w:rPr>
          <w:rFonts w:ascii="Arial" w:cs="Arial" w:eastAsia="Arial" w:hAnsi="Arial"/>
          <w:b/>
          <w:bCs/>
          <w:color w:val="1a1a2e"/>
          <w:sz w:val="36"/>
          <w:szCs w:val="36"/>
        </w:rPr>
        <w:t xml:space="preserve">Column-Level Security in Apache Spark via Query Compiler Extension</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Overview</w:t>
      </w:r>
    </w:p>
    <w:p>
      <w:pPr>
        <w:spacing w:after="80" w:before="60"/>
        <w:jc w:val="both"/>
      </w:pPr>
      <w:r>
        <w:rPr>
          <w:rFonts w:ascii="Arial" w:cs="Arial" w:eastAsia="Arial" w:hAnsi="Arial"/>
          <w:color w:val="2a2a2a"/>
          <w:sz w:val="21"/>
          <w:szCs w:val="21"/>
        </w:rPr>
        <w:t xml:space="preserve">This document describes the design and implementation of a Column-Level Security (CLS) framework for Apache Spark, enforced at the query compiler level. The system integrates with Apache Ranger and Hive Metastore (HMS) to apply fine-grained column access policies without requiring changes to underlying data or storage layers.</w:t>
      </w:r>
    </w:p>
    <w:p>
      <w:pPr>
        <w:spacing w:after="80" w:before="0"/>
      </w:pPr>
      <w:r>
        <w:t xml:space="preserve"/>
      </w:r>
    </w:p>
    <w:p>
      <w:pPr>
        <w:pStyle w:val="Heading2"/>
        <w:spacing w:after="80" w:before="280"/>
      </w:pPr>
      <w:r>
        <w:rPr>
          <w:rFonts w:ascii="Arial" w:cs="Arial" w:eastAsia="Arial" w:hAnsi="Arial"/>
          <w:b/>
          <w:bCs/>
          <w:color w:val="2d4a7a"/>
          <w:sz w:val="28"/>
          <w:szCs w:val="28"/>
        </w:rPr>
        <w:t xml:space="preserve">Architecture</w:t>
      </w:r>
    </w:p>
    <w:p>
      <w:pPr>
        <w:pStyle w:val="Heading3"/>
        <w:spacing w:after="60" w:before="200"/>
      </w:pPr>
      <w:r>
        <w:rPr>
          <w:rFonts w:ascii="Arial" w:cs="Arial" w:eastAsia="Arial" w:hAnsi="Arial"/>
          <w:b/>
          <w:bCs/>
          <w:color w:val="3a5a9a"/>
          <w:sz w:val="24"/>
          <w:szCs w:val="24"/>
        </w:rPr>
        <w:t xml:space="preserve">Policy Propagation</w:t>
      </w:r>
    </w:p>
    <w:p>
      <w:pPr>
        <w:spacing w:after="80" w:before="60"/>
        <w:jc w:val="both"/>
      </w:pPr>
      <w:r>
        <w:rPr>
          <w:rFonts w:ascii="Arial" w:cs="Arial" w:eastAsia="Arial" w:hAnsi="Arial"/>
          <w:color w:val="2a2a2a"/>
          <w:sz w:val="21"/>
          <w:szCs w:val="21"/>
        </w:rPr>
        <w:t xml:space="preserve">Column-level security policies are defined and managed in Apache Ranger. These policies are propagated to the query engine via a Ranger Proxy, which acts as a bridge between Ranger's policy store and the Spark query compiler. The proxy translates Ranger column-level permissions into a set of allowed columns per user per relation, stored as HMS table properties.</w:t>
      </w:r>
    </w:p>
    <w:p>
      <w:pPr>
        <w:spacing w:after="80" w:before="0"/>
      </w:pPr>
      <w:r>
        <w:t xml:space="preserve"/>
      </w:r>
    </w:p>
    <w:p>
      <w:pPr>
        <w:shd w:fill="F4F4F8" w:val="clear"/>
        <w:spacing w:after="0" w:before="0"/>
        <w:ind w:left="360"/>
      </w:pPr>
      <w:r>
        <w:rPr>
          <w:rFonts w:ascii="Courier New" w:cs="Courier New" w:eastAsia="Courier New" w:hAnsi="Courier New"/>
          <w:color w:val="1a1a2e"/>
          <w:sz w:val="17"/>
          <w:szCs w:val="17"/>
        </w:rPr>
        <w:t xml:space="preserve">Ranger Policy Store</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Ranger Proxy</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Hive Metastore (HMS)  &lt;- secure column metadata stored as table properties</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Spark Extension (Query Compiler)</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Secure Projection applied at plan construction time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Enforcement Model</w:t>
      </w:r>
    </w:p>
    <w:p>
      <w:pPr>
        <w:pStyle w:val="Heading3"/>
        <w:spacing w:after="60" w:before="200"/>
      </w:pPr>
      <w:r>
        <w:rPr>
          <w:rFonts w:ascii="Arial" w:cs="Arial" w:eastAsia="Arial" w:hAnsi="Arial"/>
          <w:b/>
          <w:bCs/>
          <w:color w:val="3a5a9a"/>
          <w:sz w:val="24"/>
          <w:szCs w:val="24"/>
        </w:rPr>
        <w:t xml:space="preserve">Tables</w:t>
      </w:r>
    </w:p>
    <w:p>
      <w:pPr>
        <w:spacing w:after="80" w:before="60"/>
        <w:jc w:val="both"/>
      </w:pPr>
      <w:r>
        <w:rPr>
          <w:rFonts w:ascii="Arial" w:cs="Arial" w:eastAsia="Arial" w:hAnsi="Arial"/>
          <w:color w:val="2a2a2a"/>
          <w:sz w:val="21"/>
          <w:szCs w:val="21"/>
        </w:rPr>
        <w:t xml:space="preserve">For regular tables (Parquet, Delta, Iceberg, Hudi etc.), the CLS framework intercepts catalog relation resolution and applies a Secure Projection directly over the scanned relation. Columns the current user is not permitted to access are physically absent from the logical plan.</w:t>
      </w:r>
    </w:p>
    <w:p>
      <w:pPr>
        <w:shd w:fill="F4F4F8" w:val="clear"/>
        <w:spacing w:after="0" w:before="0"/>
        <w:ind w:left="360"/>
      </w:pPr>
      <w:r>
        <w:rPr>
          <w:rFonts w:ascii="Courier New" w:cs="Courier New" w:eastAsia="Courier New" w:hAnsi="Courier New"/>
          <w:color w:val="1a1a2e"/>
          <w:sz w:val="17"/>
          <w:szCs w:val="17"/>
        </w:rPr>
        <w:t xml:space="preserve">RelationV2[order_id, cls_customer_id, amount, cls_order_date]</w:t>
      </w:r>
    </w:p>
    <w:p>
      <w:pPr>
        <w:shd w:fill="F4F4F8" w:val="clear"/>
        <w:spacing w:after="0" w:before="0"/>
        <w:ind w:left="360"/>
      </w:pPr>
      <w:r>
        <w:rPr>
          <w:rFonts w:ascii="Courier New" w:cs="Courier New" w:eastAsia="Courier New" w:hAnsi="Courier New"/>
          <w:color w:val="1a1a2e"/>
          <w:sz w:val="17"/>
          <w:szCs w:val="17"/>
        </w:rPr>
        <w:t xml:space="preserve">  | Secure Projection applied</w:t>
      </w:r>
    </w:p>
    <w:p>
      <w:pPr>
        <w:shd w:fill="F4F4F8" w:val="clear"/>
        <w:spacing w:after="0" w:before="0"/>
        <w:ind w:left="360"/>
      </w:pPr>
      <w:r>
        <w:rPr>
          <w:rFonts w:ascii="Courier New" w:cs="Courier New" w:eastAsia="Courier New" w:hAnsi="Courier New"/>
          <w:color w:val="1a1a2e"/>
          <w:sz w:val="17"/>
          <w:szCs w:val="17"/>
        </w:rPr>
        <w:t xml:space="preserve">Project[cls_customer_id, cls_order_date]</w:t>
      </w:r>
    </w:p>
    <w:p>
      <w:pPr>
        <w:shd w:fill="F4F4F8" w:val="clear"/>
        <w:spacing w:after="0" w:before="0"/>
        <w:ind w:left="360"/>
      </w:pPr>
      <w:r>
        <w:rPr>
          <w:rFonts w:ascii="Courier New" w:cs="Courier New" w:eastAsia="Courier New" w:hAnsi="Courier New"/>
          <w:color w:val="1a1a2e"/>
          <w:sz w:val="17"/>
          <w:szCs w:val="17"/>
        </w:rPr>
        <w:t xml:space="preserve">  +- RelationV2[order_id, cls_customer_id, amount, cls_order_date]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Views — Policy Isolation Principle</w:t>
      </w:r>
    </w:p>
    <w:p>
      <w:pPr>
        <w:spacing w:after="80" w:before="60"/>
        <w:jc w:val="both"/>
      </w:pPr>
      <w:r>
        <w:rPr>
          <w:rFonts w:ascii="Arial" w:cs="Arial" w:eastAsia="Arial" w:hAnsi="Arial"/>
          <w:color w:val="2a2a2a"/>
          <w:sz w:val="21"/>
          <w:szCs w:val="21"/>
        </w:rPr>
        <w:t xml:space="preserve">For views, a deliberate design decision is made:</w:t>
      </w:r>
    </w:p>
    <w:p>
      <w:pPr>
        <w:shd w:fill="EEF4FF" w:val="clear"/>
        <w:spacing w:after="120" w:before="120"/>
        <w:ind w:left="360" w:right="360"/>
      </w:pPr>
      <w:r>
        <w:rPr>
          <w:rFonts w:ascii="Arial" w:cs="Arial" w:eastAsia="Arial" w:hAnsi="Arial"/>
          <w:i/>
          <w:iCs/>
          <w:color w:val="1a1a2e"/>
          <w:sz w:val="20"/>
          <w:szCs w:val="20"/>
        </w:rPr>
        <w:t xml:space="preserve">Only the view-level column policy applies. The underlying table's column policy is irrelevant.</w:t>
      </w:r>
    </w:p>
    <w:p>
      <w:pPr>
        <w:spacing w:after="80" w:before="60"/>
        <w:jc w:val="both"/>
      </w:pPr>
      <w:r>
        <w:rPr>
          <w:rFonts w:ascii="Arial" w:cs="Arial" w:eastAsia="Arial" w:hAnsi="Arial"/>
          <w:color w:val="2a2a2a"/>
          <w:sz w:val="21"/>
          <w:szCs w:val="21"/>
        </w:rPr>
        <w:t xml:space="preserve">A user's access to columns through a view is governed entirely by the view boundary — not by the underlying table. This enables exposing a restricted subset of sensitive data through a view without requiring the consumer to have direct table permissions, and simplifies permission management by decoupling view consumers from table owners.</w:t>
      </w:r>
    </w:p>
    <w:p>
      <w:pPr>
        <w:spacing w:after="80" w:before="0"/>
      </w:pPr>
      <w:r>
        <w:t xml:space="preserve"/>
      </w:r>
    </w:p>
    <w:p>
      <w:pPr>
        <w:pStyle w:val="Heading2"/>
        <w:spacing w:after="80" w:before="280"/>
      </w:pPr>
      <w:r>
        <w:rPr>
          <w:rFonts w:ascii="Arial" w:cs="Arial" w:eastAsia="Arial" w:hAnsi="Arial"/>
          <w:b/>
          <w:bCs/>
          <w:color w:val="2d4a7a"/>
          <w:sz w:val="28"/>
          <w:szCs w:val="28"/>
        </w:rPr>
        <w:t xml:space="preserve">Implementation: Spark Extension</w:t>
      </w:r>
    </w:p>
    <w:p>
      <w:pPr>
        <w:pStyle w:val="Heading3"/>
        <w:spacing w:after="60" w:before="200"/>
      </w:pPr>
      <w:r>
        <w:rPr>
          <w:rFonts w:ascii="Arial" w:cs="Arial" w:eastAsia="Arial" w:hAnsi="Arial"/>
          <w:b/>
          <w:bCs/>
          <w:color w:val="3a5a9a"/>
          <w:sz w:val="24"/>
          <w:szCs w:val="24"/>
        </w:rPr>
        <w:t xml:space="preserve">1. Relation Resolution (injectResolutionRule)</w:t>
      </w:r>
    </w:p>
    <w:p>
      <w:pPr>
        <w:spacing w:after="80" w:before="60"/>
        <w:jc w:val="both"/>
      </w:pPr>
      <w:r>
        <w:rPr>
          <w:rFonts w:ascii="Arial" w:cs="Arial" w:eastAsia="Arial" w:hAnsi="Arial"/>
          <w:color w:val="2a2a2a"/>
          <w:sz w:val="21"/>
          <w:szCs w:val="21"/>
        </w:rPr>
        <w:t xml:space="preserve">A custom resolution rule (ResolveCatalogViews) intercepts catalog relation lookups. When a view is resolved, a CustomView logical plan node wraps the analyzed view plan, exposing only permitted columns as its output (secureOutput). The underlying full plan is stored internally as member — invisible to the outer query's analyzer.</w:t>
      </w:r>
    </w:p>
    <w:p>
      <w:pPr>
        <w:shd w:fill="F4F4F8" w:val="clear"/>
        <w:spacing w:after="0" w:before="0"/>
        <w:ind w:left="360"/>
      </w:pPr>
      <w:r>
        <w:rPr>
          <w:rFonts w:ascii="Courier New" w:cs="Courier New" w:eastAsia="Courier New" w:hAnsi="Courier New"/>
          <w:color w:val="1a1a2e"/>
          <w:sz w:val="17"/>
          <w:szCs w:val="17"/>
        </w:rPr>
        <w:t xml:space="preserve">case class CustomView(</w:t>
      </w:r>
    </w:p>
    <w:p>
      <w:pPr>
        <w:shd w:fill="F4F4F8" w:val="clear"/>
        <w:spacing w:after="0" w:before="0"/>
        <w:ind w:left="360"/>
      </w:pPr>
      <w:r>
        <w:rPr>
          <w:rFonts w:ascii="Courier New" w:cs="Courier New" w:eastAsia="Courier New" w:hAnsi="Courier New"/>
          <w:color w:val="1a1a2e"/>
          <w:sz w:val="17"/>
          <w:szCs w:val="17"/>
        </w:rPr>
        <w:t xml:space="preserve">    desc: CatalogTable,</w:t>
      </w:r>
    </w:p>
    <w:p>
      <w:pPr>
        <w:shd w:fill="F4F4F8" w:val="clear"/>
        <w:spacing w:after="0" w:before="0"/>
        <w:ind w:left="360"/>
      </w:pPr>
      <w:r>
        <w:rPr>
          <w:rFonts w:ascii="Courier New" w:cs="Courier New" w:eastAsia="Courier New" w:hAnsi="Courier New"/>
          <w:color w:val="1a1a2e"/>
          <w:sz w:val="17"/>
          <w:szCs w:val="17"/>
        </w:rPr>
        <w:t xml:space="preserve">    member: LogicalPlan,         // full internal plan — not visible to outer query</w:t>
      </w:r>
    </w:p>
    <w:p>
      <w:pPr>
        <w:shd w:fill="F4F4F8" w:val="clear"/>
        <w:spacing w:after="0" w:before="0"/>
        <w:ind w:left="360"/>
      </w:pPr>
      <w:r>
        <w:rPr>
          <w:rFonts w:ascii="Courier New" w:cs="Courier New" w:eastAsia="Courier New" w:hAnsi="Courier New"/>
          <w:color w:val="1a1a2e"/>
          <w:sz w:val="17"/>
          <w:szCs w:val="17"/>
        </w:rPr>
        <w:t xml:space="preserve">    secureOutput: Seq[Attribute] // only permitted columns — what outer query sees</w:t>
      </w:r>
    </w:p>
    <w:p>
      <w:pPr>
        <w:shd w:fill="F4F4F8" w:val="clear"/>
        <w:spacing w:after="0" w:before="0"/>
        <w:ind w:left="360"/>
      </w:pPr>
      <w:r>
        <w:rPr>
          <w:rFonts w:ascii="Courier New" w:cs="Courier New" w:eastAsia="Courier New" w:hAnsi="Courier New"/>
          <w:color w:val="1a1a2e"/>
          <w:sz w:val="17"/>
          <w:szCs w:val="17"/>
        </w:rPr>
        <w:t xml:space="preserve">) extends LeafNode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2. Post-Hoc Resolution (injectPostHocResolutionRule)</w:t>
      </w:r>
    </w:p>
    <w:p>
      <w:pPr>
        <w:spacing w:after="80" w:before="60"/>
        <w:jc w:val="both"/>
      </w:pPr>
      <w:r>
        <w:rPr>
          <w:rFonts w:ascii="Arial" w:cs="Arial" w:eastAsia="Arial" w:hAnsi="Arial"/>
          <w:color w:val="2a2a2a"/>
          <w:sz w:val="21"/>
          <w:szCs w:val="21"/>
        </w:rPr>
        <w:t xml:space="preserve">A ViewSecurityRule runs after main analysis in two passes. Pass 1 enforces access — checks for UnresolvedAttribute references to restricted columns before CustomView is substituted. Pass 2 substitutes CustomView with its member plan, after which the analyzer re-runs and CTEs inline naturally.</w:t>
      </w:r>
    </w:p>
    <w:p>
      <w:pPr>
        <w:spacing w:after="80" w:before="0"/>
      </w:pPr>
      <w:r>
        <w:t xml:space="preserve"/>
      </w:r>
    </w:p>
    <w:p>
      <w:pPr>
        <w:pStyle w:val="Heading2"/>
        <w:spacing w:after="80" w:before="280"/>
      </w:pPr>
      <w:r>
        <w:rPr>
          <w:rFonts w:ascii="Arial" w:cs="Arial" w:eastAsia="Arial" w:hAnsi="Arial"/>
          <w:b/>
          <w:bCs/>
          <w:color w:val="2d4a7a"/>
          <w:sz w:val="28"/>
          <w:szCs w:val="28"/>
        </w:rPr>
        <w:t xml:space="preserve">Security Guarantees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8"/>
      </w:tblGrid>
      <w:tr>
        <w:trPr>
          <w:tblHeader/>
        </w:trPr>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Pattern</w:t>
            </w:r>
          </w:p>
        </w:tc>
        <w:tc>
          <w:tcPr>
            <w:tcW w:type="dxa" w:w="542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Enforcement</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SELECT restricted_col FROM view</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Blocked — not in CustomView.output, AnalysisException at resolution</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WHERE restricted_col = x</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Blocked — caught by Pass 1 of ViewSecurityRule</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HAVING agg &gt; (SELECT COUNT(*) FROM view WHERE restricted_col IS NOT NULL)</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Blocked — transformUpWithSubqueries reaches scalar subquery</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JOIN ON t.restricted_col = view.restricted_col</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Blocked — caught in join condition expressions</w:t>
            </w:r>
          </w:p>
        </w:tc>
      </w:tr>
      <w:tr>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SELECT allowed_col FROM view</w:t>
            </w:r>
          </w:p>
        </w:tc>
        <w:tc>
          <w:tcPr>
            <w:tcW w:type="dxa" w:w="542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Permitted — resolves normally, executes cleanly</w:t>
            </w:r>
          </w:p>
        </w:tc>
      </w:tr>
      <w:tr>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Delta/Iceberg hidden columns (_commit_timestamp, _file etc.)</w:t>
            </w:r>
          </w:p>
        </w:tc>
        <w:tc>
          <w:tcPr>
            <w:tcW w:type="dxa" w:w="542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Not affected — enforcement scoped to desc.schema declared columns only</w:t>
            </w:r>
          </w:p>
        </w:tc>
      </w:tr>
    </w:tbl>
    <w:p>
      <w:pPr>
        <w:spacing w:after="80" w:before="0"/>
      </w:pPr>
      <w:r>
        <w:t xml:space="preserve"/>
      </w:r>
    </w:p>
    <w:p>
      <w:r>
        <w:br w:type="page"/>
      </w:r>
    </w:p>
    <w:p>
      <w:pPr>
        <w:pStyle w:val="Heading1"/>
        <w:spacing w:after="120" w:before="400"/>
      </w:pPr>
      <w:r>
        <w:rPr>
          <w:rFonts w:ascii="Arial" w:cs="Arial" w:eastAsia="Arial" w:hAnsi="Arial"/>
          <w:b/>
          <w:bCs/>
          <w:color w:val="1a1a2e"/>
          <w:sz w:val="36"/>
          <w:szCs w:val="36"/>
        </w:rPr>
        <w:t xml:space="preserve">Incident Report 1: Schema Synchronisation Hotfix</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In the first production drop of the CLS framework, a critical gap was identified for customer NAVI: schema synchronisation was not implemented for the specific case where a table is created on an existing Delta log. All other schema mutation and evaluation paths were correctly covered in the initial release build. This was an isolated miss affecting only the CREATE TABLE on existing Delta log scenario.</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spacing w:after="80" w:before="60"/>
        <w:jc w:val="both"/>
      </w:pPr>
      <w:r>
        <w:rPr>
          <w:rFonts w:ascii="Arial" w:cs="Arial" w:eastAsia="Arial" w:hAnsi="Arial"/>
          <w:color w:val="2a2a2a"/>
          <w:sz w:val="21"/>
          <w:szCs w:val="21"/>
        </w:rPr>
        <w:t xml:space="preserve">The CLS enforcement model designates HMS as the single source of truth for column-level security metadata. The initial release build correctly handled schema synchronisation across all known paths. The single missed case was CREATE TABLE over an existing Delta log — a common pattern where the storage layer outlives the catalog entry:</w:t>
      </w:r>
    </w:p>
    <w:p>
      <w:pPr>
        <w:shd w:fill="F4F4F8" w:val="clear"/>
        <w:spacing w:after="0" w:before="0"/>
        <w:ind w:left="360"/>
      </w:pPr>
      <w:r>
        <w:rPr>
          <w:rFonts w:ascii="Courier New" w:cs="Courier New" w:eastAsia="Courier New" w:hAnsi="Courier New"/>
          <w:color w:val="1a1a2e"/>
          <w:sz w:val="17"/>
          <w:szCs w:val="17"/>
        </w:rPr>
        <w:t xml:space="preserve">Object Storage:  Delta log exists with schema [A, B, C, D]</w:t>
      </w:r>
    </w:p>
    <w:p>
      <w:pPr>
        <w:shd w:fill="F4F4F8" w:val="clear"/>
        <w:spacing w:after="0" w:before="0"/>
        <w:ind w:left="360"/>
      </w:pPr>
      <w:r>
        <w:rPr>
          <w:rFonts w:ascii="Courier New" w:cs="Courier New" w:eastAsia="Courier New" w:hAnsi="Courier New"/>
          <w:color w:val="1a1a2e"/>
          <w:sz w:val="17"/>
          <w:szCs w:val="17"/>
        </w:rPr>
        <w:t xml:space="preserve">HMS Entry:       Created fresh with schema [A, B]  &lt;- diverged</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CLS reads HMS schema -&gt; secureOutput based on [A, B]</w:t>
      </w:r>
    </w:p>
    <w:p>
      <w:pPr>
        <w:shd w:fill="F4F4F8" w:val="clear"/>
        <w:spacing w:after="0" w:before="0"/>
        <w:ind w:left="360"/>
      </w:pPr>
      <w:r>
        <w:rPr>
          <w:rFonts w:ascii="Courier New" w:cs="Courier New" w:eastAsia="Courier New" w:hAnsi="Courier New"/>
          <w:color w:val="1a1a2e"/>
          <w:sz w:val="17"/>
          <w:szCs w:val="17"/>
        </w:rPr>
        <w:t xml:space="preserve">Delta log serves    -&gt; actual data has [A, B, C, D]</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Schema drift: HMS and Delta log out of sync</w:t>
      </w:r>
    </w:p>
    <w:p>
      <w:pPr>
        <w:shd w:fill="F4F4F8" w:val="clear"/>
        <w:spacing w:after="0" w:before="0"/>
        <w:ind w:left="360"/>
      </w:pPr>
      <w:r>
        <w:rPr>
          <w:rFonts w:ascii="Courier New" w:cs="Courier New" w:eastAsia="Courier New" w:hAnsi="Courier New"/>
          <w:color w:val="1a1a2e"/>
          <w:sz w:val="17"/>
          <w:szCs w:val="17"/>
        </w:rPr>
        <w:t xml:space="preserve">CLS security boundary unreliable</w:t>
      </w:r>
    </w:p>
    <w:p>
      <w:pPr>
        <w:spacing w:after="80" w:before="0"/>
      </w:pPr>
      <w:r>
        <w:t xml:space="preserve"/>
      </w:r>
    </w:p>
    <w:p>
      <w:pPr>
        <w:pStyle w:val="Heading2"/>
        <w:spacing w:after="80" w:before="280"/>
      </w:pPr>
      <w:r>
        <w:rPr>
          <w:rFonts w:ascii="Arial" w:cs="Arial" w:eastAsia="Arial" w:hAnsi="Arial"/>
          <w:b/>
          <w:bCs/>
          <w:color w:val="2d4a7a"/>
          <w:sz w:val="28"/>
          <w:szCs w:val="28"/>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340"/>
        <w:gridCol w:w="1872"/>
      </w:tblGrid>
      <w:tr>
        <w:trPr>
          <w:tblHeader/>
        </w:trPr>
        <w:tc>
          <w:tcPr>
            <w:tcW w:type="dxa" w:w="514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234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Release Build</w:t>
            </w:r>
          </w:p>
        </w:tc>
        <w:tc>
          <w:tcPr>
            <w:tcW w:type="dxa" w:w="1872"/>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Hotfix</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CREATE TABLE on existing Delta log</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Not 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Fixed</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CREATE OR REPLACE TABLE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ALTER TABLE schema evolution</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Schema-on-read evaluation at query time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t>
            </w:r>
          </w:p>
        </w:tc>
      </w:tr>
      <w:tr>
        <w:tc>
          <w:tcPr>
            <w:tcW w:type="dxa" w:w="514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REPLACE WHERE / partition overwrite</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Included</w:t>
            </w:r>
          </w:p>
        </w:tc>
        <w:tc>
          <w:tcPr>
            <w:tcW w:type="dxa" w:w="187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w:t>
            </w:r>
          </w:p>
        </w:tc>
      </w:tr>
      <w:tr>
        <w:tc>
          <w:tcPr>
            <w:tcW w:type="dxa" w:w="514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Delta log schema merge (mergeSchema=true)</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Included</w:t>
            </w:r>
          </w:p>
        </w:tc>
        <w:tc>
          <w:tcPr>
            <w:tcW w:type="dxa" w:w="187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w:t>
            </w:r>
          </w:p>
        </w:tc>
      </w:tr>
    </w:tbl>
    <w:p>
      <w:pPr>
        <w:spacing w:after="80" w:before="0"/>
      </w:pPr>
      <w:r>
        <w:t xml:space="preserve"/>
      </w:r>
    </w:p>
    <w:p>
      <w:pPr>
        <w:shd w:fill="EEF4FF" w:val="clear"/>
        <w:spacing w:after="120" w:before="120"/>
        <w:ind w:left="360" w:right="360"/>
      </w:pPr>
      <w:r>
        <w:rPr>
          <w:rFonts w:ascii="Arial" w:cs="Arial" w:eastAsia="Arial" w:hAnsi="Arial"/>
          <w:i/>
          <w:iCs/>
          <w:color w:val="1a1a2e"/>
          <w:sz w:val="20"/>
          <w:szCs w:val="20"/>
        </w:rPr>
        <w:t xml:space="preserve">HMS schema is the CLS source of truth. Any operation that can mutate or evaluate a table schema — whether at DDL time, write time, or read time — must synchronise the HMS schema against the Delta log before CLS metadata is read or written.</w:t>
      </w:r>
    </w:p>
    <w:p>
      <w:r>
        <w:br w:type="page"/>
      </w:r>
    </w:p>
    <w:p>
      <w:pPr>
        <w:pStyle w:val="Heading1"/>
        <w:spacing w:after="120" w:before="400"/>
      </w:pPr>
      <w:r>
        <w:rPr>
          <w:rFonts w:ascii="Arial" w:cs="Arial" w:eastAsia="Arial" w:hAnsi="Arial"/>
          <w:b/>
          <w:bCs/>
          <w:color w:val="1a1a2e"/>
          <w:sz w:val="36"/>
          <w:szCs w:val="36"/>
        </w:rPr>
        <w:t xml:space="preserve">Incident Report 2: DeltaMerge Source Corruption via CLS Star Expansion</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During the application of CLS secure projections, a corruption was introduced in DeltaMerge operations where the SET clause contained a wildcard (*) expansion. The CLS implementation correctly handled * expansion in FROM clauses but did not account for * in the SET clause of a MERGE statement.</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spacing w:after="80" w:before="60"/>
        <w:jc w:val="both"/>
      </w:pPr>
      <w:r>
        <w:rPr>
          <w:rFonts w:ascii="Arial" w:cs="Arial" w:eastAsia="Arial" w:hAnsi="Arial"/>
          <w:color w:val="2a2a2a"/>
          <w:sz w:val="21"/>
          <w:szCs w:val="21"/>
        </w:rPr>
        <w:t xml:space="preserve">The SET * and INSERT * wildcards in WHEN MATCHED and WHEN NOT MATCHED clauses expand against the source relation's output, not the target schema. The CLS implementation applied secure projection to the source view correctly for FROM clauses but did not intercept SET * / INSERT * expansion in the DeltaMerge node, which was expanding against the pre-CLS source schema.</w:t>
      </w:r>
    </w:p>
    <w:p>
      <w:pPr>
        <w:shd w:fill="F4F4F8" w:val="clear"/>
        <w:spacing w:after="0" w:before="0"/>
        <w:ind w:left="360"/>
      </w:pPr>
      <w:r>
        <w:rPr>
          <w:rFonts w:ascii="Courier New" w:cs="Courier New" w:eastAsia="Courier New" w:hAnsi="Courier New"/>
          <w:color w:val="1a1a2e"/>
          <w:sz w:val="17"/>
          <w:szCs w:val="17"/>
        </w:rPr>
        <w:t xml:space="preserve">Before fix:</w:t>
      </w:r>
    </w:p>
    <w:p>
      <w:pPr>
        <w:shd w:fill="F4F4F8" w:val="clear"/>
        <w:spacing w:after="0" w:before="0"/>
        <w:ind w:left="360"/>
      </w:pPr>
      <w:r>
        <w:rPr>
          <w:rFonts w:ascii="Courier New" w:cs="Courier New" w:eastAsia="Courier New" w:hAnsi="Courier New"/>
          <w:color w:val="1a1a2e"/>
          <w:sz w:val="17"/>
          <w:szCs w:val="17"/>
        </w:rPr>
        <w:t xml:space="preserve">  SET * -&gt; expands against raw source schema -&gt; includes restricted columns</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After fix:</w:t>
      </w:r>
    </w:p>
    <w:p>
      <w:pPr>
        <w:shd w:fill="F4F4F8" w:val="clear"/>
        <w:spacing w:after="0" w:before="0"/>
        <w:ind w:left="360"/>
      </w:pPr>
      <w:r>
        <w:rPr>
          <w:rFonts w:ascii="Courier New" w:cs="Courier New" w:eastAsia="Courier New" w:hAnsi="Courier New"/>
          <w:color w:val="1a1a2e"/>
          <w:sz w:val="17"/>
          <w:szCs w:val="17"/>
        </w:rPr>
        <w:t xml:space="preserve">  SET * -&gt; expands against CLS secure projection output -&gt; only permitted columns</w:t>
      </w:r>
    </w:p>
    <w:p>
      <w:pPr>
        <w:spacing w:after="80" w:before="0"/>
      </w:pPr>
      <w:r>
        <w:t xml:space="preserve"/>
      </w:r>
    </w:p>
    <w:p>
      <w:pPr>
        <w:shd w:fill="EEF4FF" w:val="clear"/>
        <w:spacing w:after="120" w:before="120"/>
        <w:ind w:left="360" w:right="360"/>
      </w:pPr>
      <w:r>
        <w:rPr>
          <w:rFonts w:ascii="Arial" w:cs="Arial" w:eastAsia="Arial" w:hAnsi="Arial"/>
          <w:i/>
          <w:iCs/>
          <w:color w:val="1a1a2e"/>
          <w:sz w:val="20"/>
          <w:szCs w:val="20"/>
        </w:rPr>
        <w:t xml:space="preserve">Wildcard (*) expansion in all syntactic positions — FROM, SELECT, SET, INSERT — must be resolved against the CLS-restricted output, not the raw relation schema. Any query plan node that performs its own internal star expansion must be explicitly covered by the CLS interception layer.</w:t>
      </w:r>
    </w:p>
    <w:p>
      <w:r>
        <w:br w:type="page"/>
      </w:r>
    </w:p>
    <w:p>
      <w:pPr>
        <w:pStyle w:val="Heading1"/>
        <w:spacing w:after="120" w:before="400"/>
      </w:pPr>
      <w:r>
        <w:rPr>
          <w:rFonts w:ascii="Arial" w:cs="Arial" w:eastAsia="Arial" w:hAnsi="Arial"/>
          <w:b/>
          <w:bCs/>
          <w:color w:val="1a1a2e"/>
          <w:sz w:val="36"/>
          <w:szCs w:val="36"/>
        </w:rPr>
        <w:t xml:space="preserve">Incident Report 3: Query Compiler Error Masking — Production Rollback</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Incident Summary</w:t>
      </w:r>
    </w:p>
    <w:p>
      <w:pPr>
        <w:spacing w:after="80" w:before="60"/>
        <w:jc w:val="both"/>
      </w:pPr>
      <w:r>
        <w:rPr>
          <w:rFonts w:ascii="Arial" w:cs="Arial" w:eastAsia="Arial" w:hAnsi="Arial"/>
          <w:color w:val="2a2a2a"/>
          <w:sz w:val="21"/>
          <w:szCs w:val="21"/>
        </w:rPr>
        <w:t xml:space="preserve">A critical regression caused some queries to fail unexpectedly, including fully permitted queries. The failure was non-deterministic — it affected a subset of queries depending on plan shape and how deeply planLater was invoked during physical planning. This resulted in a production rollback.</w:t>
      </w:r>
    </w:p>
    <w:p>
      <w:pPr>
        <w:spacing w:after="80" w:before="0"/>
      </w:pPr>
      <w:r>
        <w:t xml:space="preserve"/>
      </w:r>
    </w:p>
    <w:p>
      <w:pPr>
        <w:pStyle w:val="Heading2"/>
        <w:spacing w:after="80" w:before="280"/>
      </w:pPr>
      <w:r>
        <w:rPr>
          <w:rFonts w:ascii="Arial" w:cs="Arial" w:eastAsia="Arial" w:hAnsi="Arial"/>
          <w:b/>
          <w:bCs/>
          <w:color w:val="2d4a7a"/>
          <w:sz w:val="28"/>
          <w:szCs w:val="28"/>
        </w:rPr>
        <w:t xml:space="preserve">Root Cause</w:t>
      </w:r>
    </w:p>
    <w:p>
      <w:pPr>
        <w:spacing w:after="80" w:before="60"/>
        <w:jc w:val="both"/>
      </w:pPr>
      <w:r>
        <w:rPr>
          <w:rFonts w:ascii="Arial" w:cs="Arial" w:eastAsia="Arial" w:hAnsi="Arial"/>
          <w:color w:val="2a2a2a"/>
          <w:sz w:val="21"/>
          <w:szCs w:val="21"/>
        </w:rPr>
        <w:t xml:space="preserve">Spark's query compilation is not a single linear pass. The CLSRestrictedColumnErrorRule was injected as a postHoc resolution rule intending to sanitise AnalysisException stack traces. However, planLater — defined in QueryPlanner.scala — defers physical planning of sub-plans by re-triggering the full compilation pipeline recursively. The masking rule fired at every re-entry point, intercepting internal AnalysisExceptions that Spark uses as control flow signals, breaking Spark's own planning fallback mechanism.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6552"/>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Late development</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AnalysisException masking added as postHoc resolution rule</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Release</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Subset of queries failing in production — non-deterministic</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Immediate response</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Production rollback initiated</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Root cause analysis</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planLater re-analysis interference identified</w:t>
            </w:r>
          </w:p>
        </w:tc>
      </w:tr>
      <w:tr>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Fix</w:t>
            </w:r>
          </w:p>
        </w:tc>
        <w:tc>
          <w:tcPr>
            <w:tcW w:type="dxa" w:w="6552"/>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Masking moved to QueryExecution boundary in patched Spark source</w:t>
            </w:r>
          </w:p>
        </w:tc>
      </w:tr>
      <w:tr>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Re-release</w:t>
            </w:r>
          </w:p>
        </w:tc>
        <w:tc>
          <w:tcPr>
            <w:tcW w:type="dxa" w:w="6552"/>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Stable — only CLS-denied queries produce sanitised errors</w:t>
            </w:r>
          </w:p>
        </w:tc>
      </w:tr>
    </w:tbl>
    <w:p>
      <w:pPr>
        <w:spacing w:after="80" w:before="0"/>
      </w:pPr>
      <w:r>
        <w:t xml:space="preserve"/>
      </w:r>
    </w:p>
    <w:p>
      <w:pPr>
        <w:shd w:fill="EEF4FF" w:val="clear"/>
        <w:spacing w:after="120" w:before="120"/>
        <w:ind w:left="360" w:right="360"/>
      </w:pPr>
      <w:r>
        <w:rPr>
          <w:rFonts w:ascii="Arial" w:cs="Arial" w:eastAsia="Arial" w:hAnsi="Arial"/>
          <w:i/>
          <w:iCs/>
          <w:color w:val="1a1a2e"/>
          <w:sz w:val="20"/>
          <w:szCs w:val="20"/>
        </w:rPr>
        <w:t xml:space="preserve">Spark's analysis pipeline is not linear. Analysis, optimization, and physical planning are mutually recursive via planLater. Any cross-cutting concern that must fire exactly once at the user-facing boundary must be implemented at the QueryExecution level in Spark source — not as a Spark extension rule.</w:t>
      </w:r>
    </w:p>
    <w:p>
      <w:r>
        <w:br w:type="page"/>
      </w:r>
    </w:p>
    <w:p>
      <w:pPr>
        <w:pStyle w:val="Heading1"/>
        <w:spacing w:after="120" w:before="400"/>
      </w:pPr>
      <w:r>
        <w:rPr>
          <w:rFonts w:ascii="Arial" w:cs="Arial" w:eastAsia="Arial" w:hAnsi="Arial"/>
          <w:b/>
          <w:bCs/>
          <w:color w:val="1a1a2e"/>
          <w:sz w:val="36"/>
          <w:szCs w:val="36"/>
        </w:rPr>
        <w:t xml:space="preserve">Engineering Decisions</w:t>
      </w:r>
    </w:p>
    <w:p>
      <w:pPr>
        <w:pBdr>
          <w:bottom w:val="single" w:color="CCCCDD" w:sz="4"/>
        </w:pBdr>
        <w:spacing w:after="80" w:before="80"/>
      </w:pPr>
      <w:r>
        <w:t xml:space="preserve"/>
      </w:r>
    </w:p>
    <w:p>
      <w:pPr>
        <w:pStyle w:val="Heading2"/>
        <w:spacing w:after="80" w:before="280"/>
      </w:pPr>
      <w:r>
        <w:rPr>
          <w:rFonts w:ascii="Arial" w:cs="Arial" w:eastAsia="Arial" w:hAnsi="Arial"/>
          <w:b/>
          <w:bCs/>
          <w:color w:val="2d4a7a"/>
          <w:sz w:val="28"/>
          <w:szCs w:val="28"/>
        </w:rPr>
        <w:t xml:space="preserve">Decision 1: Disable CLSRestrictedColumnErrorRule</w:t>
      </w:r>
    </w:p>
    <w:p>
      <w:pPr>
        <w:shd w:fill="F4F4F8" w:val="clear"/>
        <w:spacing w:after="0" w:before="0"/>
        <w:ind w:left="360"/>
      </w:pPr>
      <w:r>
        <w:rPr>
          <w:rFonts w:ascii="Courier New" w:cs="Courier New" w:eastAsia="Courier New" w:hAnsi="Courier New"/>
          <w:color w:val="1a1a2e"/>
          <w:sz w:val="17"/>
          <w:szCs w:val="17"/>
        </w:rPr>
        <w:t xml:space="preserve">// extensions.injectPostHocResolutionRule(session =&gt; new CLSRestrictedColumnErrorRule(session))</w:t>
      </w:r>
    </w:p>
    <w:p>
      <w:pPr>
        <w:spacing w:after="80" w:before="0"/>
      </w:pPr>
      <w:r>
        <w:t xml:space="preserve"/>
      </w:r>
    </w:p>
    <w:p>
      <w:pPr>
        <w:pStyle w:val="Heading3"/>
        <w:spacing w:after="60" w:before="200"/>
      </w:pPr>
      <w:r>
        <w:rPr>
          <w:rFonts w:ascii="Arial" w:cs="Arial" w:eastAsia="Arial" w:hAnsi="Arial"/>
          <w:b/>
          <w:bCs/>
          <w:color w:val="3a5a9a"/>
          <w:sz w:val="24"/>
          <w:szCs w:val="24"/>
        </w:rPr>
        <w:t xml:space="preserve">Rationale</w:t>
      </w:r>
    </w:p>
    <w:p>
      <w:pPr>
        <w:spacing w:after="80" w:before="60"/>
        <w:jc w:val="both"/>
      </w:pPr>
      <w:r>
        <w:rPr>
          <w:rFonts w:ascii="Arial" w:cs="Arial" w:eastAsia="Arial" w:hAnsi="Arial"/>
          <w:color w:val="2a2a2a"/>
          <w:sz w:val="21"/>
          <w:szCs w:val="21"/>
        </w:rPr>
        <w:t xml:space="preserve">This rule was designed to intercept AnalysisException thrown during analysis and replace the stack trace with a sanitised, user-facing error message — preventing restricted column names and internal plan fragments from leaking through exception output.</w:t>
      </w:r>
    </w:p>
    <w:p>
      <w:pPr>
        <w:spacing w:after="80" w:before="0"/>
      </w:pPr>
      <w:r>
        <w:t xml:space="preserve"/>
      </w:r>
    </w:p>
    <w:p>
      <w:pPr>
        <w:spacing w:after="80" w:before="60"/>
        <w:jc w:val="both"/>
      </w:pPr>
      <w:r>
        <w:rPr>
          <w:rFonts w:ascii="Arial" w:cs="Arial" w:eastAsia="Arial" w:hAnsi="Arial"/>
          <w:color w:val="2a2a2a"/>
          <w:sz w:val="21"/>
          <w:szCs w:val="21"/>
        </w:rPr>
        <w:t xml:space="preserve">However, Spark's query compilation is not a single linear pass. Analysis re-enters repeatedly from within the optimizer and physical planner via planLater, which defers sub-plan planning and re-triggers the full analysis pipeline on those sub-plans. Any rule registered via injectPostHocResolutionRule fires at every one of these re-entry points — not just at the final user-facing boundary.</w:t>
      </w:r>
    </w:p>
    <w:p>
      <w:pPr>
        <w:spacing w:after="80" w:before="0"/>
      </w:pPr>
      <w:r>
        <w:t xml:space="preserve"/>
      </w:r>
    </w:p>
    <w:p>
      <w:pPr>
        <w:spacing w:after="80" w:before="60"/>
        <w:jc w:val="both"/>
      </w:pPr>
      <w:r>
        <w:rPr>
          <w:rFonts w:ascii="Arial" w:cs="Arial" w:eastAsia="Arial" w:hAnsi="Arial"/>
          <w:color w:val="2a2a2a"/>
          <w:sz w:val="21"/>
          <w:szCs w:val="21"/>
        </w:rPr>
        <w:t xml:space="preserve">As a result, CLSRestrictedColumnErrorRule was intercepting internal AnalysisException instances that Spark uses as control flow signals during plan exploration. Replacing these internal exceptions with sanitised error messages broke Spark's own fallback mechanism, causing a non-deterministic subset of queries to fail even when they were fully permitted.</w:t>
      </w:r>
    </w:p>
    <w:p>
      <w:pPr>
        <w:spacing w:after="80" w:before="0"/>
      </w:pPr>
      <w:r>
        <w:t xml:space="preserve"/>
      </w:r>
    </w:p>
    <w:p>
      <w:pPr>
        <w:spacing w:after="80" w:before="60"/>
        <w:jc w:val="both"/>
      </w:pPr>
      <w:r>
        <w:rPr>
          <w:rFonts w:ascii="Arial" w:cs="Arial" w:eastAsia="Arial" w:hAnsi="Arial"/>
          <w:color w:val="2a2a2a"/>
          <w:sz w:val="21"/>
          <w:szCs w:val="21"/>
        </w:rPr>
        <w:t xml:space="preserve">The rule is therefore commented out. AnalysisException sanitisation must be applied at the QueryExecution boundary in patched Spark source — the single point where exceptions surface to the user after all internal re-analysis is complete — rather than at the extension layer where it fires indiscriminately across the recursive compilation pipeline.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Relevant Spark 3.5.0 Source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276"/>
        <w:gridCol w:w="3463"/>
      </w:tblGrid>
      <w:tr>
        <w:trPr>
          <w:tblHeader/>
        </w:trPr>
        <w:tc>
          <w:tcPr>
            <w:tcW w:type="dxa" w:w="262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276"/>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3463"/>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QueryExecution.assertAnalyzed</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QueryExecution.scala</w:t>
            </w:r>
          </w:p>
        </w:tc>
        <w:tc>
          <w:tcPr>
            <w:tcW w:type="dxa" w:w="3463"/>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Safe patch point — fires once at user boundary</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QueryPlanner.planLater</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QueryPlanner.scala</w:t>
            </w:r>
          </w:p>
        </w:tc>
        <w:tc>
          <w:tcPr>
            <w:tcW w:type="dxa" w:w="346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Source of recursive re-analysis — why postHoc is unsafe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SparkSessionExtensions.injectPostHocResolutionRule</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SparkSessionExtensions.scala</w:t>
            </w:r>
          </w:p>
        </w:tc>
        <w:tc>
          <w:tcPr>
            <w:tcW w:type="dxa" w:w="3463"/>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Where the rule was registered — fires at every re-entry</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Analyzer batch execution</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Analyzer.scala</w:t>
            </w:r>
          </w:p>
        </w:tc>
        <w:tc>
          <w:tcPr>
            <w:tcW w:type="dxa" w:w="3463"/>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postHoc rules run at end of every execute() call</w:t>
            </w:r>
          </w:p>
        </w:tc>
      </w:tr>
    </w:tbl>
    <w:p>
      <w:pPr>
        <w:spacing w:after="80" w:before="0"/>
      </w:pPr>
      <w:r>
        <w:t xml:space="preserve"/>
      </w:r>
    </w:p>
    <w:p>
      <w:pPr>
        <w:spacing w:after="80" w:before="60"/>
        <w:jc w:val="both"/>
      </w:pPr>
      <w:r>
        <w:rPr>
          <w:rFonts w:ascii="Arial" w:cs="Arial" w:eastAsia="Arial" w:hAnsi="Arial"/>
          <w:color w:val="2a2a2a"/>
          <w:sz w:val="21"/>
          <w:szCs w:val="21"/>
        </w:rPr>
        <w:t xml:space="preserve">GitHub (branch-3.5.0): </w:t>
      </w:r>
      <w:hyperlink w:history="1" r:id="rIddz05iqxavrtwptsv4l7x3">
        <w:r>
          <w:rPr>
            <w:rFonts w:ascii="Arial" w:cs="Arial" w:eastAsia="Arial" w:hAnsi="Arial"/>
            <w:color w:val="2d4a7a"/>
            <w:sz w:val="21"/>
            <w:szCs w:val="21"/>
            <w:u w:val="single"/>
          </w:rPr>
          <w:t xml:space="preserve">QueryExecution.scala</w:t>
        </w:r>
      </w:hyperlink>
      <w:r>
        <w:rPr>
          <w:rFonts w:ascii="Arial" w:cs="Arial" w:eastAsia="Arial" w:hAnsi="Arial"/>
          <w:color w:val="2a2a2a"/>
          <w:sz w:val="21"/>
          <w:szCs w:val="21"/>
        </w:rPr>
        <w:t xml:space="preserve"> | </w:t>
      </w:r>
      <w:hyperlink w:history="1" r:id="rIdrz4vphkvhi0umfjeviakr">
        <w:r>
          <w:rPr>
            <w:rFonts w:ascii="Arial" w:cs="Arial" w:eastAsia="Arial" w:hAnsi="Arial"/>
            <w:color w:val="2d4a7a"/>
            <w:sz w:val="21"/>
            <w:szCs w:val="21"/>
            <w:u w:val="single"/>
          </w:rPr>
          <w:t xml:space="preserve">QueryPlanner.scala</w:t>
        </w:r>
      </w:hyperlink>
      <w:r>
        <w:rPr>
          <w:rFonts w:ascii="Arial" w:cs="Arial" w:eastAsia="Arial" w:hAnsi="Arial"/>
          <w:color w:val="2a2a2a"/>
          <w:sz w:val="21"/>
          <w:szCs w:val="21"/>
        </w:rPr>
        <w:t xml:space="preserve"> | </w:t>
      </w:r>
      <w:hyperlink w:history="1" r:id="rIdfss_k2xphhcubg5r15mxp">
        <w:r>
          <w:rPr>
            <w:rFonts w:ascii="Arial" w:cs="Arial" w:eastAsia="Arial" w:hAnsi="Arial"/>
            <w:color w:val="2d4a7a"/>
            <w:sz w:val="21"/>
            <w:szCs w:val="21"/>
            <w:u w:val="single"/>
          </w:rPr>
          <w:t xml:space="preserve">SparkSessionExtensions.scala</w:t>
        </w:r>
      </w:hyperlink>
    </w:p>
    <w:p>
      <w:pPr>
        <w:spacing w:after="80" w:before="0"/>
      </w:pPr>
      <w:r>
        <w:t xml:space="preserve"/>
      </w:r>
    </w:p>
    <w:p>
      <w:pPr>
        <w:pStyle w:val="Heading2"/>
        <w:spacing w:after="80" w:before="280"/>
      </w:pPr>
      <w:r>
        <w:rPr>
          <w:rFonts w:ascii="Arial" w:cs="Arial" w:eastAsia="Arial" w:hAnsi="Arial"/>
          <w:b/>
          <w:bCs/>
          <w:color w:val="2d4a7a"/>
          <w:sz w:val="28"/>
          <w:szCs w:val="28"/>
        </w:rPr>
        <w:t xml:space="preserve">Decision 2: CTE Name Conflict Guard in CLSSecRule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Context</w:t>
      </w:r>
    </w:p>
    <w:p>
      <w:pPr>
        <w:spacing w:after="80" w:before="60"/>
        <w:jc w:val="both"/>
      </w:pPr>
      <w:r>
        <w:rPr>
          <w:rFonts w:ascii="Arial" w:cs="Arial" w:eastAsia="Arial" w:hAnsi="Arial"/>
          <w:color w:val="2a2a2a"/>
          <w:sz w:val="21"/>
          <w:szCs w:val="21"/>
        </w:rPr>
        <w:t xml:space="preserve">CLSSecRule runs on the parsed, pre-analysis plan inside getViewPlan — before Spark's CTESubstitution rule has inlined CTE definitions. At this stage, both CTE references and real table references appear identically as UnresolvedRelation nodes in the plan tree.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The Problem</w:t>
      </w:r>
    </w:p>
    <w:p>
      <w:pPr>
        <w:spacing w:after="80" w:before="60"/>
        <w:jc w:val="both"/>
      </w:pPr>
      <w:r>
        <w:rPr>
          <w:rFonts w:ascii="Arial" w:cs="Arial" w:eastAsia="Arial" w:hAnsi="Arial"/>
          <w:color w:val="2a2a2a"/>
          <w:sz w:val="21"/>
          <w:szCs w:val="21"/>
        </w:rPr>
        <w:t xml:space="preserve">Without the guard, CLSSecRule uses CLSUtils.relationExists to decide whether to wrap an UnresolvedRelation as a ViewUnresolvedRelation. This catalog lookup returns true whenever a physical table or view of that name exists in the current catalog and namespace. If a view SQL defines WITH t AS (...) SELECT * FROM t and a real table t also exists, the CTE reference is incorrectly wrapped and bound to the physical table, silently ignoring the CTE definition. In a CLS context this means the wrong secure projection is applied — a security-sensitive misbinding.</w:t>
      </w:r>
    </w:p>
    <w:p>
      <w:pPr>
        <w:spacing w:after="80" w:before="0"/>
      </w:pPr>
      <w:r>
        <w:t xml:space="preserve"/>
      </w:r>
    </w:p>
    <w:p>
      <w:pPr>
        <w:spacing w:after="80" w:before="60"/>
        <w:jc w:val="both"/>
      </w:pPr>
      <w:r>
        <w:rPr>
          <w:rFonts w:ascii="Arial" w:cs="Arial" w:eastAsia="Arial" w:hAnsi="Arial"/>
          <w:color w:val="2a2a2a"/>
          <w:sz w:val="21"/>
          <w:szCs w:val="21"/>
        </w:rPr>
        <w:t xml:space="preserve">Without name conflicts this was never a problem — if no physical table named t exists, relationExists returns false, the UnresolvedRelation is left alone, and CTESubstitution correctly replaces it with the CTE definition.</w:t>
      </w:r>
    </w:p>
    <w:p>
      <w:pPr>
        <w:spacing w:after="80" w:before="0"/>
      </w:pPr>
      <w:r>
        <w:t xml:space="preserve"/>
      </w:r>
    </w:p>
    <w:p>
      <w:pPr>
        <w:pStyle w:val="Heading3"/>
        <w:spacing w:after="60" w:before="200"/>
      </w:pPr>
      <w:r>
        <w:rPr>
          <w:rFonts w:ascii="Arial" w:cs="Arial" w:eastAsia="Arial" w:hAnsi="Arial"/>
          <w:b/>
          <w:bCs/>
          <w:color w:val="3a5a9a"/>
          <w:sz w:val="24"/>
          <w:szCs w:val="24"/>
        </w:rPr>
        <w:t xml:space="preserve">The Fix</w:t>
      </w:r>
    </w:p>
    <w:p>
      <w:pPr>
        <w:spacing w:after="80" w:before="60"/>
        <w:jc w:val="both"/>
      </w:pPr>
      <w:r>
        <w:rPr>
          <w:rFonts w:ascii="Arial" w:cs="Arial" w:eastAsia="Arial" w:hAnsi="Arial"/>
          <w:color w:val="2a2a2a"/>
          <w:sz w:val="21"/>
          <w:szCs w:val="21"/>
        </w:rPr>
        <w:t xml:space="preserve">Collect all CTE-defined names from the plan — including inside subquery expressions via transformUpWithSubqueries — before the main transformation runs. Use Spark's resolver for case-insensitive matching. Skip any UnresolvedRelation whose single-part name matches a known CTE alias.</w:t>
      </w:r>
    </w:p>
    <w:p>
      <w:pPr>
        <w:shd w:fill="F4F4F8" w:val="clear"/>
        <w:spacing w:after="0" w:before="0"/>
        <w:ind w:left="360"/>
      </w:pPr>
      <w:r>
        <w:rPr>
          <w:rFonts w:ascii="Courier New" w:cs="Courier New" w:eastAsia="Courier New" w:hAnsi="Courier New"/>
          <w:color w:val="1a1a2e"/>
          <w:sz w:val="17"/>
          <w:szCs w:val="17"/>
        </w:rPr>
        <w:t xml:space="preserve">private def collectCTENames(plan: LogicalPlan): Set[String] = {</w:t>
      </w:r>
    </w:p>
    <w:p>
      <w:pPr>
        <w:shd w:fill="F4F4F8" w:val="clear"/>
        <w:spacing w:after="0" w:before="0"/>
        <w:ind w:left="360"/>
      </w:pPr>
      <w:r>
        <w:rPr>
          <w:rFonts w:ascii="Courier New" w:cs="Courier New" w:eastAsia="Courier New" w:hAnsi="Courier New"/>
          <w:color w:val="1a1a2e"/>
          <w:sz w:val="17"/>
          <w:szCs w:val="17"/>
        </w:rPr>
        <w:t xml:space="preserve">  val names = scala.collection.mutable.Set[String]()</w:t>
      </w:r>
    </w:p>
    <w:p>
      <w:pPr>
        <w:shd w:fill="F4F4F8" w:val="clear"/>
        <w:spacing w:after="0" w:before="0"/>
        <w:ind w:left="360"/>
      </w:pPr>
      <w:r>
        <w:rPr>
          <w:rFonts w:ascii="Courier New" w:cs="Courier New" w:eastAsia="Courier New" w:hAnsi="Courier New"/>
          <w:color w:val="1a1a2e"/>
          <w:sz w:val="17"/>
          <w:szCs w:val="17"/>
        </w:rPr>
        <w:t xml:space="preserve">  plan.transformUpWithSubqueries {</w:t>
      </w:r>
    </w:p>
    <w:p>
      <w:pPr>
        <w:shd w:fill="F4F4F8" w:val="clear"/>
        <w:spacing w:after="0" w:before="0"/>
        <w:ind w:left="360"/>
      </w:pPr>
      <w:r>
        <w:rPr>
          <w:rFonts w:ascii="Courier New" w:cs="Courier New" w:eastAsia="Courier New" w:hAnsi="Courier New"/>
          <w:color w:val="1a1a2e"/>
          <w:sz w:val="17"/>
          <w:szCs w:val="17"/>
        </w:rPr>
        <w:t xml:space="preserve">    // UnresolvedWith is the pre-analysis CTE node in Spark 3.5.0</w:t>
      </w:r>
    </w:p>
    <w:p>
      <w:pPr>
        <w:shd w:fill="F4F4F8" w:val="clear"/>
        <w:spacing w:after="0" w:before="0"/>
        <w:ind w:left="360"/>
      </w:pPr>
      <w:r>
        <w:rPr>
          <w:rFonts w:ascii="Courier New" w:cs="Courier New" w:eastAsia="Courier New" w:hAnsi="Courier New"/>
          <w:color w:val="1a1a2e"/>
          <w:sz w:val="17"/>
          <w:szCs w:val="17"/>
        </w:rPr>
        <w:t xml:space="preserve">    case w @ UnresolvedWith(_, cteDefs) =&gt;</w:t>
      </w:r>
    </w:p>
    <w:p>
      <w:pPr>
        <w:shd w:fill="F4F4F8" w:val="clear"/>
        <w:spacing w:after="0" w:before="0"/>
        <w:ind w:left="360"/>
      </w:pPr>
      <w:r>
        <w:rPr>
          <w:rFonts w:ascii="Courier New" w:cs="Courier New" w:eastAsia="Courier New" w:hAnsi="Courier New"/>
          <w:color w:val="1a1a2e"/>
          <w:sz w:val="17"/>
          <w:szCs w:val="17"/>
        </w:rPr>
        <w:t xml:space="preserve">      cteDefs.foreach { case (name, _) =&gt; names += name }</w:t>
      </w:r>
    </w:p>
    <w:p>
      <w:pPr>
        <w:shd w:fill="F4F4F8" w:val="clear"/>
        <w:spacing w:after="0" w:before="0"/>
        <w:ind w:left="360"/>
      </w:pPr>
      <w:r>
        <w:rPr>
          <w:rFonts w:ascii="Courier New" w:cs="Courier New" w:eastAsia="Courier New" w:hAnsi="Courier New"/>
          <w:color w:val="1a1a2e"/>
          <w:sz w:val="17"/>
          <w:szCs w:val="17"/>
        </w:rPr>
        <w:t xml:space="preserve">      w</w:t>
      </w:r>
    </w:p>
    <w:p>
      <w:pPr>
        <w:shd w:fill="F4F4F8" w:val="clear"/>
        <w:spacing w:after="0" w:before="0"/>
        <w:ind w:left="360"/>
      </w:pPr>
      <w:r>
        <w:rPr>
          <w:rFonts w:ascii="Courier New" w:cs="Courier New" w:eastAsia="Courier New" w:hAnsi="Courier New"/>
          <w:color w:val="1a1a2e"/>
          <w:sz w:val="17"/>
          <w:szCs w:val="17"/>
        </w:rPr>
        <w:t xml:space="preserve">    case other =&gt; other</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names.toSet</w:t>
      </w:r>
    </w:p>
    <w:p>
      <w:pPr>
        <w:shd w:fill="F4F4F8" w:val="clear"/>
        <w:spacing w:after="0" w:before="0"/>
        <w:ind w:left="360"/>
      </w:pPr>
      <w:r>
        <w:rPr>
          <w:rFonts w:ascii="Courier New" w:cs="Courier New" w:eastAsia="Courier New" w:hAnsi="Courier New"/>
          <w:color w:val="1a1a2e"/>
          <w:sz w:val="17"/>
          <w:szCs w:val="17"/>
        </w:rPr>
        <w:t xml:space="preserv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Why UnresolvedWith not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tblHeader/>
        </w:trPr>
        <w:tc>
          <w:tcPr>
            <w:tcW w:type="dxa" w:w="234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3276"/>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CTE node type</w:t>
            </w:r>
          </w:p>
        </w:tc>
        <w:tc>
          <w:tcPr>
            <w:tcW w:type="dxa" w:w="3744"/>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After parsing</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UnresolvedWith</w:t>
            </w:r>
          </w:p>
        </w:tc>
        <w:tc>
          <w:tcPr>
            <w:tcW w:type="dxa" w:w="374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unresolved.scala</w:t>
            </w:r>
          </w:p>
        </w:tc>
      </w:tr>
      <w:tr>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After CTESubstitution</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CTERelationDef / CTERelationRef</w:t>
            </w:r>
          </w:p>
        </w:tc>
        <w:tc>
          <w:tcPr>
            <w:tcW w:type="dxa" w:w="374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Analyzer.scala</w:t>
            </w:r>
          </w:p>
        </w:tc>
      </w:tr>
    </w:tbl>
    <w:p>
      <w:pPr>
        <w:spacing w:after="80" w:before="0"/>
      </w:pPr>
      <w:r>
        <w:t xml:space="preserve"/>
      </w:r>
    </w:p>
    <w:p>
      <w:pPr>
        <w:pStyle w:val="Heading3"/>
        <w:spacing w:after="60" w:before="200"/>
      </w:pPr>
      <w:r>
        <w:rPr>
          <w:rFonts w:ascii="Arial" w:cs="Arial" w:eastAsia="Arial" w:hAnsi="Arial"/>
          <w:b/>
          <w:bCs/>
          <w:color w:val="3a5a9a"/>
          <w:sz w:val="24"/>
          <w:szCs w:val="24"/>
        </w:rPr>
        <w:t xml:space="preserve">Relevant Spark 3.5.0 Source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1"/>
      </w:tblGrid>
      <w:tr>
        <w:trPr>
          <w:tblHeader/>
        </w:trPr>
        <w:tc>
          <w:tcPr>
            <w:tcW w:type="dxa" w:w="262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80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UnresolvedWith — parsed CTE node</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unresolved.scala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Correct node to match pre-analysis</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CTESubstitution rule</w:t>
            </w:r>
          </w:p>
        </w:tc>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Analyzer.scala</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Inlines CTEs — runs after CLSSecRule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TreeNode.scala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Descends into subquery expressions</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SQLConf.resolver</w:t>
            </w:r>
          </w:p>
        </w:tc>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SQLConf.scala</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Case-sensitivity aware string comparison</w:t>
            </w:r>
          </w:p>
        </w:tc>
      </w:tr>
    </w:tbl>
    <w:p>
      <w:pPr>
        <w:spacing w:after="80" w:before="0"/>
      </w:pPr>
      <w:r>
        <w:t xml:space="preserve"/>
      </w:r>
    </w:p>
    <w:p>
      <w:pPr>
        <w:spacing w:after="80" w:before="60"/>
        <w:jc w:val="both"/>
      </w:pPr>
      <w:r>
        <w:rPr>
          <w:rFonts w:ascii="Arial" w:cs="Arial" w:eastAsia="Arial" w:hAnsi="Arial"/>
          <w:color w:val="2a2a2a"/>
          <w:sz w:val="21"/>
          <w:szCs w:val="21"/>
        </w:rPr>
        <w:t xml:space="preserve">GitHub (branch-3.5.0): </w:t>
      </w:r>
      <w:hyperlink w:history="1" r:id="rIdcwuapxfu53ksszcs6yq_w">
        <w:r>
          <w:rPr>
            <w:rFonts w:ascii="Arial" w:cs="Arial" w:eastAsia="Arial" w:hAnsi="Arial"/>
            <w:color w:val="2d4a7a"/>
            <w:sz w:val="21"/>
            <w:szCs w:val="21"/>
            <w:u w:val="single"/>
          </w:rPr>
          <w:t xml:space="preserve">unresolved.scala</w:t>
        </w:r>
      </w:hyperlink>
      <w:r>
        <w:rPr>
          <w:rFonts w:ascii="Arial" w:cs="Arial" w:eastAsia="Arial" w:hAnsi="Arial"/>
          <w:color w:val="2a2a2a"/>
          <w:sz w:val="21"/>
          <w:szCs w:val="21"/>
        </w:rPr>
        <w:t xml:space="preserve"> | </w:t>
      </w:r>
      <w:hyperlink w:history="1" r:id="rIdcuhqgksdnnw1lqij1zc_x">
        <w:r>
          <w:rPr>
            <w:rFonts w:ascii="Arial" w:cs="Arial" w:eastAsia="Arial" w:hAnsi="Arial"/>
            <w:color w:val="2d4a7a"/>
            <w:sz w:val="21"/>
            <w:szCs w:val="21"/>
            <w:u w:val="single"/>
          </w:rPr>
          <w:t xml:space="preserve">Analyzer.scala</w:t>
        </w:r>
      </w:hyperlink>
      <w:r>
        <w:rPr>
          <w:rFonts w:ascii="Arial" w:cs="Arial" w:eastAsia="Arial" w:hAnsi="Arial"/>
          <w:color w:val="2a2a2a"/>
          <w:sz w:val="21"/>
          <w:szCs w:val="21"/>
        </w:rPr>
        <w:t xml:space="preserve"> | </w:t>
      </w:r>
      <w:hyperlink w:history="1" r:id="rIdgnmn-yo8qnt0v3zkisjwc">
        <w:r>
          <w:rPr>
            <w:rFonts w:ascii="Arial" w:cs="Arial" w:eastAsia="Arial" w:hAnsi="Arial"/>
            <w:color w:val="2d4a7a"/>
            <w:sz w:val="21"/>
            <w:szCs w:val="21"/>
            <w:u w:val="single"/>
          </w:rPr>
          <w:t xml:space="preserve">TreeNode.scala</w:t>
        </w:r>
      </w:hyperlink>
      <w:r>
        <w:rPr>
          <w:rFonts w:ascii="Arial" w:cs="Arial" w:eastAsia="Arial" w:hAnsi="Arial"/>
          <w:color w:val="2a2a2a"/>
          <w:sz w:val="21"/>
          <w:szCs w:val="21"/>
        </w:rPr>
        <w:t xml:space="preserve"> | </w:t>
      </w:r>
      <w:hyperlink w:history="1" r:id="rIdhimygpvur_2umlte5-jwm">
        <w:r>
          <w:rPr>
            <w:rFonts w:ascii="Arial" w:cs="Arial" w:eastAsia="Arial" w:hAnsi="Arial"/>
            <w:color w:val="2d4a7a"/>
            <w:sz w:val="21"/>
            <w:szCs w:val="21"/>
            <w:u w:val="single"/>
          </w:rPr>
          <w:t xml:space="preserve">SQLConf.scala</w:t>
        </w:r>
      </w:hyperlink>
    </w:p>
    <w:p>
      <w:pPr>
        <w:spacing w:after="80" w:before="0"/>
      </w:pPr>
      <w:r>
        <w:t xml:space="preserve"/>
      </w:r>
    </w:p>
    <w:p>
      <w:pPr>
        <w:pStyle w:val="Heading2"/>
        <w:spacing w:after="80" w:before="280"/>
      </w:pPr>
      <w:r>
        <w:rPr>
          <w:rFonts w:ascii="Arial" w:cs="Arial" w:eastAsia="Arial" w:hAnsi="Arial"/>
          <w:b/>
          <w:bCs/>
          <w:color w:val="2d4a7a"/>
          <w:sz w:val="28"/>
          <w:szCs w:val="28"/>
        </w:rPr>
        <w:t xml:space="preserve">Decision 3: CustomView as a LeafNode Barrier with Two-Pass ViewSecurityRule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Context</w:t>
      </w:r>
    </w:p>
    <w:p>
      <w:pPr>
        <w:spacing w:after="80" w:before="60"/>
        <w:jc w:val="both"/>
      </w:pPr>
      <w:r>
        <w:rPr>
          <w:rFonts w:ascii="Arial" w:cs="Arial" w:eastAsia="Arial" w:hAnsi="Arial"/>
          <w:color w:val="2a2a2a"/>
          <w:sz w:val="21"/>
          <w:szCs w:val="21"/>
        </w:rPr>
        <w:t xml:space="preserve">Spark's query optimizer is aggressive. Optimizer rules such as ColumnPruning, PushPredicateThroughProject, and PushDownPredicates attempt to push filters, projections, and ordering expressions through view boundaries into the underlying relation. Without an explicit barrier, a restricted column referenced in ORDER BY, HAVING, or WHERE can be pushed below the view's secure projection and resolved against the underlying table — silently bypassing CLS.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Design</w:t>
      </w:r>
    </w:p>
    <w:p>
      <w:pPr>
        <w:spacing w:after="80" w:before="60"/>
        <w:jc w:val="both"/>
      </w:pPr>
      <w:r>
        <w:rPr>
          <w:rFonts w:ascii="Arial" w:cs="Arial" w:eastAsia="Arial" w:hAnsi="Arial"/>
          <w:color w:val="2a2a2a"/>
          <w:sz w:val="21"/>
          <w:szCs w:val="21"/>
        </w:rPr>
        <w:t xml:space="preserve">CustomView extends LeafNode deliberately. LeafNode.children = Nil means optimizer rules walk plan.children and see Nil — they cannot enter member. The member plan is opaque to all optimizer rules. If UnaryNode were used instead, member would be exposed as a child and optimizer rules would descend into it.</w:t>
      </w:r>
    </w:p>
    <w:p>
      <w:pPr>
        <w:spacing w:after="80" w:before="0"/>
      </w:pPr>
      <w:r>
        <w:t xml:space="preserve"/>
      </w:r>
    </w:p>
    <w:p>
      <w:pPr>
        <w:spacing w:after="80" w:before="60"/>
        <w:jc w:val="both"/>
      </w:pPr>
      <w:r>
        <w:rPr>
          <w:rFonts w:ascii="Arial" w:cs="Arial" w:eastAsia="Arial" w:hAnsi="Arial"/>
          <w:color w:val="2a2a2a"/>
          <w:sz w:val="21"/>
          <w:szCs w:val="21"/>
        </w:rPr>
        <w:t xml:space="preserve">ViewSecurityRule runs in two passes. Enforcement and substitution are deliberately separated because transformUpWithSubqueries processes children before parents — by the time a parent node is visited, its CustomView child would already be substituted in a single-pass approach.</w:t>
      </w:r>
    </w:p>
    <w:p>
      <w:pPr>
        <w:spacing w:after="80" w:before="0"/>
      </w:pPr>
      <w:r>
        <w:t xml:space="preserve"/>
      </w:r>
    </w:p>
    <w:p>
      <w:pPr>
        <w:spacing w:after="80" w:before="60"/>
        <w:jc w:val="both"/>
      </w:pPr>
      <w:r>
        <w:rPr>
          <w:rFonts w:ascii="Arial" w:cs="Arial" w:eastAsia="Arial" w:hAnsi="Arial"/>
          <w:color w:val="2a2a2a"/>
          <w:sz w:val="21"/>
          <w:szCs w:val="21"/>
        </w:rPr>
        <w:t xml:space="preserve">Pass 1 catches UnresolvedAttribute references to restricted columns in parent node expressions — covering SELECT, WHERE, ORDER BY, GROUP BY, HAVING, and scalar subqueries. Restricted column names are derived from desc.schema (the CREATE VIEW DDL) rather than member.output to exclude engine-internal hidden columns such as Delta's _commit_timestamp and Iceberg's _file and _pos.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Relevant Spark 3.5.0 Source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1"/>
      </w:tblGrid>
      <w:tr>
        <w:trPr>
          <w:tblHeader/>
        </w:trPr>
        <w:tc>
          <w:tcPr>
            <w:tcW w:type="dxa" w:w="262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80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LeafNode — no children contract</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LogicalPlan.scala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Structural guarantee optimizer cannot descend</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ColumnPruning optimizer rule</w:t>
            </w:r>
          </w:p>
        </w:tc>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Optimizer.scala</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Blocked by LeafNode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PushPredicateThroughProject</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expressions.scala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Blocked by LeafNode</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TreeNode.scala</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Reaches CustomView inside scalar subqueries</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injectPostHocResolutionRule</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SparkSessionExtensions.scala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Where ViewSecurityRule is registered</w:t>
            </w:r>
          </w:p>
        </w:tc>
      </w:tr>
    </w:tbl>
    <w:p>
      <w:pPr>
        <w:spacing w:after="80" w:before="0"/>
      </w:pPr>
      <w:r>
        <w:t xml:space="preserve"/>
      </w:r>
    </w:p>
    <w:p>
      <w:pPr>
        <w:spacing w:after="80" w:before="60"/>
        <w:jc w:val="both"/>
      </w:pPr>
      <w:r>
        <w:rPr>
          <w:rFonts w:ascii="Arial" w:cs="Arial" w:eastAsia="Arial" w:hAnsi="Arial"/>
          <w:color w:val="2a2a2a"/>
          <w:sz w:val="21"/>
          <w:szCs w:val="21"/>
        </w:rPr>
        <w:t xml:space="preserve">GitHub (branch-3.5.0): </w:t>
      </w:r>
      <w:hyperlink w:history="1" r:id="rIdk3gxpnoydwuhuw3fgnneb">
        <w:r>
          <w:rPr>
            <w:rFonts w:ascii="Arial" w:cs="Arial" w:eastAsia="Arial" w:hAnsi="Arial"/>
            <w:color w:val="2d4a7a"/>
            <w:sz w:val="21"/>
            <w:szCs w:val="21"/>
            <w:u w:val="single"/>
          </w:rPr>
          <w:t xml:space="preserve">LogicalPlan.scala</w:t>
        </w:r>
      </w:hyperlink>
      <w:r>
        <w:rPr>
          <w:rFonts w:ascii="Arial" w:cs="Arial" w:eastAsia="Arial" w:hAnsi="Arial"/>
          <w:color w:val="2a2a2a"/>
          <w:sz w:val="21"/>
          <w:szCs w:val="21"/>
        </w:rPr>
        <w:t xml:space="preserve"> | </w:t>
      </w:r>
      <w:hyperlink w:history="1" r:id="rIdcl93iv7hrpfz89hwdqkfe">
        <w:r>
          <w:rPr>
            <w:rFonts w:ascii="Arial" w:cs="Arial" w:eastAsia="Arial" w:hAnsi="Arial"/>
            <w:color w:val="2d4a7a"/>
            <w:sz w:val="21"/>
            <w:szCs w:val="21"/>
            <w:u w:val="single"/>
          </w:rPr>
          <w:t xml:space="preserve">Optimizer.scala</w:t>
        </w:r>
      </w:hyperlink>
      <w:r>
        <w:rPr>
          <w:rFonts w:ascii="Arial" w:cs="Arial" w:eastAsia="Arial" w:hAnsi="Arial"/>
          <w:color w:val="2a2a2a"/>
          <w:sz w:val="21"/>
          <w:szCs w:val="21"/>
        </w:rPr>
        <w:t xml:space="preserve"> | </w:t>
      </w:r>
      <w:hyperlink w:history="1" r:id="rIdx76veilaf2hayxrxoon3s">
        <w:r>
          <w:rPr>
            <w:rFonts w:ascii="Arial" w:cs="Arial" w:eastAsia="Arial" w:hAnsi="Arial"/>
            <w:color w:val="2d4a7a"/>
            <w:sz w:val="21"/>
            <w:szCs w:val="21"/>
            <w:u w:val="single"/>
          </w:rPr>
          <w:t xml:space="preserve">TreeNode.scala</w:t>
        </w:r>
      </w:hyperlink>
    </w:p>
    <w:p>
      <w:pPr>
        <w:spacing w:after="80" w:before="0"/>
      </w:pPr>
      <w:r>
        <w:t xml:space="preserve"/>
      </w:r>
    </w:p>
    <w:p>
      <w:pPr>
        <w:pStyle w:val="Heading2"/>
        <w:spacing w:after="80" w:before="280"/>
      </w:pPr>
      <w:r>
        <w:rPr>
          <w:rFonts w:ascii="Arial" w:cs="Arial" w:eastAsia="Arial" w:hAnsi="Arial"/>
          <w:b/>
          <w:bCs/>
          <w:color w:val="2d4a7a"/>
          <w:sz w:val="28"/>
          <w:szCs w:val="28"/>
        </w:rPr>
        <w:t xml:space="preserve">Decision 4: DML Plan Interception Not Required — Lakeshare Guards Object Storage Access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Context</w:t>
      </w:r>
    </w:p>
    <w:p>
      <w:pPr>
        <w:spacing w:after="80" w:before="60"/>
        <w:jc w:val="both"/>
      </w:pPr>
      <w:r>
        <w:rPr>
          <w:rFonts w:ascii="Arial" w:cs="Arial" w:eastAsia="Arial" w:hAnsi="Arial"/>
          <w:color w:val="2a2a2a"/>
          <w:sz w:val="21"/>
          <w:szCs w:val="21"/>
        </w:rPr>
        <w:t xml:space="preserve">The CLS framework intercepts query compilation to restrict which columns a user can reference in SQL queries. DML operations — MERGE INTO, INSERT INTO, UPDATE, DELETE, REPLACE WHERE — do not require CLS interception for the write target.</w:t>
      </w:r>
    </w:p>
    <w:p>
      <w:pPr>
        <w:spacing w:after="80" w:before="0"/>
      </w:pPr>
      <w:r>
        <w:t xml:space="preserve"/>
      </w:r>
    </w:p>
    <w:p>
      <w:pPr>
        <w:pStyle w:val="Heading3"/>
        <w:spacing w:after="60" w:before="200"/>
      </w:pPr>
      <w:r>
        <w:rPr>
          <w:rFonts w:ascii="Arial" w:cs="Arial" w:eastAsia="Arial" w:hAnsi="Arial"/>
          <w:b/>
          <w:bCs/>
          <w:color w:val="3a5a9a"/>
          <w:sz w:val="24"/>
          <w:szCs w:val="24"/>
        </w:rPr>
        <w:t xml:space="preserve">Lakeshare as the DML Security Boundary</w:t>
      </w:r>
    </w:p>
    <w:p>
      <w:pPr>
        <w:spacing w:after="80" w:before="60"/>
        <w:jc w:val="both"/>
      </w:pPr>
      <w:r>
        <w:rPr>
          <w:rFonts w:ascii="Arial" w:cs="Arial" w:eastAsia="Arial" w:hAnsi="Arial"/>
          <w:color w:val="2a2a2a"/>
          <w:sz w:val="21"/>
          <w:szCs w:val="21"/>
        </w:rPr>
        <w:t xml:space="preserve">The system operates alongside Lakeshare, a storage gateway that enforces permission checks before any read or write operation reaches object storage. Write permission in Lakeshare is all-or-nothing at the table level — a user cannot have partial write access to a subset of columns. If Lakeshare grants write permission, the user has full column access for that operation.</w:t>
      </w:r>
    </w:p>
    <w:p>
      <w:pPr>
        <w:shd w:fill="F4F4F8" w:val="clear"/>
        <w:spacing w:after="0" w:before="0"/>
        <w:ind w:left="360"/>
      </w:pPr>
      <w:r>
        <w:rPr>
          <w:rFonts w:ascii="Courier New" w:cs="Courier New" w:eastAsia="Courier New" w:hAnsi="Courier New"/>
          <w:color w:val="1a1a2e"/>
          <w:sz w:val="17"/>
          <w:szCs w:val="17"/>
        </w:rPr>
        <w:t xml:space="preserve">User issues DML (MERGE, INSERT, UPDATE, DELETE)</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Lakeshare permission check</w:t>
      </w:r>
    </w:p>
    <w:p>
      <w:pPr>
        <w:shd w:fill="F4F4F8" w:val="clear"/>
        <w:spacing w:after="0" w:before="0"/>
        <w:ind w:left="360"/>
      </w:pPr>
      <w:r>
        <w:rPr>
          <w:rFonts w:ascii="Courier New" w:cs="Courier New" w:eastAsia="Courier New" w:hAnsi="Courier New"/>
          <w:color w:val="1a1a2e"/>
          <w:sz w:val="17"/>
          <w:szCs w:val="17"/>
        </w:rPr>
        <w:t xml:space="preserve">    |-- No write permission -&gt; request denied, never reaches Spark</w:t>
      </w:r>
    </w:p>
    <w:p>
      <w:pPr>
        <w:shd w:fill="F4F4F8" w:val="clear"/>
        <w:spacing w:after="0" w:before="0"/>
        <w:ind w:left="360"/>
      </w:pPr>
      <w:r>
        <w:rPr>
          <w:rFonts w:ascii="Courier New" w:cs="Courier New" w:eastAsia="Courier New" w:hAnsi="Courier New"/>
          <w:color w:val="1a1a2e"/>
          <w:sz w:val="17"/>
          <w:szCs w:val="17"/>
        </w:rPr>
        <w:t xml:space="preserve">    +-- Write permission granted -&gt; full table access for this operation</w:t>
      </w:r>
    </w:p>
    <w:p>
      <w:pPr>
        <w:shd w:fill="F4F4F8" w:val="clear"/>
        <w:spacing w:after="0" w:before="0"/>
        <w:ind w:left="360"/>
      </w:pPr>
      <w:r>
        <w:rPr>
          <w:rFonts w:ascii="Courier New" w:cs="Courier New" w:eastAsia="Courier New" w:hAnsi="Courier New"/>
          <w:color w:val="1a1a2e"/>
          <w:sz w:val="17"/>
          <w:szCs w:val="17"/>
        </w:rPr>
        <w:t xml:space="preserve">            |</w:t>
      </w:r>
    </w:p>
    <w:p>
      <w:pPr>
        <w:shd w:fill="F4F4F8" w:val="clear"/>
        <w:spacing w:after="0" w:before="0"/>
        <w:ind w:left="360"/>
      </w:pPr>
      <w:r>
        <w:rPr>
          <w:rFonts w:ascii="Courier New" w:cs="Courier New" w:eastAsia="Courier New" w:hAnsi="Courier New"/>
          <w:color w:val="1a1a2e"/>
          <w:sz w:val="17"/>
          <w:szCs w:val="17"/>
        </w:rPr>
        <w:t xml:space="preserve">        Spark executes DML with full column access</w:t>
      </w:r>
    </w:p>
    <w:p>
      <w:pPr>
        <w:shd w:fill="F4F4F8" w:val="clear"/>
        <w:spacing w:after="0" w:before="0"/>
        <w:ind w:left="360"/>
      </w:pPr>
      <w:r>
        <w:rPr>
          <w:rFonts w:ascii="Courier New" w:cs="Courier New" w:eastAsia="Courier New" w:hAnsi="Courier New"/>
          <w:color w:val="1a1a2e"/>
          <w:sz w:val="17"/>
          <w:szCs w:val="17"/>
        </w:rPr>
        <w:t xml:space="preserve">        CLS interception not needed</w:t>
      </w:r>
    </w:p>
    <w:p>
      <w:pPr>
        <w:spacing w:after="80" w:before="0"/>
      </w:pPr>
      <w:r>
        <w:t xml:space="preserve"/>
      </w:r>
    </w:p>
    <w:p>
      <w:pPr>
        <w:pStyle w:val="Heading3"/>
        <w:spacing w:after="60" w:before="200"/>
      </w:pPr>
      <w:r>
        <w:rPr>
          <w:rFonts w:ascii="Arial" w:cs="Arial" w:eastAsia="Arial" w:hAnsi="Arial"/>
          <w:b/>
          <w:bCs/>
          <w:color w:val="3a5a9a"/>
          <w:sz w:val="24"/>
          <w:szCs w:val="24"/>
        </w:rPr>
        <w:t xml:space="preserve">Security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931"/>
        <w:gridCol w:w="4024"/>
      </w:tblGrid>
      <w:tr>
        <w:trPr>
          <w:tblHeader/>
        </w:trPr>
        <w:tc>
          <w:tcPr>
            <w:tcW w:type="dxa" w:w="1404"/>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4024"/>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Enforcement</w:t>
            </w:r>
          </w:p>
        </w:tc>
      </w:tr>
      <w:tr>
        <w:tc>
          <w:tcPr>
            <w:tcW w:type="dxa" w:w="140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Lakeshare</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Coarse-grained — table-level read and write permission</w:t>
            </w:r>
          </w:p>
        </w:tc>
        <w:tc>
          <w:tcPr>
            <w:tcW w:type="dxa" w:w="402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Blocks all unauthorized access before Spark sees the request</w:t>
            </w:r>
          </w:p>
        </w:tc>
      </w:tr>
      <w:tr>
        <w:tc>
          <w:tcPr>
            <w:tcW w:type="dxa" w:w="140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CLS</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Fine-grained — column-level restriction within an authorized read session</w:t>
            </w:r>
          </w:p>
        </w:tc>
        <w:tc>
          <w:tcPr>
            <w:tcW w:type="dxa" w:w="402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Enforced at query compile time via CustomView + ViewSecurityRule</w:t>
            </w:r>
          </w:p>
        </w:tc>
      </w:tr>
      <w:tr>
        <w:tc>
          <w:tcPr>
            <w:tcW w:type="dxa" w:w="140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DML</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Governed entirely by Lakeshare write permission</w:t>
            </w:r>
          </w:p>
        </w:tc>
        <w:tc>
          <w:tcPr>
            <w:tcW w:type="dxa" w:w="402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Write permission = full column access. CLS interception: not required</w:t>
            </w:r>
          </w:p>
        </w:tc>
      </w:tr>
    </w:tbl>
    <w:p>
      <w:pPr>
        <w:spacing w:after="80" w:before="0"/>
      </w:pPr>
      <w:r>
        <w:t xml:space="preserve"/>
      </w:r>
    </w:p>
    <w:p>
      <w:pPr>
        <w:pStyle w:val="Heading2"/>
        <w:spacing w:after="80" w:before="280"/>
      </w:pPr>
      <w:r>
        <w:rPr>
          <w:rFonts w:ascii="Arial" w:cs="Arial" w:eastAsia="Arial" w:hAnsi="Arial"/>
          <w:b/>
          <w:bCs/>
          <w:color w:val="2d4a7a"/>
          <w:sz w:val="28"/>
          <w:szCs w:val="28"/>
        </w:rPr>
        <w:t xml:space="preserve">Decision 5: Replace plan.collect / plan.transformUp with plan.transformUpWithSubqueries</w:t>
      </w:r>
    </w:p>
    <w:p>
      <w:pPr>
        <w:spacing w:after="80" w:before="0"/>
      </w:pPr>
      <w:r>
        <w:t xml:space="preserve"/>
      </w:r>
    </w:p>
    <w:p>
      <w:pPr>
        <w:pStyle w:val="Heading3"/>
        <w:spacing w:after="60" w:before="200"/>
      </w:pPr>
      <w:r>
        <w:rPr>
          <w:rFonts w:ascii="Arial" w:cs="Arial" w:eastAsia="Arial" w:hAnsi="Arial"/>
          <w:b/>
          <w:bCs/>
          <w:color w:val="3a5a9a"/>
          <w:sz w:val="24"/>
          <w:szCs w:val="24"/>
        </w:rPr>
        <w:t xml:space="preserve">Context</w:t>
      </w:r>
    </w:p>
    <w:p>
      <w:pPr>
        <w:spacing w:after="80" w:before="60"/>
        <w:jc w:val="both"/>
      </w:pPr>
      <w:r>
        <w:rPr>
          <w:rFonts w:ascii="Arial" w:cs="Arial" w:eastAsia="Arial" w:hAnsi="Arial"/>
          <w:color w:val="2a2a2a"/>
          <w:sz w:val="21"/>
          <w:szCs w:val="21"/>
        </w:rPr>
        <w:t xml:space="preserve">Across several PRs, CLS-related rules used plan.collect and plan.transformUp to walk the logical plan tree. These are incomplete traversal strategies for CLS enforcement where subquery expressions are a primary attack surface.</w:t>
      </w:r>
    </w:p>
    <w:p>
      <w:pPr>
        <w:spacing w:after="80" w:before="0"/>
      </w:pPr>
      <w:r>
        <w:t xml:space="preserve"/>
      </w:r>
    </w:p>
    <w:p>
      <w:pPr>
        <w:pStyle w:val="Heading3"/>
        <w:spacing w:after="60" w:before="200"/>
      </w:pPr>
      <w:r>
        <w:rPr>
          <w:rFonts w:ascii="Arial" w:cs="Arial" w:eastAsia="Arial" w:hAnsi="Arial"/>
          <w:b/>
          <w:bCs/>
          <w:color w:val="3a5a9a"/>
          <w:sz w:val="24"/>
          <w:szCs w:val="24"/>
        </w:rPr>
        <w:t xml:space="preserve">The Gap</w:t>
      </w:r>
    </w:p>
    <w:p>
      <w:pPr>
        <w:spacing w:after="80" w:before="60"/>
        <w:jc w:val="both"/>
      </w:pPr>
      <w:r>
        <w:rPr>
          <w:rFonts w:ascii="Arial" w:cs="Arial" w:eastAsia="Arial" w:hAnsi="Arial"/>
          <w:color w:val="2a2a2a"/>
          <w:sz w:val="21"/>
          <w:szCs w:val="21"/>
        </w:rPr>
        <w:t xml:space="preserve">Both plan.collect and plan.transformUp only walk LogicalPlan.children — the structural plan tree. They do not descend into subquery expressions (ScalarSubquery, Exists, InSubquery, LateralSubquery) embedded inside expression trees. Any CustomView, secure projection, or UnresolvedRelation inside a subquery expression is invisible to transformUp and collect.</w:t>
      </w:r>
    </w:p>
    <w:p>
      <w:pPr>
        <w:spacing w:after="80" w:before="0"/>
      </w:pPr>
      <w:r>
        <w:t xml:space="preserve"/>
      </w:r>
    </w:p>
    <w:p>
      <w:pPr>
        <w:pStyle w:val="Heading3"/>
        <w:spacing w:after="60" w:before="200"/>
      </w:pPr>
      <w:r>
        <w:rPr>
          <w:rFonts w:ascii="Arial" w:cs="Arial" w:eastAsia="Arial" w:hAnsi="Arial"/>
          <w:b/>
          <w:bCs/>
          <w:color w:val="3a5a9a"/>
          <w:sz w:val="24"/>
          <w:szCs w:val="24"/>
        </w:rPr>
        <w:t xml:space="preserve">All Call Sites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 Utility</w:t>
            </w:r>
          </w:p>
        </w:tc>
        <w:tc>
          <w:tcPr>
            <w:tcW w:type="dxa" w:w="234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Before</w:t>
            </w:r>
          </w:p>
        </w:tc>
        <w:tc>
          <w:tcPr>
            <w:tcW w:type="dxa" w:w="3276"/>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After</w:t>
            </w:r>
          </w:p>
        </w:tc>
      </w:tr>
      <w:tr>
        <w:tc>
          <w:tcPr>
            <w:tcW w:type="dxa" w:w="374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ViewSecurityRule Pass 1 (enforcement)</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r>
        <w:tc>
          <w:tcPr>
            <w:tcW w:type="dxa" w:w="374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ViewSecurityRule Pass 2 (substitution)</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r>
        <w:tc>
          <w:tcPr>
            <w:tcW w:type="dxa" w:w="374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CLSSecRule.apply</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r>
        <w:tc>
          <w:tcPr>
            <w:tcW w:type="dxa" w:w="374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CLSSecRule.collectCTENames</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plan.collect</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r>
        <w:tc>
          <w:tcPr>
            <w:tcW w:type="dxa" w:w="3744"/>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CLSUtils.removeSecureProjection</w:t>
            </w:r>
          </w:p>
        </w:tc>
        <w:tc>
          <w:tcPr>
            <w:tcW w:type="dxa" w:w="234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3276"/>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r>
        <w:tc>
          <w:tcPr>
            <w:tcW w:type="dxa" w:w="3744"/>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CLSUtils.stripRootWrappers</w:t>
            </w:r>
          </w:p>
        </w:tc>
        <w:tc>
          <w:tcPr>
            <w:tcW w:type="dxa" w:w="234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3276"/>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r>
    </w:tbl>
    <w:p>
      <w:pPr>
        <w:spacing w:after="80" w:before="0"/>
      </w:pPr>
      <w:r>
        <w:t xml:space="preserve"/>
      </w:r>
    </w:p>
    <w:p>
      <w:pPr>
        <w:pStyle w:val="Heading3"/>
        <w:spacing w:after="60" w:before="200"/>
      </w:pPr>
      <w:r>
        <w:rPr>
          <w:rFonts w:ascii="Arial" w:cs="Arial" w:eastAsia="Arial" w:hAnsi="Arial"/>
          <w:b/>
          <w:bCs/>
          <w:color w:val="3a5a9a"/>
          <w:sz w:val="24"/>
          <w:szCs w:val="24"/>
        </w:rPr>
        <w:t xml:space="preserve">Relevant Spark 3.5.0 Source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1"/>
      </w:tblGrid>
      <w:tr>
        <w:trPr>
          <w:tblHeader/>
        </w:trPr>
        <w:tc>
          <w:tcPr>
            <w:tcW w:type="dxa" w:w="2620"/>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808"/>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3931"/>
            <w:tcBorders>
              <w:top w:val="single" w:color="AAAACC" w:sz="1"/>
              <w:left w:val="single" w:color="AAAACC" w:sz="1"/>
              <w:bottom w:val="single" w:color="AAAACC" w:sz="1"/>
              <w:right w:val="single" w:color="AAAACC" w:sz="1"/>
            </w:tcBorders>
            <w:shd w:fill="1a1a2e"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transformUpWithSubqueries</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TreeNode.scala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Exhaustive traversal including subquery expression plans</w:t>
            </w:r>
          </w:p>
        </w:tc>
      </w:tr>
      <w:tr>
        <w:tc>
          <w:tcPr>
            <w:tcW w:type="dxa" w:w="262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SubqueryExpression</w:t>
            </w:r>
          </w:p>
        </w:tc>
        <w:tc>
          <w:tcPr>
            <w:tcW w:type="dxa" w:w="2808"/>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subquery.scala</w:t>
            </w:r>
          </w:p>
        </w:tc>
        <w:tc>
          <w:tcPr>
            <w:tcW w:type="dxa" w:w="3931"/>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rFonts w:ascii="Arial" w:cs="Arial" w:eastAsia="Arial" w:hAnsi="Arial"/>
                <w:color w:val="2a2a2a"/>
                <w:sz w:val="18"/>
                <w:szCs w:val="18"/>
              </w:rPr>
              <w:t xml:space="preserve">Base class for ScalarSubquery, Exists, InSubquery, LateralSubquery</w:t>
            </w:r>
          </w:p>
        </w:tc>
      </w:tr>
      <w:tr>
        <w:tc>
          <w:tcPr>
            <w:tcW w:type="dxa" w:w="2620"/>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transformUp</w:t>
            </w:r>
          </w:p>
        </w:tc>
        <w:tc>
          <w:tcPr>
            <w:tcW w:type="dxa" w:w="2808"/>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TreeNode.scala</w:t>
            </w:r>
          </w:p>
        </w:tc>
        <w:tc>
          <w:tcPr>
            <w:tcW w:type="dxa" w:w="3931"/>
            <w:tcBorders>
              <w:top w:val="single" w:color="AAAACC" w:sz="1"/>
              <w:left w:val="single" w:color="AAAACC" w:sz="1"/>
              <w:bottom w:val="single" w:color="AAAACC" w:sz="1"/>
              <w:right w:val="single" w:color="AAAACC" w:sz="1"/>
            </w:tcBorders>
            <w:shd w:fill="F0F2F8" w:val="clear"/>
            <w:tcMar>
              <w:top w:type="dxa" w:w="80"/>
              <w:left w:type="dxa" w:w="120"/>
              <w:bottom w:type="dxa" w:w="80"/>
              <w:right w:type="dxa" w:w="120"/>
            </w:tcMar>
            <w:vAlign w:val="top"/>
          </w:tcPr>
          <w:p>
            <w:r>
              <w:rPr>
                <w:rFonts w:ascii="Arial" w:cs="Arial" w:eastAsia="Arial" w:hAnsi="Arial"/>
                <w:color w:val="2a2a2a"/>
                <w:sz w:val="18"/>
                <w:szCs w:val="18"/>
              </w:rPr>
              <w:t xml:space="preserve">Incomplete — only walks LogicalPlan.children</w:t>
            </w:r>
          </w:p>
        </w:tc>
      </w:tr>
    </w:tbl>
    <w:p>
      <w:pPr>
        <w:spacing w:after="80" w:before="0"/>
      </w:pPr>
      <w:r>
        <w:t xml:space="preserve"/>
      </w:r>
    </w:p>
    <w:p>
      <w:pPr>
        <w:spacing w:after="80" w:before="60"/>
        <w:jc w:val="both"/>
      </w:pPr>
      <w:r>
        <w:rPr>
          <w:rFonts w:ascii="Arial" w:cs="Arial" w:eastAsia="Arial" w:hAnsi="Arial"/>
          <w:color w:val="2a2a2a"/>
          <w:sz w:val="21"/>
          <w:szCs w:val="21"/>
        </w:rPr>
        <w:t xml:space="preserve">GitHub (branch-3.5.0): </w:t>
      </w:r>
      <w:hyperlink w:history="1" r:id="rIdb4vyfjyplg-bebvdkkug7">
        <w:r>
          <w:rPr>
            <w:rFonts w:ascii="Arial" w:cs="Arial" w:eastAsia="Arial" w:hAnsi="Arial"/>
            <w:color w:val="2d4a7a"/>
            <w:sz w:val="21"/>
            <w:szCs w:val="21"/>
            <w:u w:val="single"/>
          </w:rPr>
          <w:t xml:space="preserve">TreeNode.scala</w:t>
        </w:r>
      </w:hyperlink>
      <w:r>
        <w:rPr>
          <w:rFonts w:ascii="Arial" w:cs="Arial" w:eastAsia="Arial" w:hAnsi="Arial"/>
          <w:color w:val="2a2a2a"/>
          <w:sz w:val="21"/>
          <w:szCs w:val="21"/>
        </w:rPr>
        <w:t xml:space="preserve"> | </w:t>
      </w:r>
      <w:hyperlink w:history="1" r:id="rIdewghyeesd6plit8klbupe">
        <w:r>
          <w:rPr>
            <w:rFonts w:ascii="Arial" w:cs="Arial" w:eastAsia="Arial" w:hAnsi="Arial"/>
            <w:color w:val="2d4a7a"/>
            <w:sz w:val="21"/>
            <w:szCs w:val="21"/>
            <w:u w:val="single"/>
          </w:rPr>
          <w:t xml:space="preserve">subquery.scala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d4a7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z05iqxavrtwptsv4l7x3" Type="http://schemas.openxmlformats.org/officeDocument/2006/relationships/hyperlink" Target="https://github.com/apache/spark/blob/branch-3.5/sql/core/src/main/scala/org/apache/spark/sql/execution/QueryExecution.scala" TargetMode="External"/><Relationship Id="rIdrz4vphkvhi0umfjeviakr" Type="http://schemas.openxmlformats.org/officeDocument/2006/relationships/hyperlink" Target="https://github.com/apache/spark/blob/branch-3.5/sql/catalyst/src/main/scala/org/apache/spark/sql/catalyst/planning/QueryPlanner.scala" TargetMode="External"/><Relationship Id="rIdfss_k2xphhcubg5r15mxp" Type="http://schemas.openxmlformats.org/officeDocument/2006/relationships/hyperlink" Target="https://github.com/apache/spark/blob/branch-3.5/sql/core/src/main/scala/org/apache/spark/sql/SparkSessionExtensions.scala" TargetMode="External"/><Relationship Id="rIdcwuapxfu53ksszcs6yq_w" Type="http://schemas.openxmlformats.org/officeDocument/2006/relationships/hyperlink" Target="https://github.com/apache/spark/blob/branch-3.5/sql/catalyst/src/main/scala/org/apache/spark/sql/catalyst/analysis/unresolved.scala" TargetMode="External"/><Relationship Id="rIdcuhqgksdnnw1lqij1zc_x" Type="http://schemas.openxmlformats.org/officeDocument/2006/relationships/hyperlink" Target="https://github.com/apache/spark/blob/branch-3.5/sql/catalyst/src/main/scala/org/apache/spark/sql/catalyst/analysis/Analyzer.scala" TargetMode="External"/><Relationship Id="rIdgnmn-yo8qnt0v3zkisjwc" Type="http://schemas.openxmlformats.org/officeDocument/2006/relationships/hyperlink" Target="https://github.com/apache/spark/blob/branch-3.5/sql/catalyst/src/main/scala/org/apache/spark/sql/catalyst/trees/TreeNode.scala" TargetMode="External"/><Relationship Id="rIdhimygpvur_2umlte5-jwm" Type="http://schemas.openxmlformats.org/officeDocument/2006/relationships/hyperlink" Target="https://github.com/apache/spark/blob/branch-3.5/sql/catalyst/src/main/scala/org/apache/spark/sql/internal/SQLConf.scala" TargetMode="External"/><Relationship Id="rIdk3gxpnoydwuhuw3fgnneb" Type="http://schemas.openxmlformats.org/officeDocument/2006/relationships/hyperlink" Target="https://github.com/apache/spark/blob/branch-3.5/sql/catalyst/src/main/scala/org/apache/spark/sql/catalyst/plans/logical/LogicalPlan.scala" TargetMode="External"/><Relationship Id="rIdcl93iv7hrpfz89hwdqkfe" Type="http://schemas.openxmlformats.org/officeDocument/2006/relationships/hyperlink" Target="https://github.com/apache/spark/blob/branch-3.5/sql/catalyst/src/main/scala/org/apache/spark/sql/catalyst/optimizer/Optimizer.scala" TargetMode="External"/><Relationship Id="rIdx76veilaf2hayxrxoon3s" Type="http://schemas.openxmlformats.org/officeDocument/2006/relationships/hyperlink" Target="https://github.com/apache/spark/blob/branch-3.5/sql/catalyst/src/main/scala/org/apache/spark/sql/catalyst/trees/TreeNode.scala" TargetMode="External"/><Relationship Id="rIdb4vyfjyplg-bebvdkkug7" Type="http://schemas.openxmlformats.org/officeDocument/2006/relationships/hyperlink" Target="https://github.com/apache/spark/blob/branch-3.5/sql/catalyst/src/main/scala/org/apache/spark/sql/catalyst/trees/TreeNode.scala" TargetMode="External"/><Relationship Id="rIdewghyeesd6plit8klbupe" Type="http://schemas.openxmlformats.org/officeDocument/2006/relationships/hyperlink" Target="https://github.com/apache/spark/blob/branch-3.5/sql/catalyst/src/main/scala/org/apache/spark/sql/catalyst/expressions/subquery.scala"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2026-06-12T10:18:54.768Z</dcterms:created>
  <dcterms:modified xsi:type="dcterms:W3CDTF">2026-06-12T10:18:54.783Z</dcterms:modified>
</cp:coreProperties>
</file>

<file path=docProps/custom.xml><?xml version="1.0" encoding="utf-8"?>
<Properties xmlns="http://schemas.openxmlformats.org/officeDocument/2006/custom-properties" xmlns:vt="http://schemas.openxmlformats.org/officeDocument/2006/docPropsVTypes"/>
</file>