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modeling where sufficient validated data exist. We give the design rationale for each major</w:t>
      </w:r>
      <w:r>
        <w:t xml:space="preserve"> </w:t>
      </w:r>
      <w:r>
        <w:t xml:space="preserve">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two openly-licensed public datasets — a cast-concrete benchmark</w:t>
      </w:r>
      <w:r>
        <w:t xml:space="preserve"> </w:t>
      </w:r>
      <w:r>
        <w:t xml:space="preserve">and a real ~30-laboratory 3DCP database — into one schema, including a cross-study print-anisotropy result.</w:t>
      </w:r>
      <w:r>
        <w:t xml:space="preserve"> </w:t>
      </w:r>
      <w:r>
        <w:t xml:space="preserve">We argue — analytically, fitting no predictive model — that classical single-predictor strength models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We also identify a taxonomy of</w:t>
      </w:r>
      <w:r>
        <w:t xml:space="preserve"> </w:t>
      </w:r>
      <w:r>
        <w:t xml:space="preserve">features that are physically important but cannot yet be measured reliably — an agenda for instrumentation.</w:t>
      </w:r>
    </w:p>
    <w:bookmarkEnd w:id="9"/>
    <w:bookmarkStart w:id="89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An argument that</w:t>
      </w:r>
      <w:r>
        <w:t xml:space="preserve"> </w:t>
      </w:r>
      <w:r>
        <w:rPr>
          <w:b/>
          <w:bCs/>
        </w:rPr>
        <w:t xml:space="preserve">classical single-predictor strength models</w:t>
      </w:r>
      <w:r>
        <w:t xml:space="preserve"> </w:t>
      </w:r>
      <w:r>
        <w:t xml:space="preserve">(Abrams, Bolomey, Féret, Powers)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This is an analytical argument, not an empirical one: we do</w:t>
      </w:r>
      <w:r>
        <w:t xml:space="preserve"> </w:t>
      </w:r>
      <w:r>
        <w:t xml:space="preserve">not fit or benchmark models, nor claim these 244 columns are the necessary or sufficient set (§7, §12).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two openly-licensed public datasets — a cast-concrete benchmark</w:t>
      </w:r>
      <w:r>
        <w:t xml:space="preserve"> </w:t>
      </w:r>
      <w:r>
        <w:t xml:space="preserve">and a real ~30-laboratory 3DCP database — into one schema, yielding a cross-study print-anisotropy</w:t>
      </w:r>
      <w:r>
        <w:t xml:space="preserve"> </w:t>
      </w:r>
      <w:r>
        <w:t xml:space="preserve">result that the 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Classical single-predictor strength models — Abrams’ law [10], Bolomey’s equation [11], Féret’s</w:t>
      </w:r>
      <w:r>
        <w:t xml:space="preserve"> </w:t>
      </w:r>
      <w:r>
        <w:t xml:space="preserve">formula [12], and the Powers–Brownyard gel–space ratio [49] — were developed for cast concrete and</w:t>
      </w:r>
      <w:r>
        <w:t xml:space="preserve"> </w:t>
      </w:r>
      <w:r>
        <w:t xml:space="preserve">predict strength from a single scalar. They encode</w:t>
      </w:r>
      <w:r>
        <w:t xml:space="preserve"> </w:t>
      </w:r>
      <w:r>
        <w:t xml:space="preserve">an assumption that composition dominates and processing is held constant by standard practice. For</w:t>
      </w:r>
      <w:r>
        <w:t xml:space="preserve"> </w:t>
      </w:r>
      <w:r>
        <w:t xml:space="preserve">3DCP that assumption breaks down (§7), which motivates multi-feature models and, by extension, a</w:t>
      </w:r>
      <w:r>
        <w:t xml:space="preserve"> </w:t>
      </w:r>
      <w:r>
        <w:t xml:space="preserve">record that captures the full feature space those models need.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[18, 19];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[20]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[21];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[13]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[22]; Khoshnevis developed Contour Crafting [23] and Cesaretti et al.</w:t>
      </w:r>
      <w:r>
        <w:t xml:space="preserve"> </w:t>
      </w:r>
      <w:r>
        <w:t xml:space="preserve">demonstrated binder-jetting of regolith simulant [24].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[25, 26];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27] — with Wolfs et al. on early-age behaviour [5] and Suiker on wall</w:t>
      </w:r>
      <w:r>
        <w:t xml:space="preserve"> </w:t>
      </w:r>
      <w:r>
        <w:t xml:space="preserve">stability [28]. Roussel established the rheological framework for printable concrete [7], and Perrot et</w:t>
      </w:r>
      <w:r>
        <w:t xml:space="preserve"> </w:t>
      </w:r>
      <w:r>
        <w:t xml:space="preserve">al. quantified structural build-up [29]. The NTU Singapore group contributed systematic rheology</w:t>
      </w:r>
      <w:r>
        <w:t xml:space="preserve"> </w:t>
      </w:r>
      <w:r>
        <w:t xml:space="preserve">studies including geopolymers [30, 31], printability regions [32], and fresh/hardened characterization</w:t>
      </w:r>
      <w:r>
        <w:t xml:space="preserve"> </w:t>
      </w:r>
      <w:r>
        <w:t xml:space="preserve">[33].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[34], and Marchment and Sanjayan on mesh reinforcement</w:t>
      </w:r>
      <w:r>
        <w:t xml:space="preserve"> </w:t>
      </w:r>
      <w:r>
        <w:t xml:space="preserve">[35]. Structural implications were addressed by Asprone et al. [36] and Gebhard et al. [37]. Broader</w:t>
      </w:r>
      <w:r>
        <w:t xml:space="preserve"> </w:t>
      </w:r>
      <w:r>
        <w:t xml:space="preserve">reviews include Mechtcherine et al. on production physics [38], Buswell et al.’s research roadmap [3],</w:t>
      </w:r>
      <w:r>
        <w:t xml:space="preserve"> </w:t>
      </w:r>
      <w:r>
        <w:t xml:space="preserve">Nerella et al. on strain-based build-up [39], De Schutter et al. on technical/economic/environmental</w:t>
      </w:r>
      <w:r>
        <w:t xml:space="preserve"> </w:t>
      </w:r>
      <w:r>
        <w:t xml:space="preserve">potentials [2], large-scale UHPC work [40], a classification of building systems [41], particle-bed</w:t>
      </w:r>
      <w:r>
        <w:t xml:space="preserve"> </w:t>
      </w:r>
      <w:r>
        <w:t xml:space="preserve">printing [42], fiber-reinforced and recycled-aggregate formulations [43, 44], the 3DCP.fyi citation</w:t>
      </w:r>
      <w:r>
        <w:t xml:space="preserve"> </w:t>
      </w:r>
      <w:r>
        <w:t xml:space="preserve">network [45], and Wangler et al.’s digital-concrete review [46]; the RILEM TC 276-DFC state-of-the-art</w:t>
      </w:r>
      <w:r>
        <w:t xml:space="preserve"> </w:t>
      </w:r>
      <w:r>
        <w:t xml:space="preserve">report consolidates digital-fabrication practice [50].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[14, 15, 16], with an accompanying database system for sharing</w:t>
      </w:r>
      <w:r>
        <w:t xml:space="preserve"> </w:t>
      </w:r>
      <w:r>
        <w:t xml:space="preserve">experimental data [17].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[47].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[17],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[17],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(§10),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v1.6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307542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[51]),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(§11)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two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two openly-licensed public datasets into Open3DCP and report the result</w:t>
      </w:r>
      <w:r>
        <w:t xml:space="preserve"> </w:t>
      </w:r>
      <w:r>
        <w:t xml:space="preserve">(Figure 5). The UCI/Yeh (1998) concrete dataset 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the</w:t>
      </w:r>
      <w:r>
        <w:t xml:space="preserve"> </w:t>
      </w:r>
      <w:r>
        <w:t xml:space="preserve">composition and hardened-strength columns and ingests at a fidelity of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over its 126</w:t>
      </w:r>
      <w:r>
        <w:t xml:space="preserve"> </w:t>
      </w:r>
      <w:r>
        <w:t xml:space="preserve">source fields. The RILEM TC 304-ADC interlaboratory study on the mechanical properties of 3D-printed</w:t>
      </w:r>
      <w:r>
        <w:t xml:space="preserve"> </w:t>
      </w:r>
      <w:r>
        <w:t xml:space="preserve">concrete [52]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</w:t>
      </w:r>
      <w:r>
        <w:t xml:space="preserve"> </w:t>
      </w:r>
      <w:r>
        <w:t xml:space="preserve">SQLite export — was curated into Open3DCP and populates the columns UCI leaves empty: 3DCP process,</w:t>
      </w:r>
      <w:r>
        <w:t xml:space="preserve"> </w:t>
      </w:r>
      <w:r>
        <w:t xml:space="preserve">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 per-measurement uncertainty columns</w:t>
      </w:r>
      <w:r>
        <w:t xml:space="preserve"> </w:t>
      </w:r>
      <w:r>
        <w:t xml:space="preserve">(mean ± standard deviation ± n). (An automated fidelity score for the RILEM source awaits a SQLite reader;</w:t>
      </w:r>
      <w:r>
        <w:t xml:space="preserve"> </w:t>
      </w:r>
      <w:r>
        <w:t xml:space="preserve">the present ingestion is curated through the relational structure.) Together the two sources light up</w:t>
      </w:r>
      <w:r>
        <w:t xml:space="preserve"> </w:t>
      </w:r>
      <w:r>
        <w:t xml:space="preserve">complementary slices of the record, and Open3DCP spans their union (Figure 5, left).</w:t>
      </w:r>
    </w:p>
    <w:p>
      <w:pPr>
        <w:pStyle w:val="BodyText"/>
      </w:pPr>
      <w:r>
        <w:t xml:space="preserve">The demonstration also yields a result that</w:t>
      </w:r>
      <w:r>
        <w:t xml:space="preserve"> </w:t>
      </w:r>
      <w:r>
        <w:rPr>
          <w:b/>
          <w:bCs/>
        </w:rPr>
        <w:t xml:space="preserve">cannot be expressed without an orientation field, nor</w:t>
      </w:r>
      <w:r>
        <w:rPr>
          <w:b/>
          <w:bCs/>
        </w:rPr>
        <w:t xml:space="preserve"> </w:t>
      </w:r>
      <w:r>
        <w:rPr>
          <w:b/>
          <w:bCs/>
        </w:rPr>
        <w:t xml:space="preserve">compared across laboratories without a shared schema</w:t>
      </w:r>
      <w:r>
        <w:t xml:space="preserve">: print anisotropy. Mapping the RILEM U/V/W loading</w:t>
      </w:r>
      <w:r>
        <w:t xml:space="preserve"> </w:t>
      </w:r>
      <w:r>
        <w:t xml:space="preserve">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</w:t>
      </w:r>
      <w:r>
        <w:rPr>
          <w:b/>
          <w:bCs/>
        </w:rPr>
        <w:t xml:space="preserve"> </w:t>
      </w:r>
      <w:r>
        <w:rPr>
          <w:b/>
          <w:bCs/>
        </w:rPr>
        <w:t xml:space="preserve">loaded along the layers</w:t>
      </w:r>
      <w:r>
        <w:t xml:space="preserve"> </w:t>
      </w:r>
      <w:r>
        <w:t xml:space="preserve">than the cast reference, consistently across three independent laboratories</w:t>
      </w:r>
      <w:r>
        <w:t xml:space="preserve"> </w:t>
      </w:r>
      <w:r>
        <w:t xml:space="preserve">(Figure 5, right) — direct empirical support for the argument of §7. This is a demonstration of</w:t>
      </w:r>
      <w:r>
        <w:t xml:space="preserve"> </w:t>
      </w:r>
      <w:r>
        <w:rPr>
          <w:i/>
          <w:iCs/>
        </w:rPr>
        <w:t xml:space="preserve">ingestion</w:t>
      </w:r>
      <w:r>
        <w:rPr>
          <w:i/>
          <w:iCs/>
        </w:rPr>
        <w:t xml:space="preserve"> </w:t>
      </w:r>
      <w:r>
        <w:rPr>
          <w:i/>
          <w:iCs/>
        </w:rPr>
        <w:t xml:space="preserve">and interoperability</w:t>
      </w:r>
      <w:r>
        <w:t xml:space="preserve">, not a predictive-model benchmark; fitting models on pooled Open3DCP data is future</w:t>
      </w:r>
      <w:r>
        <w:t xml:space="preserve"> </w:t>
      </w:r>
      <w:r>
        <w:t xml:space="preserve">work (§12).</w:t>
      </w:r>
    </w:p>
    <w:p>
      <w:pPr>
        <w:pStyle w:val="CaptionedFigure"/>
      </w:pPr>
      <w:r>
        <w:drawing>
          <wp:inline>
            <wp:extent cx="5334000" cy="2130045"/>
            <wp:effectExtent b="0" l="0" r="0" t="0"/>
            <wp:docPr descr="Worked demonstration. Left: two openly-licensed public datasets ingested into Open3DCP — UCI/Yeh (cast) and the RILEM TC 304-ADC interlaboratory study (real 3DCP, ~30 labs) — each populating complementary slices of the record (dark = populated, light = partial), with Open3DCP spanning the union. Right: 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two openly-licensed public datasets ingested into Open3DCP — UCI/Yeh (cast) and the RILEM TC 304-ADC interlaboratory study (real 3DCP, ~30 labs) — each populating complementary slices of the record (dark = populated, light = partial), with Open3DCP spanning the union.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the-case-for-multi-feature-models"/>
    <w:p>
      <w:pPr>
        <w:pStyle w:val="Heading2"/>
      </w:pPr>
      <w:r>
        <w:t xml:space="preserve">7. The case for multi-feature models</w:t>
      </w:r>
    </w:p>
    <w:p>
      <w:pPr>
        <w:pStyle w:val="FirstParagraph"/>
      </w:pPr>
      <w:r>
        <w:t xml:space="preserve">The concrete industry has relied on empirical strength models for over a century: Abrams’ law [10],</w:t>
      </w:r>
      <w:r>
        <w:t xml:space="preserve"> </w:t>
      </w:r>
      <w:r>
        <w:t xml:space="preserve">Bolomey’s equation [11], Féret’s formula [12], and the Powers–Brownyard gel–space ratio [49] (the last a</w:t>
      </w:r>
      <w:r>
        <w:t xml:space="preserve"> </w:t>
      </w:r>
      <w:r>
        <w:t xml:space="preserve">function of degree of hydration rather than a pure composition ratio) predict strength from a single</w:t>
      </w:r>
      <w:r>
        <w:t xml:space="preserve"> </w:t>
      </w:r>
      <w:r>
        <w:t xml:space="preserve">scalar, on the assumption that composition dominates and</w:t>
      </w:r>
      <w:r>
        <w:t xml:space="preserve"> </w:t>
      </w:r>
      <w:r>
        <w:t xml:space="preserve">processing is held constant by standard practice. For cast concrete under controlled conditions, this</w:t>
      </w:r>
      <w:r>
        <w:t xml:space="preserve"> </w:t>
      </w:r>
      <w:r>
        <w:t xml:space="preserve">is reasonable. For 3DCP the assumption is violated in at least four ways:</w:t>
      </w:r>
      <w:r>
        <w:t xml:space="preserve"> </w:t>
      </w:r>
      <w:r>
        <w:rPr>
          <w:b/>
          <w:bCs/>
        </w:rPr>
        <w:t xml:space="preserve">process variation</w:t>
      </w:r>
      <w:r>
        <w:t xml:space="preserve"> </w:t>
      </w:r>
      <w:r>
        <w:t xml:space="preserve">(two</w:t>
      </w:r>
      <w:r>
        <w:t xml:space="preserve"> </w:t>
      </w:r>
      <w:r>
        <w:t xml:space="preserve">specimens of identical composition but different print speed, layer height, and time gap can differ</w:t>
      </w:r>
      <w:r>
        <w:t xml:space="preserve"> </w:t>
      </w:r>
      <w:r>
        <w:t xml:space="preserve">substantially in compressive strength — the process-parameter literature reports strength changes of</w:t>
      </w:r>
      <w:r>
        <w:t xml:space="preserve"> </w:t>
      </w:r>
      <w:r>
        <w:t xml:space="preserve">order 10–30 % from time-gap and speed alone [7, 38]),</w:t>
      </w:r>
      <w:r>
        <w:t xml:space="preserve"> </w:t>
      </w:r>
      <w:r>
        <w:rPr>
          <w:b/>
          <w:bCs/>
        </w:rPr>
        <w:t xml:space="preserve">anisotropy</w:t>
      </w:r>
      <w:r>
        <w:t xml:space="preserve"> </w:t>
      </w:r>
      <w:r>
        <w:t xml:space="preserve">(printed specimens are</w:t>
      </w:r>
      <w:r>
        <w:t xml:space="preserve"> </w:t>
      </w:r>
      <w:r>
        <w:t xml:space="preserve">direction-dependent, with cross-layer strength commonly 20–40 % below in-plane [5, 6], a spread a</w:t>
      </w:r>
      <w:r>
        <w:t xml:space="preserve"> </w:t>
      </w:r>
      <w:r>
        <w:t xml:space="preserve">one-output model cannot represent),</w:t>
      </w:r>
      <w:r>
        <w:t xml:space="preserve"> </w:t>
      </w:r>
      <w:r>
        <w:rPr>
          <w:b/>
          <w:bCs/>
        </w:rPr>
        <w:t xml:space="preserve">SCM complexity</w:t>
      </w:r>
      <w:r>
        <w:t xml:space="preserve"> </w:t>
      </w:r>
      <w:r>
        <w:t xml:space="preserve">(modern mixes contain three to five binders whose</w:t>
      </w:r>
      <w:r>
        <w:t xml:space="preserve"> </w:t>
      </w:r>
      <w:r>
        <w:t xml:space="preserve">reactivities differ by orders of magnitude, which a single w/b ratio treats equally), and</w:t>
      </w:r>
      <w:r>
        <w:t xml:space="preserve"> </w:t>
      </w:r>
      <w:r>
        <w:rPr>
          <w:b/>
          <w:bCs/>
        </w:rPr>
        <w:t xml:space="preserve">rheological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(the admixture cocktail that achieves printability may differ from what optimizes strength</w:t>
      </w:r>
      <w:r>
        <w:t xml:space="preserve"> </w:t>
      </w:r>
      <w:r>
        <w:t xml:space="preserve">at the same w/b). The RILEM TC 304-ADC interlaboratory study [14, 15] supplies evidence at scale: the</w:t>
      </w:r>
      <w:r>
        <w:t xml:space="preserve"> </w:t>
      </w:r>
      <w:r>
        <w:t xml:space="preserve">same mix design, printed across laboratories with different equipment and process parameters, produced</w:t>
      </w:r>
      <w:r>
        <w:t xml:space="preserve"> </w:t>
      </w:r>
      <w:r>
        <w:t xml:space="preserve">inter-laboratory variability substantially larger than cast-concrete round-robins, driven primarily by</w:t>
      </w:r>
      <w:r>
        <w:t xml:space="preserve"> </w:t>
      </w:r>
      <w:r>
        <w:t xml:space="preserve">process differences — exactly the variables single-predictor models ignore. The worked demonstration in</w:t>
      </w:r>
      <w:r>
        <w:t xml:space="preserve"> </w:t>
      </w:r>
      <w:r>
        <w:t xml:space="preserve">§6 (Figure 5) shows this directly: the same mortar is 32–55 % weaker loaded along the print layers than</w:t>
      </w:r>
      <w:r>
        <w:t xml:space="preserve"> </w:t>
      </w:r>
      <w:r>
        <w:t xml:space="preserve">cast, consistently across three laboratories.</w:t>
      </w:r>
    </w:p>
    <w:p>
      <w:pPr>
        <w:pStyle w:val="BodyText"/>
      </w:pPr>
      <w:r>
        <w:t xml:space="preserve">This is an</w:t>
      </w:r>
      <w:r>
        <w:t xml:space="preserve"> </w:t>
      </w:r>
      <w:r>
        <w:rPr>
          <w:i/>
          <w:iCs/>
        </w:rPr>
        <w:t xml:space="preserve">analytical</w:t>
      </w:r>
      <w:r>
        <w:t xml:space="preserve"> </w:t>
      </w:r>
      <w:r>
        <w:t xml:space="preserve">motivation, not an empirical demonstration: it shows that single-predictor models</w:t>
      </w:r>
      <w:r>
        <w:t xml:space="preserve"> </w:t>
      </w:r>
      <w:r>
        <w:rPr>
          <w:i/>
          <w:iCs/>
        </w:rPr>
        <w:t xml:space="preserve">cannot represent</w:t>
      </w:r>
      <w:r>
        <w:t xml:space="preserve"> </w:t>
      </w:r>
      <w:r>
        <w:t xml:space="preserve">3DCP’s process- and orientation-dependence, which makes multi-feature models</w:t>
      </w:r>
      <w:r>
        <w:t xml:space="preserve"> </w:t>
      </w:r>
      <w:r>
        <w:t xml:space="preserve">necessary, and a multi-feature model can only use features that were recorded — hence the value of a</w:t>
      </w:r>
      <w:r>
        <w:t xml:space="preserve"> </w:t>
      </w:r>
      <w:r>
        <w:t xml:space="preserve">comprehensive record.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that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244 columns are the necessary or sufficient</w:t>
      </w:r>
      <w:r>
        <w:t xml:space="preserve"> </w:t>
      </w:r>
      <w:r>
        <w:t xml:space="preserve">set; that is an empirical question the schema is built to let others answer through feature-ablation</w:t>
      </w:r>
      <w:r>
        <w:t xml:space="preserve"> </w:t>
      </w:r>
      <w:r>
        <w:t xml:space="preserve">studies as data coverage improves (§12). We fit no model and benchmark no predictor here.</w:t>
      </w:r>
    </w:p>
    <w:bookmarkEnd w:id="31"/>
    <w:bookmarkStart w:id="32" w:name="digital-twin-and-icme-framing"/>
    <w:p>
      <w:pPr>
        <w:pStyle w:val="Heading2"/>
      </w:pPr>
      <w:r>
        <w:t xml:space="preserve">8.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2"/>
    <w:bookmarkStart w:id="33" w:name="what-we-cannot-capture-and-why"/>
    <w:p>
      <w:pPr>
        <w:pStyle w:val="Heading2"/>
      </w:pPr>
      <w:r>
        <w:t xml:space="preserve">9.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9.1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9.2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9.3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9.4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9.5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 or models.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would most improve predictive models</w:t>
      </w:r>
      <w:r>
        <w:t xml:space="preserve">, and</w:t>
      </w:r>
      <w:r>
        <w:t xml:space="preserve"> </w:t>
      </w:r>
      <w:r>
        <w:t xml:space="preserve">closing these gaps requires instrumentation, not schema design.</w:t>
      </w:r>
    </w:p>
    <w:bookmarkEnd w:id="33"/>
    <w:bookmarkStart w:id="37" w:name="adoption-path-and-community"/>
    <w:p>
      <w:pPr>
        <w:pStyle w:val="Heading2"/>
      </w:pPr>
      <w:r>
        <w:t xml:space="preserve">10.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[21]: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3393094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5" name="Picture"/>
            <a:graphic>
              <a:graphicData uri="http://schemas.openxmlformats.org/drawingml/2006/picture">
                <pic:pic>
                  <pic:nvPicPr>
                    <pic:cNvPr descr="figures/fig6_crosswal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[17] from interlaboratory studies to routine publication.</w:t>
      </w:r>
    </w:p>
    <w:bookmarkEnd w:id="37"/>
    <w:bookmarkStart w:id="38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These limitations bound the claims above; §12 maps each to planned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§9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8"/>
    <w:bookmarkStart w:id="39" w:name="future-work"/>
    <w:p>
      <w:pPr>
        <w:pStyle w:val="Heading2"/>
      </w:pPr>
      <w:r>
        <w:t xml:space="preserve">12. Future work</w:t>
      </w:r>
    </w:p>
    <w:p>
      <w:pPr>
        <w:pStyle w:val="Compact"/>
        <w:numPr>
          <w:ilvl w:val="0"/>
          <w:numId w:val="1006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§9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6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6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9"/>
    <w:bookmarkStart w:id="40" w:name="data-and-code-availability"/>
    <w:p>
      <w:pPr>
        <w:pStyle w:val="Heading2"/>
      </w:pPr>
      <w:r>
        <w:t xml:space="preserve">13. Data and code availability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[48]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40"/>
    <w:bookmarkStart w:id="42" w:name="manuscript-license-and-author-statements"/>
    <w:p>
      <w:pPr>
        <w:pStyle w:val="Heading2"/>
      </w:pPr>
      <w:r>
        <w:t xml:space="preserve">14.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1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 test</w:t>
      </w:r>
      <w:r>
        <w:t xml:space="preserve"> </w:t>
      </w:r>
      <w:r>
        <w:t xml:space="preserve">standardization and interlaboratory data sharing, and the broader 3DCP research community whose published</w:t>
      </w:r>
      <w:r>
        <w:t xml:space="preserve"> </w:t>
      </w:r>
      <w:r>
        <w:t xml:space="preserve">data motivated and informed the schema.</w:t>
      </w:r>
    </w:p>
    <w:bookmarkEnd w:id="42"/>
    <w:bookmarkStart w:id="88" w:name="references"/>
    <w:p>
      <w:pPr>
        <w:pStyle w:val="Heading2"/>
      </w:pPr>
      <w:r>
        <w:t xml:space="preserve">15. References</w:t>
      </w:r>
    </w:p>
    <w:p>
      <w:pPr>
        <w:pStyle w:val="Compact"/>
        <w:numPr>
          <w:ilvl w:val="0"/>
          <w:numId w:val="1008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3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5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08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6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08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7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8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08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9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08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50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1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A. Abrams (1918).</w:t>
      </w:r>
      <w:r>
        <w:t xml:space="preserve"> </w:t>
      </w:r>
      <w:r>
        <w:rPr>
          <w:i/>
          <w:iCs/>
        </w:rPr>
        <w:t xml:space="preserve">Design of Concrete Mixtures.</w:t>
      </w:r>
      <w:r>
        <w:t xml:space="preserve"> </w:t>
      </w:r>
      <w:r>
        <w:t xml:space="preserve">Bulletin 1, Structural Materials Research</w:t>
      </w:r>
      <w:r>
        <w:t xml:space="preserve"> </w:t>
      </w:r>
      <w:r>
        <w:t xml:space="preserve">Laboratory, Lewis Institute.</w:t>
      </w:r>
    </w:p>
    <w:p>
      <w:pPr>
        <w:pStyle w:val="Compact"/>
        <w:numPr>
          <w:ilvl w:val="0"/>
          <w:numId w:val="1008"/>
        </w:numPr>
      </w:pPr>
      <w:r>
        <w:t xml:space="preserve">J. Bolomey (1935). Granulation et prévision de la résistance probable des bétons.</w:t>
      </w:r>
      <w:r>
        <w:t xml:space="preserve"> </w:t>
      </w:r>
      <w:r>
        <w:rPr>
          <w:i/>
          <w:iCs/>
        </w:rPr>
        <w:t xml:space="preserve">Travaux</w:t>
      </w:r>
      <w:r>
        <w:t xml:space="preserve"> </w:t>
      </w:r>
      <w:r>
        <w:t xml:space="preserve">19(230)</w:t>
      </w:r>
      <w:r>
        <w:t xml:space="preserve"> </w:t>
      </w:r>
      <w:r>
        <w:t xml:space="preserve">228–232.</w:t>
      </w:r>
    </w:p>
    <w:p>
      <w:pPr>
        <w:pStyle w:val="Compact"/>
        <w:numPr>
          <w:ilvl w:val="0"/>
          <w:numId w:val="1008"/>
        </w:numPr>
      </w:pPr>
      <w:r>
        <w:t xml:space="preserve">R. Féret (1892). Sur la compacité des mortiers hydrauliques.</w:t>
      </w:r>
      <w:r>
        <w:t xml:space="preserve"> </w:t>
      </w:r>
      <w:r>
        <w:rPr>
          <w:i/>
          <w:iCs/>
        </w:rPr>
        <w:t xml:space="preserve">Annales des Ponts et Chaussées</w:t>
      </w:r>
      <w:r>
        <w:t xml:space="preserve"> </w:t>
      </w:r>
      <w:r>
        <w:t xml:space="preserve">4 5–164.</w:t>
      </w:r>
    </w:p>
    <w:p>
      <w:pPr>
        <w:pStyle w:val="Compact"/>
        <w:numPr>
          <w:ilvl w:val="0"/>
          <w:numId w:val="1008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08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5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08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08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8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9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08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60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1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2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08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3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4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08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5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6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7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08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9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08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70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1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2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3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08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4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08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08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6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08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7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08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8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9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80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08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1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08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08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3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08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4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08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5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T. C. Powers, T. L. Brownyard (1946). Studies of the physical properties of hardened Portland cement</w:t>
      </w:r>
      <w:r>
        <w:t xml:space="preserve"> </w:t>
      </w:r>
      <w:r>
        <w:t xml:space="preserve">paste.</w:t>
      </w:r>
      <w:r>
        <w:t xml:space="preserve"> </w:t>
      </w:r>
      <w:r>
        <w:rPr>
          <w:i/>
          <w:iCs/>
        </w:rPr>
        <w:t xml:space="preserve">Journal of the American Concrete Institute</w:t>
      </w:r>
      <w:r>
        <w:t xml:space="preserve"> </w:t>
      </w:r>
      <w:r>
        <w:t xml:space="preserve">43 101–132.</w:t>
      </w:r>
    </w:p>
    <w:p>
      <w:pPr>
        <w:pStyle w:val="Compact"/>
        <w:numPr>
          <w:ilvl w:val="0"/>
          <w:numId w:val="1008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08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08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7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machine learning</cp:keywords>
  <dcterms:created xsi:type="dcterms:W3CDTF">2026-06-09T00:41:51Z</dcterms:created>
  <dcterms:modified xsi:type="dcterms:W3CDTF">2026-06-09T00:41:51Z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2026-06-08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