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kg/m³-primary basis</w:t>
      </w:r>
      <w:r>
        <w:t xml:space="preserve"> </w:t>
      </w:r>
      <w:r>
        <w:t xml:space="preserve">(the field</w:t>
      </w:r>
      <w:r>
        <w:t xml:space="preserve"> </w:t>
      </w:r>
      <w:r>
        <w:t xml:space="preserve">standard), with mass-percent of total wet mix retained as a losslessly-derived secondary</w:t>
      </w:r>
      <w:r>
        <w:t xml:space="preserve"> </w:t>
      </w:r>
      <w:r>
        <w:t xml:space="preserve">representation;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analysis where sufficient validated data exist. We give the</w:t>
      </w:r>
      <w:r>
        <w:t xml:space="preserve"> </w:t>
      </w:r>
      <w:r>
        <w:t xml:space="preserve">design rationale for each major 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six openly-licensed public</w:t>
      </w:r>
      <w:r>
        <w:t xml:space="preserve"> </w:t>
      </w:r>
      <w:r>
        <w:t xml:space="preserve">datasets — a cast-concrete benchmark, a corporate carbon-aware set, an ultra-high-performance (UHPC)</w:t>
      </w:r>
      <w:r>
        <w:t xml:space="preserve"> </w:t>
      </w:r>
      <w:r>
        <w:t xml:space="preserve">corpus, a ~30-laboratory 3DCP mechanical database, an extrusion-3DCP printability set, and a project-layer</w:t>
      </w:r>
      <w:r>
        <w:t xml:space="preserve"> </w:t>
      </w:r>
      <w:r>
        <w:t xml:space="preserve">building catalogue — into one schema, including a cross-study print-anisotropy result. The point Open3DCP</w:t>
      </w:r>
      <w:r>
        <w:t xml:space="preserve"> </w:t>
      </w:r>
      <w:r>
        <w:t xml:space="preserve">makes is one of</w:t>
      </w:r>
      <w:r>
        <w:t xml:space="preserve"> </w:t>
      </w:r>
      <w:r>
        <w:rPr>
          <w:b/>
          <w:bCs/>
        </w:rPr>
        <w:t xml:space="preserve">characterization, not prediction</w:t>
      </w:r>
      <w:r>
        <w:t xml:space="preserve">: each source records a different slice of the</w:t>
      </w:r>
      <w:r>
        <w:t xml:space="preserve"> </w:t>
      </w:r>
      <w:r>
        <w:t xml:space="preserve">material and process — composition, fresh-state rheology, hardened performance, embodied carbon, print</w:t>
      </w:r>
      <w:r>
        <w:t xml:space="preserve"> </w:t>
      </w:r>
      <w:r>
        <w:t xml:space="preserve">orientation, or the as-built project — and the schema holds their union in one shape, so that what any one</w:t>
      </w:r>
      <w:r>
        <w:t xml:space="preserve"> </w:t>
      </w:r>
      <w:r>
        <w:t xml:space="preserve">study leaves unmeasured is made explicit rather than lost. We also identify a taxonomy of features that</w:t>
      </w:r>
      <w:r>
        <w:t xml:space="preserve"> </w:t>
      </w:r>
      <w:r>
        <w:t xml:space="preserve">are physically important but cannot yet be measured reliably — an agenda for instrumentation.</w:t>
      </w:r>
    </w:p>
    <w:bookmarkEnd w:id="9"/>
    <w:bookmarkStart w:id="92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 kg/m³-primary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six openly-licensed public datasets — a cast-concrete benchmark,</w:t>
      </w:r>
      <w:r>
        <w:t xml:space="preserve"> </w:t>
      </w:r>
      <w:r>
        <w:t xml:space="preserve">a corporate carbon-aware set, a UHPC corpus, a ~30-laboratory 3DCP mechanical database, an</w:t>
      </w:r>
      <w:r>
        <w:t xml:space="preserve"> </w:t>
      </w:r>
      <w:r>
        <w:t xml:space="preserve">extrusion-3DCP printability set, and a project-layer building catalogue — into one schema, three of them</w:t>
      </w:r>
      <w:r>
        <w:t xml:space="preserve"> </w:t>
      </w:r>
      <w:r>
        <w:t xml:space="preserve">carrying a real automated fidelity score, and yielding a cross-study print-anisotropy result that the</w:t>
      </w:r>
      <w:r>
        <w:t xml:space="preserve"> </w:t>
      </w:r>
      <w:r>
        <w:t xml:space="preserve">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These four properties are what a 3DCP record has to capture if printed-concrete results are to be</w:t>
      </w:r>
      <w:r>
        <w:t xml:space="preserve"> </w:t>
      </w:r>
      <w:r>
        <w:t xml:space="preserve">compared across studies at all: a strength without a process, a rheology, and an orientation is not a</w:t>
      </w:r>
      <w:r>
        <w:t xml:space="preserve"> </w:t>
      </w:r>
      <w:r>
        <w:t xml:space="preserve">comparable measurement. Open3DCP exists to record that fuller experiment, not to model it.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kg/m³-primary, SI-unit reporting convention (with a losslessly-derived mass-percent view).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[15, 16];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[17]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[18];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[10]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[19]; Khoshnevis developed Contour Crafting [20] and Cesaretti et al.</w:t>
      </w:r>
      <w:r>
        <w:t xml:space="preserve"> </w:t>
      </w:r>
      <w:r>
        <w:t xml:space="preserve">demonstrated binder-jetting of regolith simulant [21].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[22, 23];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24] — with Wolfs et al. on early-age behaviour [5] and Suiker on wall</w:t>
      </w:r>
      <w:r>
        <w:t xml:space="preserve"> </w:t>
      </w:r>
      <w:r>
        <w:t xml:space="preserve">stability [25]. Roussel established the rheological framework for printable concrete [7], and Perrot et</w:t>
      </w:r>
      <w:r>
        <w:t xml:space="preserve"> </w:t>
      </w:r>
      <w:r>
        <w:t xml:space="preserve">al. quantified structural build-up [26]. The NTU Singapore group contributed systematic rheology</w:t>
      </w:r>
      <w:r>
        <w:t xml:space="preserve"> </w:t>
      </w:r>
      <w:r>
        <w:t xml:space="preserve">studies including geopolymers [27, 28], printability regions [29], and fresh/hardened characterization</w:t>
      </w:r>
      <w:r>
        <w:t xml:space="preserve"> </w:t>
      </w:r>
      <w:r>
        <w:t xml:space="preserve">[30].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[31], and Marchment and Sanjayan on mesh reinforcement</w:t>
      </w:r>
      <w:r>
        <w:t xml:space="preserve"> </w:t>
      </w:r>
      <w:r>
        <w:t xml:space="preserve">[32]. Structural implications were addressed by Asprone et al. [33] and Gebhard et al. [34]. Broader</w:t>
      </w:r>
      <w:r>
        <w:t xml:space="preserve"> </w:t>
      </w:r>
      <w:r>
        <w:t xml:space="preserve">reviews include Mechtcherine et al. on production physics [35], Buswell et al.’s research roadmap [3],</w:t>
      </w:r>
      <w:r>
        <w:t xml:space="preserve"> </w:t>
      </w:r>
      <w:r>
        <w:t xml:space="preserve">Nerella et al. on strain-based build-up [36], De Schutter et al. on technical/economic/environmental</w:t>
      </w:r>
      <w:r>
        <w:t xml:space="preserve"> </w:t>
      </w:r>
      <w:r>
        <w:t xml:space="preserve">potentials [2], large-scale UHPC work [37], a classification of building systems [38], particle-bed</w:t>
      </w:r>
      <w:r>
        <w:t xml:space="preserve"> </w:t>
      </w:r>
      <w:r>
        <w:t xml:space="preserve">printing [39], fiber-reinforced and recycled-aggregate formulations [40, 41], the 3DCP.fyi citation</w:t>
      </w:r>
      <w:r>
        <w:t xml:space="preserve"> </w:t>
      </w:r>
      <w:r>
        <w:t xml:space="preserve">network [42], and Wangler et al.’s digital-concrete review [43]; the RILEM TC 276-DFC state-of-the-art</w:t>
      </w:r>
      <w:r>
        <w:t xml:space="preserve"> </w:t>
      </w:r>
      <w:r>
        <w:t xml:space="preserve">report consolidates digital-fabrication practice [46].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[11, 12, 13], with an accompanying database system for sharing</w:t>
      </w:r>
      <w:r>
        <w:t xml:space="preserve"> </w:t>
      </w:r>
      <w:r>
        <w:t xml:space="preserve">experimental data [14].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[44].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[14],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[14],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(§9),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Dual-basis, kg/m³-primary.</w:t>
      </w:r>
      <w:r>
        <w:t xml:space="preserve"> </w:t>
      </w:r>
      <w:r>
        <w:t xml:space="preserve">Open3DCP records material quantities on a</w:t>
      </w:r>
      <w:r>
        <w:t xml:space="preserve"> </w:t>
      </w:r>
      <w:r>
        <w:rPr>
          <w:b/>
          <w:bCs/>
        </w:rPr>
        <w:t xml:space="preserve">kg/m³ primary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— the convention the concrete industry and field actually use — while retaining</w:t>
      </w:r>
      <w:r>
        <w:t xml:space="preserve"> </w:t>
      </w:r>
      <w:r>
        <w:rPr>
          <w:b/>
          <w:bCs/>
        </w:rPr>
        <w:t xml:space="preserve">mass-percent of total wet mix</w:t>
      </w:r>
      <w:r>
        <w:t xml:space="preserve"> </w:t>
      </w:r>
      <w:r>
        <w:t xml:space="preserve">as a losslessly-derived secondary representation. Three columns make</w:t>
      </w:r>
      <w:r>
        <w:t xml:space="preserve"> </w:t>
      </w:r>
      <w:r>
        <w:t xml:space="preserve">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mix_density_kg_m3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density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(Σ ≈ 100 %) and</w:t>
      </w:r>
      <w:r>
        <w:t xml:space="preserve"> </w:t>
      </w:r>
      <w:r>
        <w:t xml:space="preserve">ideal for pooled ML, but is foreign to field practice. Storing the source basis plus the density bridge</w:t>
      </w:r>
      <w:r>
        <w:t xml:space="preserve"> </w:t>
      </w:r>
      <w:r>
        <w:t xml:space="preserve">serves both without discarding information. (Schema versions ≤ v1.5 used mass-percent as the primary</w:t>
      </w:r>
      <w:r>
        <w:t xml:space="preserve"> </w:t>
      </w:r>
      <w:r>
        <w:t xml:space="preserve">basis; v1.6 made kg/m³ primary and added the bridge columns. Admixtures are recorded as</w:t>
      </w:r>
      <w:r>
        <w:t xml:space="preserve"> </w:t>
      </w:r>
      <w:r>
        <w:rPr>
          <w:b/>
          <w:bCs/>
        </w:rPr>
        <w:t xml:space="preserve">solids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by mass: a PCE superplasticizer dosed at 1.0 % liquid with 30 % solids is recorded as 0.3 %.)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274168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[47]),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p>
      <w:pPr>
        <w:pStyle w:val="TableCaption"/>
      </w:pPr>
      <w:r>
        <w:t xml:space="preserve">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est-orientation controlled vocabulary. Strength ordering is typical; specific values depend on mix design and process parameters [5, 6]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v1.6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and the basis columns of §5.2. Version 1.7 added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 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(§10)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six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six openly-licensed public datasets into Open3DCP, chosen so that each lights</w:t>
      </w:r>
      <w:r>
        <w:t xml:space="preserve"> </w:t>
      </w:r>
      <w:r>
        <w:t xml:space="preserve">up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slice of the record (Figure 5, left). Three are flat kg/m³ tables that the</w:t>
      </w:r>
      <w:r>
        <w:t xml:space="preserve"> </w:t>
      </w:r>
      <w:r>
        <w:rPr>
          <w:rStyle w:val="VerbatimChar"/>
        </w:rPr>
        <w:t xml:space="preserve">open3dcp-ingest</w:t>
      </w:r>
      <w:r>
        <w:t xml:space="preserve"> </w:t>
      </w:r>
      <w:r>
        <w:t xml:space="preserve">tool converts and scores automatically: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UCI/Yeh (1998)</w:t>
      </w:r>
      <w:r>
        <w:t xml:space="preserve"> </w:t>
      </w:r>
      <w:r>
        <w:t xml:space="preserve">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composition and hardened strength and</w:t>
      </w:r>
      <w:r>
        <w:t xml:space="preserve"> </w:t>
      </w:r>
      <w:r>
        <w:t xml:space="preserve">ingests at</w:t>
      </w:r>
      <w:r>
        <w:t xml:space="preserve"> </w:t>
      </w:r>
      <w:r>
        <w:rPr>
          <w:b/>
          <w:bCs/>
        </w:rPr>
        <w:t xml:space="preserve">98.8/100 (A)</w:t>
      </w:r>
      <w:r>
        <w:t xml:space="preserve"> </w:t>
      </w:r>
      <w:r>
        <w:t xml:space="preserve">(126 populated cells across its 9 fields) — the normal-strength reference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 SustainableConcrete</w:t>
      </w:r>
      <w:r>
        <w:t xml:space="preserve"> </w:t>
      </w:r>
      <w:r>
        <w:t xml:space="preserve">[49], an openly-licensed (MIT) carbon-aware set from Meta with the</w:t>
      </w:r>
      <w:r>
        <w:t xml:space="preserve"> </w:t>
      </w:r>
      <w:r>
        <w:t xml:space="preserve">University of Illinois and Amrize, ingests at</w:t>
      </w:r>
      <w:r>
        <w:t xml:space="preserve"> </w:t>
      </w:r>
      <w:r>
        <w:rPr>
          <w:b/>
          <w:bCs/>
        </w:rPr>
        <w:t xml:space="preserve">98.9/100 (A)</w:t>
      </w:r>
      <w:r>
        <w:t xml:space="preserve"> </w:t>
      </w:r>
      <w:r>
        <w:t xml:space="preserve">and additionally populates</w:t>
      </w:r>
      <w:r>
        <w:t xml:space="preserve"> </w:t>
      </w:r>
      <w:r>
        <w:rPr>
          <w:b/>
          <w:bCs/>
        </w:rPr>
        <w:t xml:space="preserve">embodied</w:t>
      </w:r>
      <w:r>
        <w:rPr>
          <w:b/>
          <w:bCs/>
        </w:rPr>
        <w:t xml:space="preserve"> </w:t>
      </w:r>
      <w:r>
        <w:rPr>
          <w:b/>
          <w:bCs/>
        </w:rPr>
        <w:t xml:space="preserve">carbon</w:t>
      </w:r>
      <w:r>
        <w:t xml:space="preserve"> </w:t>
      </w:r>
      <w:r>
        <w:t xml:space="preserve">(per-mix GWP) and the measurement-uncertainty columns. It makes a cross-source trade-off</w:t>
      </w:r>
      <w:r>
        <w:t xml:space="preserve"> </w:t>
      </w:r>
      <w:r>
        <w:t xml:space="preserve">legible in one schema: a plain-Portland concrete at ~521 kg CO2/m³ for ~65 MPa beside a low-clinker</w:t>
      </w:r>
      <w:r>
        <w:t xml:space="preserve"> </w:t>
      </w:r>
      <w:r>
        <w:t xml:space="preserve">ternary at ~204 kg CO2/m³ for ~110 MPa — higher strength at roughly 60 % less embodied carbon. (Beyond</w:t>
      </w:r>
      <w:r>
        <w:t xml:space="preserve"> </w:t>
      </w:r>
      <w:r>
        <w:t xml:space="preserve">this measured table, the same repository ships a trained Gaussian-process model and a model-explored</w:t>
      </w:r>
      <w:r>
        <w:t xml:space="preserve"> </w:t>
      </w:r>
      <w:r>
        <w:t xml:space="preserve">design space of optimization-derived candidate mixes; recording such</w:t>
      </w:r>
      <w:r>
        <w:t xml:space="preserve"> </w:t>
      </w:r>
      <w:r>
        <w:rPr>
          <w:i/>
          <w:iCs/>
        </w:rPr>
        <w:t xml:space="preserve">model-generated</w:t>
      </w:r>
      <w:r>
        <w:t xml:space="preserve"> </w:t>
      </w:r>
      <w:r>
        <w:t xml:space="preserve">candidates</w:t>
      </w:r>
      <w:r>
        <w:t xml:space="preserve"> </w:t>
      </w:r>
      <w:r>
        <w:t xml:space="preserve">alongside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data — kept distinct by Open3DCP’s</w:t>
      </w:r>
      <w:r>
        <w:t xml:space="preserve"> </w:t>
      </w:r>
      <w:r>
        <w:rPr>
          <w:rStyle w:val="VerbatimChar"/>
        </w:rPr>
        <w:t xml:space="preserve">measurement_confidence</w:t>
      </w:r>
      <w:r>
        <w:t xml:space="preserve"> </w:t>
      </w:r>
      <w:r>
        <w:t xml:space="preserve">flag — is a natural next</w:t>
      </w:r>
      <w:r>
        <w:t xml:space="preserve"> </w:t>
      </w:r>
      <w:r>
        <w:t xml:space="preserve">ingestion, not attempted here.)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UNSW Global UHPC</w:t>
      </w:r>
      <w:r>
        <w:t xml:space="preserve"> </w:t>
      </w:r>
      <w:r>
        <w:t xml:space="preserve">[50], an ultra-high-performance corpus, ingests at</w:t>
      </w:r>
      <w:r>
        <w:t xml:space="preserve"> </w:t>
      </w:r>
      <w:r>
        <w:rPr>
          <w:b/>
          <w:bCs/>
        </w:rPr>
        <w:t xml:space="preserve">98.2/100 (A)</w:t>
      </w:r>
      <w:r>
        <w:t xml:space="preserve"> </w:t>
      </w:r>
      <w:r>
        <w:t xml:space="preserve">and exercises</w:t>
      </w:r>
      <w:r>
        <w:t xml:space="preserve"> </w:t>
      </w:r>
      <w:r>
        <w:t xml:space="preserve">the high-strength end the others do not reach — silica fume, steel fibre, and the flexural,</w:t>
      </w:r>
      <w:r>
        <w:t xml:space="preserve"> </w:t>
      </w:r>
      <w:r>
        <w:t xml:space="preserve">splitting-tensile, and elastic-modulus columns across 28-day compressive strengths of ~130–281 MPa</w:t>
      </w:r>
      <w:r>
        <w:t xml:space="preserve"> </w:t>
      </w:r>
      <w:r>
        <w:t xml:space="preserve">(with early-age points down to ~81 MPa).</w:t>
      </w:r>
    </w:p>
    <w:p>
      <w:pPr>
        <w:pStyle w:val="FirstParagraph"/>
      </w:pPr>
      <w:r>
        <w:t xml:space="preserve">These scores are best read as an</w:t>
      </w:r>
      <w:r>
        <w:t xml:space="preserve"> </w:t>
      </w:r>
      <w:r>
        <w:rPr>
          <w:i/>
          <w:iCs/>
        </w:rPr>
        <w:t xml:space="preserve">ingestion-completeness</w:t>
      </w:r>
      <w:r>
        <w:t xml:space="preserve"> </w:t>
      </w:r>
      <w:r>
        <w:t xml:space="preserve">check on a curated excerpt, not a</w:t>
      </w:r>
      <w:r>
        <w:t xml:space="preserve"> </w:t>
      </w:r>
      <w:r>
        <w:t xml:space="preserve">dataset-quality grade: for dense flat kg/m³ tables, field coverage is ~100 % by construction, so the</w:t>
      </w:r>
      <w:r>
        <w:t xml:space="preserve"> </w:t>
      </w:r>
      <w:r>
        <w:t xml:space="preserve">grade is driven by the value-fidelity term (here, only the superplasticizer solids-fraction assumption),</w:t>
      </w:r>
      <w:r>
        <w:t xml:space="preserve"> </w:t>
      </w:r>
      <w:r>
        <w:t xml:space="preserve">and the scoring convention itself is proposed, not yet calibrated (§10).</w:t>
      </w:r>
    </w:p>
    <w:p>
      <w:pPr>
        <w:pStyle w:val="BodyText"/>
      </w:pPr>
      <w:r>
        <w:t xml:space="preserve">Three more are curated through their native structure (a fidelity score for each awaits a dedicated</w:t>
      </w:r>
      <w:r>
        <w:t xml:space="preserve"> </w:t>
      </w:r>
      <w:r>
        <w:t xml:space="preserve">reader, exactly as the tool is extended source by source):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RILEM TC 304-ADC</w:t>
      </w:r>
      <w:r>
        <w:t xml:space="preserve"> </w:t>
      </w:r>
      <w:r>
        <w:t xml:space="preserve">interlaboratory study on the mechanical properties of 3D-printed concrete</w:t>
      </w:r>
      <w:r>
        <w:t xml:space="preserve"> </w:t>
      </w:r>
      <w:r>
        <w:t xml:space="preserve">[48]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 SQLite</w:t>
      </w:r>
      <w:r>
        <w:t xml:space="preserve"> </w:t>
      </w:r>
      <w:r>
        <w:t xml:space="preserve">export — populates 3DCP process, 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</w:t>
      </w:r>
      <w:r>
        <w:t xml:space="preserve"> </w:t>
      </w:r>
      <w:r>
        <w:t xml:space="preserve">per-measurement uncertainty columns (mean ± standard deviation ± n).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UF/UTK 3D-Printing-Concrete Mix-Design</w:t>
      </w:r>
      <w:r>
        <w:t xml:space="preserve"> </w:t>
      </w:r>
      <w:r>
        <w:t xml:space="preserve">dataset [51] supplies the extrusion-3DCP</w:t>
      </w:r>
      <w:r>
        <w:t xml:space="preserve"> </w:t>
      </w:r>
      <w:r>
        <w:rPr>
          <w:i/>
          <w:iCs/>
        </w:rPr>
        <w:t xml:space="preserve">printability</w:t>
      </w:r>
      <w:r>
        <w:t xml:space="preserve"> </w:t>
      </w:r>
      <w:r>
        <w:t xml:space="preserve">slice — static and dynamic yield stress and plastic viscosity — and is an honest illustration of a basis</w:t>
      </w:r>
      <w:r>
        <w:t xml:space="preserve"> </w:t>
      </w:r>
      <w:r>
        <w:t xml:space="preserve">mismatch: it reports constituents as ratios to binder with no absolute kg/m³, so a constituent mass-% of</w:t>
      </w:r>
      <w:r>
        <w:t xml:space="preserve"> </w:t>
      </w:r>
      <w:r>
        <w:t xml:space="preserve">the mix is left NULL rather than invented.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TU-Braunschweig Database of 3D Concrete Printed Buildings</w:t>
      </w:r>
      <w:r>
        <w:t xml:space="preserve"> </w:t>
      </w:r>
      <w:r>
        <w:t xml:space="preserve">[52] supplies the</w:t>
      </w:r>
      <w:r>
        <w:t xml:space="preserve"> </w:t>
      </w:r>
      <w:r>
        <w:rPr>
          <w:i/>
          <w:iCs/>
        </w:rPr>
        <w:t xml:space="preserve">project / process</w:t>
      </w:r>
      <w:r>
        <w:rPr>
          <w:i/>
          <w:iCs/>
        </w:rP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— as-built printed structures by consortium, country, and system — a slice with no mix or strength</w:t>
      </w:r>
      <w:r>
        <w:t xml:space="preserve"> </w:t>
      </w:r>
      <w:r>
        <w:t xml:space="preserve">data, which the current mix-centric schema records as provenance and marks as the frontier a future</w:t>
      </w:r>
      <w:r>
        <w:t xml:space="preserve"> </w:t>
      </w:r>
      <w:r>
        <w:t xml:space="preserve">project/process table will type.</w:t>
      </w:r>
    </w:p>
    <w:p>
      <w:pPr>
        <w:pStyle w:val="FirstParagraph"/>
      </w:pPr>
      <w:r>
        <w:t xml:space="preserve">A seventh UHPC source surveyed for this work, the Stevens dataset (Mahjoubi &amp; Bao), is cited reference-only:</w:t>
      </w:r>
      <w:r>
        <w:t xml:space="preserve"> </w:t>
      </w:r>
      <w:r>
        <w:t xml:space="preserve">its mix variables are published as a coded ML feature matrix whose legend is paywalled, so it cannot be</w:t>
      </w:r>
      <w:r>
        <w:t xml:space="preserve"> </w:t>
      </w:r>
      <w:r>
        <w:t xml:space="preserve">honestly re-ingested. Together the six light up complementary slices, and Open3DCP holds the union of these</w:t>
      </w:r>
      <w:r>
        <w:t xml:space="preserve"> </w:t>
      </w:r>
      <w:r>
        <w:t xml:space="preserve">six sources in one shape — and</w:t>
      </w:r>
      <w:r>
        <w:t xml:space="preserve"> </w:t>
      </w:r>
      <w:r>
        <w:rPr>
          <w:i/>
          <w:iCs/>
        </w:rPr>
        <w:t xml:space="preserve">the empty cells are as much the point as the full ones</w:t>
      </w:r>
      <w:r>
        <w:t xml:space="preserve">: what each source</w:t>
      </w:r>
      <w:r>
        <w:t xml:space="preserve"> </w:t>
      </w:r>
      <w:r>
        <w:t xml:space="preserve">cannot supply is recorded, not hidden (Figure 5, left).</w:t>
      </w:r>
    </w:p>
    <w:p>
      <w:pPr>
        <w:pStyle w:val="BodyText"/>
      </w:pPr>
      <w:r>
        <w:t xml:space="preserve">The demonstration also yields a characterization result that</w:t>
      </w:r>
      <w:r>
        <w:t xml:space="preserve"> </w:t>
      </w:r>
      <w:r>
        <w:rPr>
          <w:b/>
          <w:bCs/>
        </w:rPr>
        <w:t xml:space="preserve">cannot be expressed without an orientation</w:t>
      </w:r>
      <w:r>
        <w:rPr>
          <w:b/>
          <w:bCs/>
        </w:rPr>
        <w:t xml:space="preserve"> </w:t>
      </w:r>
      <w:r>
        <w:rPr>
          <w:b/>
          <w:bCs/>
        </w:rPr>
        <w:t xml:space="preserve">field, nor compared across laboratories without a shared schema</w:t>
      </w:r>
      <w:r>
        <w:t xml:space="preserve">: print anisotropy. Mapping the RILEM</w:t>
      </w:r>
      <w:r>
        <w:t xml:space="preserve"> </w:t>
      </w:r>
      <w:r>
        <w:t xml:space="preserve">U/V/W loading 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the same printed mortar is</w:t>
      </w:r>
      <w:r>
        <w:t xml:space="preserve"> </w:t>
      </w:r>
      <w:r>
        <w:rPr>
          <w:b/>
          <w:bCs/>
        </w:rPr>
        <w:t xml:space="preserve">32–55 % weaker loaded along the layers</w:t>
      </w:r>
      <w:r>
        <w:t xml:space="preserve"> </w:t>
      </w:r>
      <w:r>
        <w:t xml:space="preserve">than the cast reference, consistently across three independent</w:t>
      </w:r>
      <w:r>
        <w:t xml:space="preserve"> </w:t>
      </w:r>
      <w:r>
        <w:t xml:space="preserve">laboratories (Figure 5, right). (These are flexural results, where loading along the print path bends the</w:t>
      </w:r>
      <w:r>
        <w:t xml:space="preserve"> </w:t>
      </w:r>
      <w:r>
        <w:t xml:space="preserve">interlayer planes, so the along-layer weakness is consistent with the interface being the weak link; the</w:t>
      </w:r>
      <w:r>
        <w:t xml:space="preserve"> </w:t>
      </w:r>
      <w:r>
        <w:t xml:space="preserve">“typical”</w:t>
      </w:r>
      <w:r>
        <w:t xml:space="preserve"> </w:t>
      </w:r>
      <w:r>
        <w:t xml:space="preserve">strength ordering of Table 1 is mix- and loading-dependent, as Limitation 4 notes.) This is a</w:t>
      </w:r>
      <w:r>
        <w:t xml:space="preserve"> </w:t>
      </w:r>
      <w:r>
        <w:t xml:space="preserve">demonstration of</w:t>
      </w:r>
      <w:r>
        <w:t xml:space="preserve"> </w:t>
      </w:r>
      <w:r>
        <w:rPr>
          <w:i/>
          <w:iCs/>
        </w:rPr>
        <w:t xml:space="preserve">ingestion and interoperability</w:t>
      </w:r>
      <w:r>
        <w:t xml:space="preserve"> </w:t>
      </w:r>
      <w:r>
        <w:t xml:space="preserve">— recording what was measured in one comparable shape —</w:t>
      </w:r>
      <w:r>
        <w:t xml:space="preserve"> </w:t>
      </w:r>
      <w:r>
        <w:t xml:space="preserve">not a predictive-model benchmark; assembling and modelling a pooled multi-source corpus is future work (§11).</w:t>
      </w:r>
    </w:p>
    <w:p>
      <w:pPr>
        <w:pStyle w:val="CaptionedFigure"/>
      </w:pPr>
      <w:r>
        <w:drawing>
          <wp:inline>
            <wp:extent cx="5334000" cy="2198894"/>
            <wp:effectExtent b="0" l="0" r="0" t="0"/>
            <wp:docPr descr="Worked demonstration. Left: six openly-licensed public datasets ingested into Open3DCP — UCI/Yeh (cast benchmark), Meta SustainableConcrete (cast, carbon-aware), UNSW UHPC, the RILEM TC 304-ADC interlaboratory study (real 3DCP, ~30 labs), the UF/UTK 3DCP mix-design set (printability), and the TU-Braunschweig 3DCP buildings catalogue (project layer) — each populating a different slice of the record (dark = populated, light = partial/absent), with Open3DCP spanning the union; the empty cells are recorded, not hidden. Three kg/m³ sources carry an automated open3dcp-ingest fidelity score (98.2–98.9 / A); the rest are curated through their native structure. Right: a cross-study characterization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six openly-licensed public datasets ingested into Open3DCP — UCI/Yeh (cast benchmark), Meta SustainableConcrete (cast, carbon-aware), UNSW UHPC, the RILEM TC 304-ADC interlaboratory study (real 3DCP, ~30 labs), the UF/UTK 3DCP mix-design set (printability), and the TU-Braunschweig 3DCP buildings catalogue (project layer) — each populating a different slice of the record (dark = populated, light = partial/absent), with Open3DCP spanning the union; the empty cells are recorded, not hidden. Three kg/m³ sources carry an automated</w:t>
      </w:r>
      <w:r>
        <w:t xml:space="preserve"> </w:t>
      </w:r>
      <w:r>
        <w:rPr>
          <w:rStyle w:val="VerbatimChar"/>
        </w:rPr>
        <w:t xml:space="preserve">open3dcp-ingest</w:t>
      </w:r>
      <w:r>
        <w:t xml:space="preserve"> </w:t>
      </w:r>
      <w:r>
        <w:t xml:space="preserve">fidelity score (98.2–98.9 / A); the rest are curated through their native structure.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cross-study characterization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</w:t>
      </w:r>
    </w:p>
    <w:bookmarkEnd w:id="30"/>
    <w:bookmarkStart w:id="31" w:name="digital-twin-and-icme-framing"/>
    <w:p>
      <w:pPr>
        <w:pStyle w:val="Heading2"/>
      </w:pPr>
      <w:r>
        <w:t xml:space="preserve">7.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1"/>
    <w:bookmarkStart w:id="32" w:name="what-we-cannot-capture-and-why"/>
    <w:p>
      <w:pPr>
        <w:pStyle w:val="Heading2"/>
      </w:pPr>
      <w:r>
        <w:t xml:space="preserve">8.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8.1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8.2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8.3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8.4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columns: in-line accelerator dosing (set-on-demand),</w:t>
      </w:r>
      <w:r>
        <w:t xml:space="preserve"> </w:t>
      </w:r>
      <w:r>
        <w:t xml:space="preserve">colorant / pigment dosing, print-head auger / screw extruder speed (distinct from the bulk-mixer speed</w:t>
      </w:r>
      <w:r>
        <w:t xml:space="preserve"> </w:t>
      </w:r>
      <w:r>
        <w:t xml:space="preserve">the schema records), and vibratory-assist or compaction modules — alongside nozzle standoff, print</w:t>
      </w:r>
      <w:r>
        <w:t xml:space="preserve"> </w:t>
      </w:r>
      <w:r>
        <w:t xml:space="preserve">acceleration / jerk, surface dehydration of the resting layer (the dominant interlayer-bond control), and</w:t>
      </w:r>
      <w:r>
        <w:t xml:space="preserve"> </w:t>
      </w:r>
      <w:r>
        <w:t xml:space="preserve">material age at deposition (Figure 3, annex). These are an explicit future-work agenda; the schema</w:t>
      </w:r>
      <w:r>
        <w:t xml:space="preserve"> </w:t>
      </w:r>
      <w:r>
        <w:t xml:space="preserve">extends additively as they are specified.</w:t>
      </w:r>
    </w:p>
    <w:p>
      <w:pPr>
        <w:pStyle w:val="BodyText"/>
      </w:pPr>
      <w:r>
        <w:rPr>
          <w:b/>
          <w:bCs/>
        </w:rPr>
        <w:t xml:space="preserve">8.5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most limit a complete characterization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printed material</w:t>
      </w:r>
      <w:r>
        <w:t xml:space="preserve">, and closing these gaps requires instrumentation, not schema design.</w:t>
      </w:r>
    </w:p>
    <w:bookmarkEnd w:id="32"/>
    <w:bookmarkStart w:id="36" w:name="adoption-path-and-community"/>
    <w:p>
      <w:pPr>
        <w:pStyle w:val="Heading2"/>
      </w:pPr>
      <w:r>
        <w:t xml:space="preserve">9.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[18]: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4147115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4" name="Picture"/>
            <a:graphic>
              <a:graphicData uri="http://schemas.openxmlformats.org/drawingml/2006/picture">
                <pic:pic>
                  <pic:nvPicPr>
                    <pic:cNvPr descr="figures/fig6_crosswal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7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[14] from interlaboratory studies to routine publication.</w:t>
      </w:r>
    </w:p>
    <w:bookmarkEnd w:id="36"/>
    <w:bookmarkStart w:id="37" w:name="limitations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These limitations bound the claims above; §11 maps each to planned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§8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Adoption at scale is unproven.</w:t>
      </w:r>
      <w:r>
        <w:t xml:space="preserve"> </w:t>
      </w:r>
      <w:r>
        <w:t xml:space="preserve">Cross-dataset interoperability is asserted by design; no large,</w:t>
      </w:r>
      <w:r>
        <w:t xml:space="preserve"> </w:t>
      </w:r>
      <w:r>
        <w:t xml:space="preserve">heterogeneous, multi-source corpus has yet been assembled and modeled end-to-end on the public schema.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7"/>
    <w:bookmarkStart w:id="38" w:name="future-work"/>
    <w:p>
      <w:pPr>
        <w:pStyle w:val="Heading2"/>
      </w:pPr>
      <w:r>
        <w:t xml:space="preserve">11. Future work</w:t>
      </w:r>
    </w:p>
    <w:p>
      <w:pPr>
        <w:pStyle w:val="Compact"/>
        <w:numPr>
          <w:ilvl w:val="0"/>
          <w:numId w:val="1008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§8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8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8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bookmarkEnd w:id="38"/>
    <w:bookmarkStart w:id="39" w:name="data-and-code-availability"/>
    <w:p>
      <w:pPr>
        <w:pStyle w:val="Heading2"/>
      </w:pPr>
      <w:r>
        <w:t xml:space="preserve">12. Data and code availability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[45]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(always resolves to the latest version of record).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39"/>
    <w:bookmarkStart w:id="41" w:name="manuscript-license-and-author-statements"/>
    <w:p>
      <w:pPr>
        <w:pStyle w:val="Heading2"/>
      </w:pPr>
      <w:r>
        <w:t xml:space="preserve">13.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0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 test</w:t>
      </w:r>
      <w:r>
        <w:t xml:space="preserve"> </w:t>
      </w:r>
      <w:r>
        <w:t xml:space="preserve">standardization and interlaboratory data sharing, and the broader 3DCP research community whose published</w:t>
      </w:r>
      <w:r>
        <w:t xml:space="preserve"> </w:t>
      </w:r>
      <w:r>
        <w:t xml:space="preserve">data motivated and informed the schema.</w:t>
      </w:r>
    </w:p>
    <w:bookmarkEnd w:id="41"/>
    <w:bookmarkStart w:id="91" w:name="references"/>
    <w:p>
      <w:pPr>
        <w:pStyle w:val="Heading2"/>
      </w:pPr>
      <w:r>
        <w:t xml:space="preserve">14. References</w:t>
      </w:r>
    </w:p>
    <w:p>
      <w:pPr>
        <w:pStyle w:val="Compact"/>
        <w:numPr>
          <w:ilvl w:val="0"/>
          <w:numId w:val="1010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2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10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3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10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10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5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10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6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10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7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10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8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10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49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10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0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10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 — Standard Guide for Characterizing Properties of Metal Powder</w:t>
      </w:r>
      <w:r>
        <w:rPr>
          <w:i/>
          <w:iCs/>
        </w:rPr>
        <w:t xml:space="preserve"> </w:t>
      </w:r>
      <w:r>
        <w:rPr>
          <w:i/>
          <w:iCs/>
        </w:rPr>
        <w:t xml:space="preserve">Feedstock.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10"/>
        </w:numPr>
      </w:pPr>
      <w:r>
        <w:t xml:space="preserve">RILEM TC 304-ADC (2025). Interlaboratory study on 3D printed concrete: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1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Compressive strength and modulus of elasticity of 3D printed concrete:</w:t>
      </w:r>
      <w:r>
        <w:t xml:space="preserve"> </w:t>
      </w:r>
      <w:r>
        <w:t xml:space="preserve">interlaboratory study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Flexural and tensile strength of 3D printed concrete: interlaboratory study</w:t>
      </w:r>
      <w:r>
        <w:t xml:space="preserve"> </w:t>
      </w:r>
      <w:r>
        <w:t xml:space="preserve">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10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5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10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10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10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7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10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8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10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59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10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0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10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1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10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2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10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3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10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4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10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5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10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6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10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7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10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10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69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10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0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10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1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10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2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10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3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10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4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10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10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6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10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7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10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8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10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79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10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0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10"/>
        </w:numPr>
      </w:pPr>
      <w:r>
        <w:t xml:space="preserve">3DCP.fyi contributors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10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2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10"/>
        </w:numPr>
      </w:pPr>
      <w:r>
        <w:t xml:space="preserve">K. Vasilić (2025).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3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10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4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10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Printing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10"/>
        </w:numPr>
      </w:pPr>
      <w:r>
        <w:t xml:space="preserve">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 mechanical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3D printed concrete</w:t>
      </w:r>
      <w:r>
        <w:t xml:space="preserve"> </w:t>
      </w:r>
      <w:r>
        <w:t xml:space="preserve">[Dataset]. Zenodo.</w:t>
      </w:r>
      <w:r>
        <w:t xml:space="preserve"> </w:t>
      </w:r>
      <w:hyperlink r:id="rId86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B. Baten, M. A. Iqbal, S. Ament, J. Kusuma, N. Garg (2026).</w:t>
      </w:r>
      <w:r>
        <w:t xml:space="preserve"> </w:t>
      </w:r>
      <w:r>
        <w:rPr>
          <w:i/>
          <w:iCs/>
        </w:rPr>
        <w:t xml:space="preserve">SustainableConcrete / BOxCrete</w:t>
      </w:r>
      <w:r>
        <w:t xml:space="preserve"> </w:t>
      </w:r>
      <w:r>
        <w:t xml:space="preserve">[Dataset &amp; code]. Meta Platforms, Inc. / University of Illinois Urbana-Champaign / Amrize.</w:t>
      </w:r>
      <w:r>
        <w:t xml:space="preserve"> </w:t>
      </w:r>
      <w:hyperlink r:id="rId87">
        <w:r>
          <w:rPr>
            <w:rStyle w:val="Hyperlink"/>
          </w:rPr>
          <w:t xml:space="preserve">https://github.com/facebookresearch/SustainableConcrete</w:t>
        </w:r>
      </w:hyperlink>
      <w:r>
        <w:t xml:space="preserve">. MIT License.</w:t>
      </w:r>
    </w:p>
    <w:p>
      <w:pPr>
        <w:pStyle w:val="Compact"/>
        <w:numPr>
          <w:ilvl w:val="0"/>
          <w:numId w:val="1010"/>
        </w:numPr>
      </w:pPr>
      <w:r>
        <w:t xml:space="preserve">U. J. Malik, C. K. Lee, D. Mohotti, H. Mo (2025).</w:t>
      </w:r>
      <w:r>
        <w:t xml:space="preserve"> </w:t>
      </w:r>
      <w:r>
        <w:rPr>
          <w:i/>
          <w:iCs/>
        </w:rPr>
        <w:t xml:space="preserve">A global dataset of UHPC mix designs with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cementitious materials, nano additives, and sustainable fillers</w:t>
      </w:r>
      <w:r>
        <w:t xml:space="preserve"> </w:t>
      </w:r>
      <w:r>
        <w:t xml:space="preserve">(V2) [Dataset]. Mendeley Data.</w:t>
      </w:r>
      <w:r>
        <w:t xml:space="preserve"> </w:t>
      </w:r>
      <w:hyperlink r:id="rId88">
        <w:r>
          <w:rPr>
            <w:rStyle w:val="Hyperlink"/>
          </w:rPr>
          <w:t xml:space="preserve">https://doi.org/10.17632/czb7ww5pkz.2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J. Gao, Z. Wang, C. Wang (2022).</w:t>
      </w:r>
      <w:r>
        <w:t xml:space="preserve"> </w:t>
      </w:r>
      <w:r>
        <w:rPr>
          <w:i/>
          <w:iCs/>
        </w:rPr>
        <w:t xml:space="preserve">3D Printing Concrete Mix Design Open Dataset</w:t>
      </w:r>
      <w:r>
        <w:t xml:space="preserve"> </w:t>
      </w:r>
      <w:r>
        <w:t xml:space="preserve">(v0.3) [Dataset].</w:t>
      </w:r>
      <w:r>
        <w:t xml:space="preserve"> </w:t>
      </w:r>
      <w:r>
        <w:t xml:space="preserve">University of Florida. Zenodo.</w:t>
      </w:r>
      <w:r>
        <w:t xml:space="preserve"> </w:t>
      </w:r>
      <w:hyperlink r:id="rId89">
        <w:r>
          <w:rPr>
            <w:rStyle w:val="Hyperlink"/>
          </w:rPr>
          <w:t xml:space="preserve">https://doi.org/10.5281/zenodo.6828947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G. Placzek, M. Dahlberg (2024).</w:t>
      </w:r>
      <w:r>
        <w:t xml:space="preserve"> </w:t>
      </w:r>
      <w:r>
        <w:rPr>
          <w:i/>
          <w:iCs/>
        </w:rPr>
        <w:t xml:space="preserve">Database of 3D Concrete Printed Buildings</w:t>
      </w:r>
      <w:r>
        <w:t xml:space="preserve"> </w:t>
      </w:r>
      <w:r>
        <w:t xml:space="preserve">[Dataset]. Zenodo.</w:t>
      </w:r>
      <w:r>
        <w:t xml:space="preserve"> </w:t>
      </w:r>
      <w:hyperlink r:id="rId90">
        <w:r>
          <w:rPr>
            <w:rStyle w:val="Hyperlink"/>
          </w:rPr>
          <w:t xml:space="preserve">https://doi.org/10.5281/zenodo.14214812</w:t>
        </w:r>
      </w:hyperlink>
      <w:r>
        <w:t xml:space="preserve"> </w:t>
      </w:r>
      <w:r>
        <w:t xml:space="preserve">(CC BY 4.0).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hyperlink" Id="rId40" Target="https://creativecommons.org/licenses/by/4.0/" TargetMode="External" /><Relationship Type="http://schemas.openxmlformats.org/officeDocument/2006/relationships/hyperlink" Id="rId85" Target="https://doi.org/10.1007/978-3-030-90535-4" TargetMode="External" /><Relationship Type="http://schemas.openxmlformats.org/officeDocument/2006/relationships/hyperlink" Id="rId81" Target="https://doi.org/10.1007/978-3-031-70031-6_62" TargetMode="External" /><Relationship Type="http://schemas.openxmlformats.org/officeDocument/2006/relationships/hyperlink" Id="rId45" Target="https://doi.org/10.1016/S0008-8846(98)00165-3" TargetMode="External" /><Relationship Type="http://schemas.openxmlformats.org/officeDocument/2006/relationships/hyperlink" Id="rId58" Target="https://doi.org/10.1016/S0926-5805(96)00166-5" TargetMode="External" /><Relationship Type="http://schemas.openxmlformats.org/officeDocument/2006/relationships/hyperlink" Id="rId69" Target="https://doi.org/10.1016/j.acme.2017.02.008" TargetMode="External" /><Relationship Type="http://schemas.openxmlformats.org/officeDocument/2006/relationships/hyperlink" Id="rId60" Target="https://doi.org/10.1016/j.actaastro.2013.07.034" TargetMode="External" /><Relationship Type="http://schemas.openxmlformats.org/officeDocument/2006/relationships/hyperlink" Id="rId47" Target="https://doi.org/10.1016/j.addma.2020.101740" TargetMode="External" /><Relationship Type="http://schemas.openxmlformats.org/officeDocument/2006/relationships/hyperlink" Id="rId59" Target="https://doi.org/10.1016/j.autcon.2003.08.012" TargetMode="External" /><Relationship Type="http://schemas.openxmlformats.org/officeDocument/2006/relationships/hyperlink" Id="rId62" Target="https://doi.org/10.1016/j.autcon.2011.06.010" TargetMode="External" /><Relationship Type="http://schemas.openxmlformats.org/officeDocument/2006/relationships/hyperlink" Id="rId77" Target="https://doi.org/10.1016/j.autcon.2017.08.018" TargetMode="External" /><Relationship Type="http://schemas.openxmlformats.org/officeDocument/2006/relationships/hyperlink" Id="rId71" Target="https://doi.org/10.1016/j.autcon.2019.102992" TargetMode="External" /><Relationship Type="http://schemas.openxmlformats.org/officeDocument/2006/relationships/hyperlink" Id="rId66" Target="https://doi.org/10.1016/j.cemconcomp.2018.10.002" TargetMode="External" /><Relationship Type="http://schemas.openxmlformats.org/officeDocument/2006/relationships/hyperlink" Id="rId80" Target="https://doi.org/10.1016/j.cemconcomp.2020.103724" TargetMode="External" /><Relationship Type="http://schemas.openxmlformats.org/officeDocument/2006/relationships/hyperlink" Id="rId46" Target="https://doi.org/10.1016/j.cemconres.2018.02.001" TargetMode="External" /><Relationship Type="http://schemas.openxmlformats.org/officeDocument/2006/relationships/hyperlink" Id="rId48" Target="https://doi.org/10.1016/j.cemconres.2018.04.005" TargetMode="External" /><Relationship Type="http://schemas.openxmlformats.org/officeDocument/2006/relationships/hyperlink" Id="rId44" Target="https://doi.org/10.1016/j.cemconres.2018.05.006" TargetMode="External" /><Relationship Type="http://schemas.openxmlformats.org/officeDocument/2006/relationships/hyperlink" Id="rId78" Target="https://doi.org/10.1016/j.cemconres.2018.05.018" TargetMode="External" /><Relationship Type="http://schemas.openxmlformats.org/officeDocument/2006/relationships/hyperlink" Id="rId72" Target="https://doi.org/10.1016/j.cemconres.2018.05.020" TargetMode="External" /><Relationship Type="http://schemas.openxmlformats.org/officeDocument/2006/relationships/hyperlink" Id="rId43" Target="https://doi.org/10.1016/j.cemconres.2018.06.001" TargetMode="External" /><Relationship Type="http://schemas.openxmlformats.org/officeDocument/2006/relationships/hyperlink" Id="rId75" Target="https://doi.org/10.1016/j.cemconres.2018.08.003" TargetMode="External" /><Relationship Type="http://schemas.openxmlformats.org/officeDocument/2006/relationships/hyperlink" Id="rId82" Target="https://doi.org/10.1016/j.cemconres.2019.105780" TargetMode="External" /><Relationship Type="http://schemas.openxmlformats.org/officeDocument/2006/relationships/hyperlink" Id="rId74" Target="https://doi.org/10.1016/j.cemconres.2020.106037" TargetMode="External" /><Relationship Type="http://schemas.openxmlformats.org/officeDocument/2006/relationships/hyperlink" Id="rId50" Target="https://doi.org/10.1016/j.cemconres.2021.106559" TargetMode="External" /><Relationship Type="http://schemas.openxmlformats.org/officeDocument/2006/relationships/hyperlink" Id="rId68" Target="https://doi.org/10.1016/j.compositesb.2019.106968" TargetMode="External" /><Relationship Type="http://schemas.openxmlformats.org/officeDocument/2006/relationships/hyperlink" Id="rId67" Target="https://doi.org/10.1016/j.compositesb.2019.107290" TargetMode="External" /><Relationship Type="http://schemas.openxmlformats.org/officeDocument/2006/relationships/hyperlink" Id="rId79" Target="https://doi.org/10.1016/j.conbuildmat.2017.12.051" TargetMode="External" /><Relationship Type="http://schemas.openxmlformats.org/officeDocument/2006/relationships/hyperlink" Id="rId49" Target="https://doi.org/10.1016/j.conbuildmat.2018.03.232" TargetMode="External" /><Relationship Type="http://schemas.openxmlformats.org/officeDocument/2006/relationships/hyperlink" Id="rId73" Target="https://doi.org/10.1016/j.engstruct.2021.112380" TargetMode="External" /><Relationship Type="http://schemas.openxmlformats.org/officeDocument/2006/relationships/hyperlink" Id="rId64" Target="https://doi.org/10.1016/j.ijmecsci.2018.01.010" TargetMode="External" /><Relationship Type="http://schemas.openxmlformats.org/officeDocument/2006/relationships/hyperlink" Id="rId76" Target="https://doi.org/10.1016/j.matdes.2016.03.097" TargetMode="External" /><Relationship Type="http://schemas.openxmlformats.org/officeDocument/2006/relationships/hyperlink" Id="rId57" Target="https://doi.org/10.1038/sdata.2016.18" TargetMode="External" /><Relationship Type="http://schemas.openxmlformats.org/officeDocument/2006/relationships/hyperlink" Id="rId42" Target="https://doi.org/10.1080/17452759.2016.1209867" TargetMode="External" /><Relationship Type="http://schemas.openxmlformats.org/officeDocument/2006/relationships/hyperlink" Id="rId63" Target="https://doi.org/10.1080/17452759.2018.1476064" TargetMode="External" /><Relationship Type="http://schemas.openxmlformats.org/officeDocument/2006/relationships/hyperlink" Id="rId55" Target="https://doi.org/10.1126/science.277.5330.1237" TargetMode="External" /><Relationship Type="http://schemas.openxmlformats.org/officeDocument/2006/relationships/hyperlink" Id="rId56" Target="https://doi.org/10.1126/science.288.5468.993" TargetMode="External" /><Relationship Type="http://schemas.openxmlformats.org/officeDocument/2006/relationships/hyperlink" Id="rId61" Target="https://doi.org/10.1617/s11527-012-9828-z" TargetMode="External" /><Relationship Type="http://schemas.openxmlformats.org/officeDocument/2006/relationships/hyperlink" Id="rId65" Target="https://doi.org/10.1617/s11527-015-0571-0" TargetMode="External" /><Relationship Type="http://schemas.openxmlformats.org/officeDocument/2006/relationships/hyperlink" Id="rId54" Target="https://doi.org/10.1617/s11527-025-02650-9" TargetMode="External" /><Relationship Type="http://schemas.openxmlformats.org/officeDocument/2006/relationships/hyperlink" Id="rId51" Target="https://doi.org/10.1617/s11527-025-02686-x" TargetMode="External" /><Relationship Type="http://schemas.openxmlformats.org/officeDocument/2006/relationships/hyperlink" Id="rId53" Target="https://doi.org/10.1617/s11527-025-02687-w" TargetMode="External" /><Relationship Type="http://schemas.openxmlformats.org/officeDocument/2006/relationships/hyperlink" Id="rId52" Target="https://doi.org/10.1617/s11527-025-02688-9" TargetMode="External" /><Relationship Type="http://schemas.openxmlformats.org/officeDocument/2006/relationships/hyperlink" Id="rId88" Target="https://doi.org/10.17632/czb7ww5pkz.2" TargetMode="External" /><Relationship Type="http://schemas.openxmlformats.org/officeDocument/2006/relationships/hyperlink" Id="rId70" Target="https://doi.org/10.21809/rilemtechlett.2019.84" TargetMode="External" /><Relationship Type="http://schemas.openxmlformats.org/officeDocument/2006/relationships/hyperlink" Id="rId83" Target="https://doi.org/10.21809/rilemtechlett.2024.201" TargetMode="External" /><Relationship Type="http://schemas.openxmlformats.org/officeDocument/2006/relationships/hyperlink" Id="rId86" Target="https://doi.org/10.5281/zenodo.12200570" TargetMode="External" /><Relationship Type="http://schemas.openxmlformats.org/officeDocument/2006/relationships/hyperlink" Id="rId90" Target="https://doi.org/10.5281/zenodo.14214812" TargetMode="External" /><Relationship Type="http://schemas.openxmlformats.org/officeDocument/2006/relationships/hyperlink" Id="rId89" Target="https://doi.org/10.5281/zenodo.6828947" TargetMode="External" /><Relationship Type="http://schemas.openxmlformats.org/officeDocument/2006/relationships/hyperlink" Id="rId87" Target="https://github.com/facebookresearch/SustainableConcrete" TargetMode="External" /><Relationship Type="http://schemas.openxmlformats.org/officeDocument/2006/relationships/hyperlink" Id="rId84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creativecommons.org/licenses/by/4.0/" TargetMode="External" /><Relationship Type="http://schemas.openxmlformats.org/officeDocument/2006/relationships/hyperlink" Id="rId85" Target="https://doi.org/10.1007/978-3-030-90535-4" TargetMode="External" /><Relationship Type="http://schemas.openxmlformats.org/officeDocument/2006/relationships/hyperlink" Id="rId81" Target="https://doi.org/10.1007/978-3-031-70031-6_62" TargetMode="External" /><Relationship Type="http://schemas.openxmlformats.org/officeDocument/2006/relationships/hyperlink" Id="rId45" Target="https://doi.org/10.1016/S0008-8846(98)00165-3" TargetMode="External" /><Relationship Type="http://schemas.openxmlformats.org/officeDocument/2006/relationships/hyperlink" Id="rId58" Target="https://doi.org/10.1016/S0926-5805(96)00166-5" TargetMode="External" /><Relationship Type="http://schemas.openxmlformats.org/officeDocument/2006/relationships/hyperlink" Id="rId69" Target="https://doi.org/10.1016/j.acme.2017.02.008" TargetMode="External" /><Relationship Type="http://schemas.openxmlformats.org/officeDocument/2006/relationships/hyperlink" Id="rId60" Target="https://doi.org/10.1016/j.actaastro.2013.07.034" TargetMode="External" /><Relationship Type="http://schemas.openxmlformats.org/officeDocument/2006/relationships/hyperlink" Id="rId47" Target="https://doi.org/10.1016/j.addma.2020.101740" TargetMode="External" /><Relationship Type="http://schemas.openxmlformats.org/officeDocument/2006/relationships/hyperlink" Id="rId59" Target="https://doi.org/10.1016/j.autcon.2003.08.012" TargetMode="External" /><Relationship Type="http://schemas.openxmlformats.org/officeDocument/2006/relationships/hyperlink" Id="rId62" Target="https://doi.org/10.1016/j.autcon.2011.06.010" TargetMode="External" /><Relationship Type="http://schemas.openxmlformats.org/officeDocument/2006/relationships/hyperlink" Id="rId77" Target="https://doi.org/10.1016/j.autcon.2017.08.018" TargetMode="External" /><Relationship Type="http://schemas.openxmlformats.org/officeDocument/2006/relationships/hyperlink" Id="rId71" Target="https://doi.org/10.1016/j.autcon.2019.102992" TargetMode="External" /><Relationship Type="http://schemas.openxmlformats.org/officeDocument/2006/relationships/hyperlink" Id="rId66" Target="https://doi.org/10.1016/j.cemconcomp.2018.10.002" TargetMode="External" /><Relationship Type="http://schemas.openxmlformats.org/officeDocument/2006/relationships/hyperlink" Id="rId80" Target="https://doi.org/10.1016/j.cemconcomp.2020.103724" TargetMode="External" /><Relationship Type="http://schemas.openxmlformats.org/officeDocument/2006/relationships/hyperlink" Id="rId46" Target="https://doi.org/10.1016/j.cemconres.2018.02.001" TargetMode="External" /><Relationship Type="http://schemas.openxmlformats.org/officeDocument/2006/relationships/hyperlink" Id="rId48" Target="https://doi.org/10.1016/j.cemconres.2018.04.005" TargetMode="External" /><Relationship Type="http://schemas.openxmlformats.org/officeDocument/2006/relationships/hyperlink" Id="rId44" Target="https://doi.org/10.1016/j.cemconres.2018.05.006" TargetMode="External" /><Relationship Type="http://schemas.openxmlformats.org/officeDocument/2006/relationships/hyperlink" Id="rId78" Target="https://doi.org/10.1016/j.cemconres.2018.05.018" TargetMode="External" /><Relationship Type="http://schemas.openxmlformats.org/officeDocument/2006/relationships/hyperlink" Id="rId72" Target="https://doi.org/10.1016/j.cemconres.2018.05.020" TargetMode="External" /><Relationship Type="http://schemas.openxmlformats.org/officeDocument/2006/relationships/hyperlink" Id="rId43" Target="https://doi.org/10.1016/j.cemconres.2018.06.001" TargetMode="External" /><Relationship Type="http://schemas.openxmlformats.org/officeDocument/2006/relationships/hyperlink" Id="rId75" Target="https://doi.org/10.1016/j.cemconres.2018.08.003" TargetMode="External" /><Relationship Type="http://schemas.openxmlformats.org/officeDocument/2006/relationships/hyperlink" Id="rId82" Target="https://doi.org/10.1016/j.cemconres.2019.105780" TargetMode="External" /><Relationship Type="http://schemas.openxmlformats.org/officeDocument/2006/relationships/hyperlink" Id="rId74" Target="https://doi.org/10.1016/j.cemconres.2020.106037" TargetMode="External" /><Relationship Type="http://schemas.openxmlformats.org/officeDocument/2006/relationships/hyperlink" Id="rId50" Target="https://doi.org/10.1016/j.cemconres.2021.106559" TargetMode="External" /><Relationship Type="http://schemas.openxmlformats.org/officeDocument/2006/relationships/hyperlink" Id="rId68" Target="https://doi.org/10.1016/j.compositesb.2019.106968" TargetMode="External" /><Relationship Type="http://schemas.openxmlformats.org/officeDocument/2006/relationships/hyperlink" Id="rId67" Target="https://doi.org/10.1016/j.compositesb.2019.107290" TargetMode="External" /><Relationship Type="http://schemas.openxmlformats.org/officeDocument/2006/relationships/hyperlink" Id="rId79" Target="https://doi.org/10.1016/j.conbuildmat.2017.12.051" TargetMode="External" /><Relationship Type="http://schemas.openxmlformats.org/officeDocument/2006/relationships/hyperlink" Id="rId49" Target="https://doi.org/10.1016/j.conbuildmat.2018.03.232" TargetMode="External" /><Relationship Type="http://schemas.openxmlformats.org/officeDocument/2006/relationships/hyperlink" Id="rId73" Target="https://doi.org/10.1016/j.engstruct.2021.112380" TargetMode="External" /><Relationship Type="http://schemas.openxmlformats.org/officeDocument/2006/relationships/hyperlink" Id="rId64" Target="https://doi.org/10.1016/j.ijmecsci.2018.01.010" TargetMode="External" /><Relationship Type="http://schemas.openxmlformats.org/officeDocument/2006/relationships/hyperlink" Id="rId76" Target="https://doi.org/10.1016/j.matdes.2016.03.097" TargetMode="External" /><Relationship Type="http://schemas.openxmlformats.org/officeDocument/2006/relationships/hyperlink" Id="rId57" Target="https://doi.org/10.1038/sdata.2016.18" TargetMode="External" /><Relationship Type="http://schemas.openxmlformats.org/officeDocument/2006/relationships/hyperlink" Id="rId42" Target="https://doi.org/10.1080/17452759.2016.1209867" TargetMode="External" /><Relationship Type="http://schemas.openxmlformats.org/officeDocument/2006/relationships/hyperlink" Id="rId63" Target="https://doi.org/10.1080/17452759.2018.1476064" TargetMode="External" /><Relationship Type="http://schemas.openxmlformats.org/officeDocument/2006/relationships/hyperlink" Id="rId55" Target="https://doi.org/10.1126/science.277.5330.1237" TargetMode="External" /><Relationship Type="http://schemas.openxmlformats.org/officeDocument/2006/relationships/hyperlink" Id="rId56" Target="https://doi.org/10.1126/science.288.5468.993" TargetMode="External" /><Relationship Type="http://schemas.openxmlformats.org/officeDocument/2006/relationships/hyperlink" Id="rId61" Target="https://doi.org/10.1617/s11527-012-9828-z" TargetMode="External" /><Relationship Type="http://schemas.openxmlformats.org/officeDocument/2006/relationships/hyperlink" Id="rId65" Target="https://doi.org/10.1617/s11527-015-0571-0" TargetMode="External" /><Relationship Type="http://schemas.openxmlformats.org/officeDocument/2006/relationships/hyperlink" Id="rId54" Target="https://doi.org/10.1617/s11527-025-02650-9" TargetMode="External" /><Relationship Type="http://schemas.openxmlformats.org/officeDocument/2006/relationships/hyperlink" Id="rId51" Target="https://doi.org/10.1617/s11527-025-02686-x" TargetMode="External" /><Relationship Type="http://schemas.openxmlformats.org/officeDocument/2006/relationships/hyperlink" Id="rId53" Target="https://doi.org/10.1617/s11527-025-02687-w" TargetMode="External" /><Relationship Type="http://schemas.openxmlformats.org/officeDocument/2006/relationships/hyperlink" Id="rId52" Target="https://doi.org/10.1617/s11527-025-02688-9" TargetMode="External" /><Relationship Type="http://schemas.openxmlformats.org/officeDocument/2006/relationships/hyperlink" Id="rId88" Target="https://doi.org/10.17632/czb7ww5pkz.2" TargetMode="External" /><Relationship Type="http://schemas.openxmlformats.org/officeDocument/2006/relationships/hyperlink" Id="rId70" Target="https://doi.org/10.21809/rilemtechlett.2019.84" TargetMode="External" /><Relationship Type="http://schemas.openxmlformats.org/officeDocument/2006/relationships/hyperlink" Id="rId83" Target="https://doi.org/10.21809/rilemtechlett.2024.201" TargetMode="External" /><Relationship Type="http://schemas.openxmlformats.org/officeDocument/2006/relationships/hyperlink" Id="rId86" Target="https://doi.org/10.5281/zenodo.12200570" TargetMode="External" /><Relationship Type="http://schemas.openxmlformats.org/officeDocument/2006/relationships/hyperlink" Id="rId90" Target="https://doi.org/10.5281/zenodo.14214812" TargetMode="External" /><Relationship Type="http://schemas.openxmlformats.org/officeDocument/2006/relationships/hyperlink" Id="rId89" Target="https://doi.org/10.5281/zenodo.6828947" TargetMode="External" /><Relationship Type="http://schemas.openxmlformats.org/officeDocument/2006/relationships/hyperlink" Id="rId87" Target="https://github.com/facebookresearch/SustainableConcrete" TargetMode="External" /><Relationship Type="http://schemas.openxmlformats.org/officeDocument/2006/relationships/hyperlink" Id="rId84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UHPC</cp:keywords>
  <dcterms:created xsi:type="dcterms:W3CDTF">2026-06-09T17:27:37Z</dcterms:created>
  <dcterms:modified xsi:type="dcterms:W3CDTF">2026-06-09T17:27:37Z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2026-06-09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