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33CCA" w14:textId="7B3FF4DA" w:rsidR="00C115F3" w:rsidRDefault="00C115F3" w:rsidP="00C115F3">
      <w:pPr>
        <w:pStyle w:val="p1"/>
      </w:pPr>
      <w:r>
        <w:t xml:space="preserve">Large language models (LLMs) have moved beyond laboratory curiosities to become strategic economic actors that broker negotiations ranging from high-frequency trades to multilateral trade accords. Their imprint on transactions worth trillions of dollars is profound yet uneven. Although algorithmic decision-making deepens liquidity and accelerates price discovery, it can also amplify market volatility (Reuters, 2024). Empirical work documents “remarkable” abnormal returns for sophisticated traders who deploy AI-assisted strategies, alongside a redistribution of value away from less-capable participants (Dou et al., 2023; </w:t>
      </w:r>
      <w:proofErr w:type="spellStart"/>
      <w:r>
        <w:t>WikiAlgoTrade</w:t>
      </w:r>
      <w:proofErr w:type="spellEnd"/>
      <w:r>
        <w:t xml:space="preserve">, 2025). </w:t>
      </w:r>
      <w:r>
        <w:t>However, i</w:t>
      </w:r>
      <w:r>
        <w:t>f LLMs systematically advantage buyers over suppliers, persistent mispricing could erode innovation incentives and widen existing inequalities—concerns compounded by evidence that algorithmic systems already magnify social bias (</w:t>
      </w:r>
      <w:proofErr w:type="spellStart"/>
      <w:r>
        <w:t>AlgoBiasReview</w:t>
      </w:r>
      <w:proofErr w:type="spellEnd"/>
      <w:r>
        <w:t>, 2023).</w:t>
      </w:r>
    </w:p>
    <w:p w14:paraId="333FFCD5" w14:textId="47AC8EF0" w:rsidR="00C115F3" w:rsidRDefault="00C115F3" w:rsidP="00C115F3">
      <w:pPr>
        <w:pStyle w:val="p1"/>
      </w:pPr>
      <w:r>
        <w:t>These dynamics foreground a fundamental governance question: whose interests do LLMs ultimately serve? Model behavior is endogenous to framing, incentive structures, and prompt design (</w:t>
      </w:r>
      <w:proofErr w:type="spellStart"/>
      <w:r>
        <w:t>Lorè</w:t>
      </w:r>
      <w:proofErr w:type="spellEnd"/>
      <w:r>
        <w:t xml:space="preserve"> &amp; Heydari, 2024; Zhang et al., 2024). Recent studies show that LLMs replicate human-like biases and adapt strategically, challenging assumptions of stakeholder-neutral alignment (</w:t>
      </w:r>
      <w:proofErr w:type="spellStart"/>
      <w:r>
        <w:t>Lorè</w:t>
      </w:r>
      <w:proofErr w:type="spellEnd"/>
      <w:r>
        <w:t xml:space="preserve"> &amp; Heydari, 2024; Lopez-Lira et al., 2025). Such asymmetries clash with the canonical economic premise </w:t>
      </w:r>
      <w:r>
        <w:t>that all agents are equally competent</w:t>
      </w:r>
      <w:r>
        <w:t>. Evidence of persistent product bias in financial advice (Zhi et al., 2025) and framing-induced inconsistencies in economic reasoning (Ross et al., 2024) suggests that role-dependent favoritism may already be distorting competitive equilibria.</w:t>
      </w:r>
    </w:p>
    <w:p w14:paraId="3C349B54" w14:textId="469EB4FE" w:rsidR="00C115F3" w:rsidRDefault="00C115F3" w:rsidP="00C115F3">
      <w:pPr>
        <w:pStyle w:val="p1"/>
      </w:pPr>
      <w:r>
        <w:t>The newsvendor problem—tracing back to Edgeworth’s (1888) examination of optimal cash reserves and formalized in Arrow’s (1951) stochastic inventory model—remains a canonical framework for studying decision</w:t>
      </w:r>
      <w:r>
        <w:rPr>
          <w:rFonts w:ascii="Cambria Math" w:hAnsi="Cambria Math" w:cs="Cambria Math"/>
        </w:rPr>
        <w:t>‐</w:t>
      </w:r>
      <w:r>
        <w:t xml:space="preserve">making under uncertainty. Operations research has largely approached the problem from the buyer’s vantage point, </w:t>
      </w:r>
      <w:r w:rsidR="00F747BE">
        <w:t>optimizing</w:t>
      </w:r>
      <w:r>
        <w:t xml:space="preserve"> order quantities given stochastic demand, whereas supplier</w:t>
      </w:r>
      <w:r>
        <w:rPr>
          <w:rFonts w:ascii="Cambria Math" w:hAnsi="Cambria Math" w:cs="Cambria Math"/>
        </w:rPr>
        <w:t>‐</w:t>
      </w:r>
      <w:r>
        <w:t>side questions have been treated mainly in marketing scholarship on pricing and capacity choice. Parallel work on large language models (LLMs) paints an uneven picture: models sometimes replicate human</w:t>
      </w:r>
      <w:r>
        <w:rPr>
          <w:rFonts w:ascii="Cambria Math" w:hAnsi="Cambria Math" w:cs="Cambria Math"/>
        </w:rPr>
        <w:t>‐</w:t>
      </w:r>
      <w:r>
        <w:t>like biases in economic games (Brookins &amp; DeBacker, 2023) yet often fail to identify optimal strategies even in relatively simple tasks (</w:t>
      </w:r>
      <w:proofErr w:type="spellStart"/>
      <w:r>
        <w:t>Akata</w:t>
      </w:r>
      <w:proofErr w:type="spellEnd"/>
      <w:r>
        <w:t xml:space="preserve"> et al., 2023). Additional evidence points to persistent product bias in LLM</w:t>
      </w:r>
      <w:r>
        <w:rPr>
          <w:rFonts w:ascii="Cambria Math" w:hAnsi="Cambria Math" w:cs="Cambria Math"/>
        </w:rPr>
        <w:t>‐</w:t>
      </w:r>
      <w:r>
        <w:t>generated financial advice (Zhi et al., 2025) and framing</w:t>
      </w:r>
      <w:r>
        <w:rPr>
          <w:rFonts w:ascii="Cambria Math" w:hAnsi="Cambria Math" w:cs="Cambria Math"/>
        </w:rPr>
        <w:t>‐</w:t>
      </w:r>
      <w:r>
        <w:t>induced inconsistencies in economic reasoning (Ross et al., 2024).</w:t>
      </w:r>
    </w:p>
    <w:p w14:paraId="26B521C7" w14:textId="02616080" w:rsidR="00C84B8A" w:rsidRDefault="00C115F3" w:rsidP="00F747BE">
      <w:pPr>
        <w:pStyle w:val="p1"/>
      </w:pPr>
      <w:r>
        <w:t xml:space="preserve">Benchmarking efforts to date have </w:t>
      </w:r>
      <w:r w:rsidR="002A0ABD">
        <w:t>centered</w:t>
      </w:r>
      <w:r>
        <w:t xml:space="preserve"> on linguistic fluency, factual accuracy, and deductive reasoning in cooperative settings. Although these metrics are informative, they shed little light on adversarial or strategic performance. The handful of game‐theoretic studies conducted thus far typically examine single‐shot interactions or focus on reproducing known human biases rather than uncovering new, systematic patterns of strategic </w:t>
      </w:r>
      <w:r w:rsidR="002A0ABD">
        <w:t>behavior</w:t>
      </w:r>
      <w:r>
        <w:t>.</w:t>
      </w:r>
    </w:p>
    <w:p w14:paraId="17412EB0" w14:textId="77777777" w:rsidR="00922CAF" w:rsidRDefault="00922CAF" w:rsidP="00922CAF">
      <w:pPr>
        <w:pStyle w:val="p1"/>
      </w:pPr>
      <w:r>
        <w:t xml:space="preserve">Our experiments reveal a systematic buyer advantage of roughly </w:t>
      </w:r>
      <w:r>
        <w:rPr>
          <w:rStyle w:val="s1"/>
          <w:rFonts w:eastAsiaTheme="majorEastAsia"/>
          <w:b/>
          <w:bCs/>
        </w:rPr>
        <w:t>20 % of the negotiable surplus</w:t>
      </w:r>
      <w:r>
        <w:t>—visible in 85 % of negotiations and invariant to model tier or experimental condition. We attribute this imbalance to a training-corpus skew: operations</w:t>
      </w:r>
      <w:r>
        <w:rPr>
          <w:rFonts w:ascii="Cambria Math" w:hAnsi="Cambria Math" w:cs="Cambria Math"/>
        </w:rPr>
        <w:t>‐</w:t>
      </w:r>
      <w:r>
        <w:t xml:space="preserve">research materials richly encode buyer heuristics, whereas supplier strategies are comparatively under-represented. Strikingly, computational reflection magnifies rather than mitigates the gap, suggesting that current metacognitive interventions are ill-suited to adversarial bargaining tasks. As AI agents </w:t>
      </w:r>
      <w:r>
        <w:lastRenderedPageBreak/>
        <w:t>assume larger roles in market transactions, diagnosing and correcting such role-dependent biases becomes essential to safeguarding allocative efficiency and distributive fairness.</w:t>
      </w:r>
    </w:p>
    <w:p w14:paraId="5C04DA7A" w14:textId="77777777" w:rsidR="00922CAF" w:rsidRDefault="00922CAF" w:rsidP="00922CAF">
      <w:pPr>
        <w:pStyle w:val="p1"/>
      </w:pPr>
      <w:r>
        <w:t xml:space="preserve">Our experiments reveal a systematic buyer advantage of roughly </w:t>
      </w:r>
      <w:r>
        <w:rPr>
          <w:rStyle w:val="s1"/>
          <w:rFonts w:eastAsiaTheme="majorEastAsia"/>
          <w:b/>
          <w:bCs/>
        </w:rPr>
        <w:t>20 % of the negotiable surplus</w:t>
      </w:r>
      <w:r>
        <w:t>—visible in 85 % of negotiations and invariant to model tier or experimental condition. We attribute this imbalance to a training-corpus skew: operations</w:t>
      </w:r>
      <w:r>
        <w:rPr>
          <w:rFonts w:ascii="Cambria Math" w:hAnsi="Cambria Math" w:cs="Cambria Math"/>
        </w:rPr>
        <w:t>‐</w:t>
      </w:r>
      <w:r>
        <w:t>research materials richly encode buyer heuristics, whereas supplier strategies are comparatively under-represented. Strikingly, computational reflection magnifies rather than mitigates the gap, suggesting that current metacognitive interventions are ill-suited to adversarial bargaining tasks. As AI agents assume larger roles in market transactions, diagnosing and correcting such role-dependent biases becomes essential to safeguarding allocative efficiency and distributive fairness.</w:t>
      </w:r>
    </w:p>
    <w:p w14:paraId="139223CF" w14:textId="77777777" w:rsidR="00F747BE" w:rsidRDefault="00F747BE"/>
    <w:sectPr w:rsidR="00F747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5F3"/>
    <w:rsid w:val="002A0ABD"/>
    <w:rsid w:val="003079B9"/>
    <w:rsid w:val="003201CC"/>
    <w:rsid w:val="00922CAF"/>
    <w:rsid w:val="009975E6"/>
    <w:rsid w:val="00C115F3"/>
    <w:rsid w:val="00C84B8A"/>
    <w:rsid w:val="00F747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E1A3D"/>
  <w15:chartTrackingRefBased/>
  <w15:docId w15:val="{8163B39C-4BB1-714A-BD02-F3D0EB786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15F3"/>
  </w:style>
  <w:style w:type="paragraph" w:styleId="Heading1">
    <w:name w:val="heading 1"/>
    <w:basedOn w:val="Normal"/>
    <w:next w:val="Normal"/>
    <w:link w:val="Heading1Char"/>
    <w:uiPriority w:val="9"/>
    <w:qFormat/>
    <w:rsid w:val="00C115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15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15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15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15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15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5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5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5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5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15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15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15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15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15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5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5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5F3"/>
    <w:rPr>
      <w:rFonts w:eastAsiaTheme="majorEastAsia" w:cstheme="majorBidi"/>
      <w:color w:val="272727" w:themeColor="text1" w:themeTint="D8"/>
    </w:rPr>
  </w:style>
  <w:style w:type="paragraph" w:styleId="Title">
    <w:name w:val="Title"/>
    <w:basedOn w:val="Normal"/>
    <w:next w:val="Normal"/>
    <w:link w:val="TitleChar"/>
    <w:uiPriority w:val="10"/>
    <w:qFormat/>
    <w:rsid w:val="00C115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5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5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5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5F3"/>
    <w:pPr>
      <w:spacing w:before="160"/>
      <w:jc w:val="center"/>
    </w:pPr>
    <w:rPr>
      <w:i/>
      <w:iCs/>
      <w:color w:val="404040" w:themeColor="text1" w:themeTint="BF"/>
    </w:rPr>
  </w:style>
  <w:style w:type="character" w:customStyle="1" w:styleId="QuoteChar">
    <w:name w:val="Quote Char"/>
    <w:basedOn w:val="DefaultParagraphFont"/>
    <w:link w:val="Quote"/>
    <w:uiPriority w:val="29"/>
    <w:rsid w:val="00C115F3"/>
    <w:rPr>
      <w:i/>
      <w:iCs/>
      <w:color w:val="404040" w:themeColor="text1" w:themeTint="BF"/>
    </w:rPr>
  </w:style>
  <w:style w:type="paragraph" w:styleId="ListParagraph">
    <w:name w:val="List Paragraph"/>
    <w:basedOn w:val="Normal"/>
    <w:uiPriority w:val="34"/>
    <w:qFormat/>
    <w:rsid w:val="00C115F3"/>
    <w:pPr>
      <w:ind w:left="720"/>
      <w:contextualSpacing/>
    </w:pPr>
  </w:style>
  <w:style w:type="character" w:styleId="IntenseEmphasis">
    <w:name w:val="Intense Emphasis"/>
    <w:basedOn w:val="DefaultParagraphFont"/>
    <w:uiPriority w:val="21"/>
    <w:qFormat/>
    <w:rsid w:val="00C115F3"/>
    <w:rPr>
      <w:i/>
      <w:iCs/>
      <w:color w:val="0F4761" w:themeColor="accent1" w:themeShade="BF"/>
    </w:rPr>
  </w:style>
  <w:style w:type="paragraph" w:styleId="IntenseQuote">
    <w:name w:val="Intense Quote"/>
    <w:basedOn w:val="Normal"/>
    <w:next w:val="Normal"/>
    <w:link w:val="IntenseQuoteChar"/>
    <w:uiPriority w:val="30"/>
    <w:qFormat/>
    <w:rsid w:val="00C115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15F3"/>
    <w:rPr>
      <w:i/>
      <w:iCs/>
      <w:color w:val="0F4761" w:themeColor="accent1" w:themeShade="BF"/>
    </w:rPr>
  </w:style>
  <w:style w:type="character" w:styleId="IntenseReference">
    <w:name w:val="Intense Reference"/>
    <w:basedOn w:val="DefaultParagraphFont"/>
    <w:uiPriority w:val="32"/>
    <w:qFormat/>
    <w:rsid w:val="00C115F3"/>
    <w:rPr>
      <w:b/>
      <w:bCs/>
      <w:smallCaps/>
      <w:color w:val="0F4761" w:themeColor="accent1" w:themeShade="BF"/>
      <w:spacing w:val="5"/>
    </w:rPr>
  </w:style>
  <w:style w:type="paragraph" w:customStyle="1" w:styleId="p1">
    <w:name w:val="p1"/>
    <w:basedOn w:val="Normal"/>
    <w:rsid w:val="00C115F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C115F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922C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589398">
      <w:bodyDiv w:val="1"/>
      <w:marLeft w:val="0"/>
      <w:marRight w:val="0"/>
      <w:marTop w:val="0"/>
      <w:marBottom w:val="0"/>
      <w:divBdr>
        <w:top w:val="none" w:sz="0" w:space="0" w:color="auto"/>
        <w:left w:val="none" w:sz="0" w:space="0" w:color="auto"/>
        <w:bottom w:val="none" w:sz="0" w:space="0" w:color="auto"/>
        <w:right w:val="none" w:sz="0" w:space="0" w:color="auto"/>
      </w:divBdr>
    </w:div>
    <w:div w:id="1167288185">
      <w:bodyDiv w:val="1"/>
      <w:marLeft w:val="0"/>
      <w:marRight w:val="0"/>
      <w:marTop w:val="0"/>
      <w:marBottom w:val="0"/>
      <w:divBdr>
        <w:top w:val="none" w:sz="0" w:space="0" w:color="auto"/>
        <w:left w:val="none" w:sz="0" w:space="0" w:color="auto"/>
        <w:bottom w:val="none" w:sz="0" w:space="0" w:color="auto"/>
        <w:right w:val="none" w:sz="0" w:space="0" w:color="auto"/>
      </w:divBdr>
    </w:div>
    <w:div w:id="1367679045">
      <w:bodyDiv w:val="1"/>
      <w:marLeft w:val="0"/>
      <w:marRight w:val="0"/>
      <w:marTop w:val="0"/>
      <w:marBottom w:val="0"/>
      <w:divBdr>
        <w:top w:val="none" w:sz="0" w:space="0" w:color="auto"/>
        <w:left w:val="none" w:sz="0" w:space="0" w:color="auto"/>
        <w:bottom w:val="none" w:sz="0" w:space="0" w:color="auto"/>
        <w:right w:val="none" w:sz="0" w:space="0" w:color="auto"/>
      </w:divBdr>
    </w:div>
    <w:div w:id="1581283087">
      <w:bodyDiv w:val="1"/>
      <w:marLeft w:val="0"/>
      <w:marRight w:val="0"/>
      <w:marTop w:val="0"/>
      <w:marBottom w:val="0"/>
      <w:divBdr>
        <w:top w:val="none" w:sz="0" w:space="0" w:color="auto"/>
        <w:left w:val="none" w:sz="0" w:space="0" w:color="auto"/>
        <w:bottom w:val="none" w:sz="0" w:space="0" w:color="auto"/>
        <w:right w:val="none" w:sz="0" w:space="0" w:color="auto"/>
      </w:divBdr>
    </w:div>
    <w:div w:id="1656252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675</Words>
  <Characters>3851</Characters>
  <Application>Microsoft Office Word</Application>
  <DocSecurity>0</DocSecurity>
  <Lines>32</Lines>
  <Paragraphs>9</Paragraphs>
  <ScaleCrop>false</ScaleCrop>
  <Company/>
  <LinksUpToDate>false</LinksUpToDate>
  <CharactersWithSpaces>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Hasija, Sunny</dc:creator>
  <cp:keywords/>
  <dc:description/>
  <cp:lastModifiedBy>Hasija, Sunny</cp:lastModifiedBy>
  <cp:revision>4</cp:revision>
  <dcterms:created xsi:type="dcterms:W3CDTF">2025-06-21T01:28:00Z</dcterms:created>
  <dcterms:modified xsi:type="dcterms:W3CDTF">2025-06-21T02:35:00Z</dcterms:modified>
</cp:coreProperties>
</file>