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1DD33" w14:textId="77777777" w:rsidR="00393E34" w:rsidRPr="00393E34" w:rsidRDefault="00393E34" w:rsidP="00393E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E34">
        <w:rPr>
          <w:rFonts w:ascii="Times New Roman" w:eastAsia="Times New Roman" w:hAnsi="Times New Roman" w:cs="Times New Roman"/>
          <w:b/>
          <w:bCs/>
          <w:kern w:val="36"/>
          <w:sz w:val="48"/>
          <w:szCs w:val="48"/>
          <w14:ligatures w14:val="none"/>
        </w:rPr>
        <w:t>When AI Inherits Academic Bias: Literature Asymmetry and Systematic Strategic Preferences in Large Language Models</w:t>
      </w:r>
    </w:p>
    <w:p w14:paraId="611FEFE7" w14:textId="77777777" w:rsidR="00393E34" w:rsidRPr="00393E34" w:rsidRDefault="00393E34" w:rsidP="00393E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E34">
        <w:rPr>
          <w:rFonts w:ascii="Times New Roman" w:eastAsia="Times New Roman" w:hAnsi="Times New Roman" w:cs="Times New Roman"/>
          <w:b/>
          <w:bCs/>
          <w:kern w:val="0"/>
          <w:sz w:val="36"/>
          <w:szCs w:val="36"/>
          <w14:ligatures w14:val="none"/>
        </w:rPr>
        <w:t>Abstract</w:t>
      </w:r>
    </w:p>
    <w:p w14:paraId="21434CDB" w14:textId="77777777" w:rsidR="00393E34" w:rsidRPr="00393E34" w:rsidRDefault="00393E34" w:rsidP="00393E34">
      <w:pPr>
        <w:spacing w:before="100" w:beforeAutospacing="1" w:after="100" w:afterAutospacing="1" w:line="240" w:lineRule="auto"/>
        <w:rPr>
          <w:rFonts w:ascii="Times New Roman" w:eastAsia="Times New Roman" w:hAnsi="Times New Roman" w:cs="Times New Roman"/>
          <w:kern w:val="0"/>
          <w14:ligatures w14:val="none"/>
        </w:rPr>
      </w:pPr>
      <w:r w:rsidRPr="00393E34">
        <w:rPr>
          <w:rFonts w:ascii="Times New Roman" w:eastAsia="Times New Roman" w:hAnsi="Times New Roman" w:cs="Times New Roman"/>
          <w:kern w:val="0"/>
          <w14:ligatures w14:val="none"/>
        </w:rPr>
        <w:t xml:space="preserve">Large language models (LLMs) are rapidly transitioning from research artifacts into economic actors, influencing strategic economic interactions and decision-making. These systems increasingly mediate high-stakes financial activities from automated trading algorithms executing large-scale daily transactions to AI assistants involved in negotiations ranging from salary packages to international trade agreements. We conduct the largest systematic study to date of LLM strategic behavior in economic negotiations, embedding pairs of LLMs in 8,000 simulated newsvendor bargaining games across 10 different models and 4 metacognitive conditions. We discover a robust $14.25 systematic advantage favoring buyers over suppliers—representing 85% of all negotiations—that persists across model scales and reflection conditions. We propose that this asymmetry stems from </w:t>
      </w:r>
      <w:r w:rsidRPr="00393E34">
        <w:rPr>
          <w:rFonts w:ascii="Times New Roman" w:eastAsia="Times New Roman" w:hAnsi="Times New Roman" w:cs="Times New Roman"/>
          <w:b/>
          <w:bCs/>
          <w:kern w:val="0"/>
          <w14:ligatures w14:val="none"/>
        </w:rPr>
        <w:t>literature asymmetry</w:t>
      </w:r>
      <w:r w:rsidRPr="00393E34">
        <w:rPr>
          <w:rFonts w:ascii="Times New Roman" w:eastAsia="Times New Roman" w:hAnsi="Times New Roman" w:cs="Times New Roman"/>
          <w:kern w:val="0"/>
          <w14:ligatures w14:val="none"/>
        </w:rPr>
        <w:t xml:space="preserve">: the newsvendor problem is inherently buyer-centric in operations research literature, while supplier strategic problems belong to marketing literature. LLMs trained on academic corpora inherit these disciplinary perspective biases through </w:t>
      </w:r>
      <w:r w:rsidRPr="00393E34">
        <w:rPr>
          <w:rFonts w:ascii="Times New Roman" w:eastAsia="Times New Roman" w:hAnsi="Times New Roman" w:cs="Times New Roman"/>
          <w:b/>
          <w:bCs/>
          <w:kern w:val="0"/>
          <w14:ligatures w14:val="none"/>
        </w:rPr>
        <w:t>architectural priors</w:t>
      </w:r>
      <w:r w:rsidRPr="00393E34">
        <w:rPr>
          <w:rFonts w:ascii="Times New Roman" w:eastAsia="Times New Roman" w:hAnsi="Times New Roman" w:cs="Times New Roman"/>
          <w:kern w:val="0"/>
          <w14:ligatures w14:val="none"/>
        </w:rPr>
        <w:t xml:space="preserve"> and </w:t>
      </w:r>
      <w:r w:rsidRPr="00393E34">
        <w:rPr>
          <w:rFonts w:ascii="Times New Roman" w:eastAsia="Times New Roman" w:hAnsi="Times New Roman" w:cs="Times New Roman"/>
          <w:b/>
          <w:bCs/>
          <w:kern w:val="0"/>
          <w14:ligatures w14:val="none"/>
        </w:rPr>
        <w:t>token-level training biases</w:t>
      </w:r>
      <w:r w:rsidRPr="00393E34">
        <w:rPr>
          <w:rFonts w:ascii="Times New Roman" w:eastAsia="Times New Roman" w:hAnsi="Times New Roman" w:cs="Times New Roman"/>
          <w:kern w:val="0"/>
          <w14:ligatures w14:val="none"/>
        </w:rPr>
        <w:t>, systematically disadvantaging suppliers in strategic interactions. Counterintuitively, reflection-based prompting amplifies rather than corrects these biases, with buyer-only reflection increasing advantages by $4.6 while supplier-only reflection provides only partial mitigation. Our findings reveal that AI systems can inherit and amplify academic discipline limitations, with critical implications for deploying LLMs in economic contexts where neutrality is assumed.</w:t>
      </w:r>
    </w:p>
    <w:p w14:paraId="2DE84287" w14:textId="77777777" w:rsidR="00393E34" w:rsidRPr="00393E34" w:rsidRDefault="00393E34" w:rsidP="00393E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E34">
        <w:rPr>
          <w:rFonts w:ascii="Times New Roman" w:eastAsia="Times New Roman" w:hAnsi="Times New Roman" w:cs="Times New Roman"/>
          <w:b/>
          <w:bCs/>
          <w:kern w:val="0"/>
          <w:sz w:val="36"/>
          <w:szCs w:val="36"/>
          <w14:ligatures w14:val="none"/>
        </w:rPr>
        <w:t>1 Introduction</w:t>
      </w:r>
    </w:p>
    <w:p w14:paraId="7E2FF369" w14:textId="77777777" w:rsidR="00393E34" w:rsidRPr="00393E34" w:rsidRDefault="00393E34" w:rsidP="00393E34">
      <w:pPr>
        <w:spacing w:before="100" w:beforeAutospacing="1" w:after="100" w:afterAutospacing="1" w:line="240" w:lineRule="auto"/>
        <w:rPr>
          <w:rFonts w:ascii="Times New Roman" w:eastAsia="Times New Roman" w:hAnsi="Times New Roman" w:cs="Times New Roman"/>
          <w:kern w:val="0"/>
          <w14:ligatures w14:val="none"/>
        </w:rPr>
      </w:pPr>
      <w:r w:rsidRPr="00393E34">
        <w:rPr>
          <w:rFonts w:ascii="Times New Roman" w:eastAsia="Times New Roman" w:hAnsi="Times New Roman" w:cs="Times New Roman"/>
          <w:kern w:val="0"/>
          <w14:ligatures w14:val="none"/>
        </w:rPr>
        <w:t>The newsvendor problem, dating to Edgeworth's 1888 analysis of optimal cash reserves under uncertain withdrawals, represents a canonical framework for strategic decision-making under uncertainty (Arrow, 1951). However, operations research literature approaches this problem predominantly from the buyer's perspective—optimizing procurement decisions given uncertain demand. Supplier strategic problems, by contrast, are typically addressed in marketing literature focused on pricing and capacity decisions. Meanwhile, emerging research on LLM strategic capabilities shows mixed results: models can exhibit human-like biases in economic games (Brookins &amp; DeBacker, 2023) but struggle with optimal strategy selection even in simple settings (Akata et al., 2023). Recent work demonstrates that LLMs can show persistent product bias in financial recommendations (Zhi et al., 2025) and inconsistent economic behavior with strong framing biases (Ross et al., 2024).</w:t>
      </w:r>
    </w:p>
    <w:p w14:paraId="1099F3FD" w14:textId="77777777" w:rsidR="00393E34" w:rsidRPr="00393E34" w:rsidRDefault="00393E34" w:rsidP="00393E34">
      <w:pPr>
        <w:spacing w:before="100" w:beforeAutospacing="1" w:after="100" w:afterAutospacing="1" w:line="240" w:lineRule="auto"/>
        <w:rPr>
          <w:rFonts w:ascii="Times New Roman" w:eastAsia="Times New Roman" w:hAnsi="Times New Roman" w:cs="Times New Roman"/>
          <w:kern w:val="0"/>
          <w14:ligatures w14:val="none"/>
        </w:rPr>
      </w:pPr>
      <w:r w:rsidRPr="00393E34">
        <w:rPr>
          <w:rFonts w:ascii="Times New Roman" w:eastAsia="Times New Roman" w:hAnsi="Times New Roman" w:cs="Times New Roman"/>
          <w:kern w:val="0"/>
          <w14:ligatures w14:val="none"/>
        </w:rPr>
        <w:t xml:space="preserve">Current approaches to evaluating LLM capabilities focus primarily on linguistic fluency, factual accuracy, and reasoning within cooperative contexts. While these benchmarks capture important aspects of model performance, they provide little insight into strategic behavior under adversarial </w:t>
      </w:r>
      <w:r w:rsidRPr="00393E34">
        <w:rPr>
          <w:rFonts w:ascii="Times New Roman" w:eastAsia="Times New Roman" w:hAnsi="Times New Roman" w:cs="Times New Roman"/>
          <w:kern w:val="0"/>
          <w14:ligatures w14:val="none"/>
        </w:rPr>
        <w:lastRenderedPageBreak/>
        <w:t>conditions. The few existing studies of LLMs in game-theoretic settings have typically examined simple, single-shot interactions or focused on replicating human behavioral biases rather than identifying novel systematic patterns.</w:t>
      </w:r>
    </w:p>
    <w:p w14:paraId="7D31F983" w14:textId="77777777" w:rsidR="00393E34" w:rsidRPr="00393E34" w:rsidRDefault="00393E34" w:rsidP="00393E34">
      <w:pPr>
        <w:spacing w:before="100" w:beforeAutospacing="1" w:after="100" w:afterAutospacing="1" w:line="240" w:lineRule="auto"/>
        <w:rPr>
          <w:rFonts w:ascii="Times New Roman" w:eastAsia="Times New Roman" w:hAnsi="Times New Roman" w:cs="Times New Roman"/>
          <w:kern w:val="0"/>
          <w14:ligatures w14:val="none"/>
        </w:rPr>
      </w:pPr>
      <w:r w:rsidRPr="00393E34">
        <w:rPr>
          <w:rFonts w:ascii="Times New Roman" w:eastAsia="Times New Roman" w:hAnsi="Times New Roman" w:cs="Times New Roman"/>
          <w:kern w:val="0"/>
          <w14:ligatures w14:val="none"/>
        </w:rPr>
        <w:t>Whether LLMs inherit these academic framing biases when deployed in strategic contexts remains unexplored. If LLMs are trained on academic corpora that systematically present certain perspectives more frequently than others, they may internalize these disciplinary biases and reproduce them in strategic interactions. We conduct a comprehensive experimental study embedding pairs of LLMs in newsvendor bargaining games, where one agent acts as buyer and another as supplier, negotiating wholesale prices. Using 8,000 simulated negotiations across 10 different models and four metacognitive conditions—00 (no reflection), 01 (supplier-only reflection), 10 (buyer-only reflection), and 11 (bilateral reflection)—we test whether LLMs exhibit systematic role asymmetries and how reflection-based prompting affects outcomes.</w:t>
      </w:r>
    </w:p>
    <w:p w14:paraId="013E172C" w14:textId="77777777" w:rsidR="00393E34" w:rsidRPr="00393E34" w:rsidRDefault="00393E34" w:rsidP="00393E34">
      <w:pPr>
        <w:spacing w:before="100" w:beforeAutospacing="1" w:after="100" w:afterAutospacing="1" w:line="240" w:lineRule="auto"/>
        <w:rPr>
          <w:rFonts w:ascii="Times New Roman" w:eastAsia="Times New Roman" w:hAnsi="Times New Roman" w:cs="Times New Roman"/>
          <w:kern w:val="0"/>
          <w14:ligatures w14:val="none"/>
        </w:rPr>
      </w:pPr>
      <w:r w:rsidRPr="00393E34">
        <w:rPr>
          <w:rFonts w:ascii="Times New Roman" w:eastAsia="Times New Roman" w:hAnsi="Times New Roman" w:cs="Times New Roman"/>
          <w:kern w:val="0"/>
          <w14:ligatures w14:val="none"/>
        </w:rPr>
        <w:t>We discover a robust $14.25 systematic buyer advantage that persists across all models and conditions, affecting 85% of negotiations. This bias stems from literature asymmetry: LLMs inherit buyer-centric heuristics from operations research training data while lacking equivalent supplier-focused strategic knowledge. Counterintuitively, reflection amplifies rather than corrects these biases, suggesting that current metacognitive interventions may be insufficient for strategic contexts. As we stand on the threshold of widespread AI automation in economic domains, understanding and addressing these systematic biases becomes not just scientifically interesting but practically essential for maintaining fair and efficient markets.</w:t>
      </w:r>
    </w:p>
    <w:p w14:paraId="43F20EC3" w14:textId="77777777" w:rsidR="00452260" w:rsidRPr="00452260" w:rsidRDefault="00452260" w:rsidP="004522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2260">
        <w:rPr>
          <w:rFonts w:ascii="Times New Roman" w:eastAsia="Times New Roman" w:hAnsi="Times New Roman" w:cs="Times New Roman"/>
          <w:b/>
          <w:bCs/>
          <w:kern w:val="0"/>
          <w:sz w:val="36"/>
          <w:szCs w:val="36"/>
          <w14:ligatures w14:val="none"/>
        </w:rPr>
        <w:t>2 Theoretical Framework and Hypotheses</w:t>
      </w:r>
    </w:p>
    <w:p w14:paraId="382D1499"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2.1 Strategic Negotiation in LLMs and the Emergence of Economic Agency</w:t>
      </w:r>
    </w:p>
    <w:p w14:paraId="347C0F8B"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As large language models become increasingly embedded in autonomous decision-making systems, their capacity to engage in strategic negotiation has emerged as a key research frontier. Recent work has demonstrated that LLMs can exhibit strategic behavior in various game-theoretic settings, though with mixed results regarding their sophistication and rationality. Akata et al. (2023) show that LLMs struggle to consistently select optimal strategies even in simple 2×2 matrix games, frequently failing to choose rational actions in coordination games like Battle of the Sexes. Similarly, strategic behavior across different game structures varies significantly between models, with factors like contextual framing playing crucial roles in decision-making (Lorè &amp; Heydari, 2024).</w:t>
      </w:r>
    </w:p>
    <w:p w14:paraId="166D18CC"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Economic negotiation—especially in resource-constrained, asymmetric-information settings—serves as a particularly strong proxy for broader economic reasoning and agent rationality. The newsvendor framework provides a canonical setting for testing strategic behavior under uncertainty. Unlike traditional AI agents trained through reinforcement learning or explicit equilibrium modeling, LLMs negotiate through emergent behavior grounded in pretraining corpora and prompt structure. This raises fundamental questions about the reliability, predictability, and bias of their negotiated outcomes when placed in adversarial roles.</w:t>
      </w:r>
    </w:p>
    <w:p w14:paraId="725D00A8"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lastRenderedPageBreak/>
        <w:t>Recent systematic evaluations using game-theoretic benchmarks have revealed that LLMs often exhibit suboptimal strategic reasoning, with performance varying dramatically based on problem framing and context (Duan et al., 2024). This suggests that strategic reasoning may represent a particular challenge for current model architectures, separate from their demonstrated competence in linguistic and logical reasoning tasks.</w:t>
      </w:r>
    </w:p>
    <w:p w14:paraId="74EF0FDC"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2.2 Literature Asymmetry and Academic Perspective Bias</w:t>
      </w:r>
    </w:p>
    <w:p w14:paraId="12405B3E"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The newsvendor problem exemplifies how academic literature can embed systematic perspective biases. Operations research approaches this canonical problem primarily from the buyer's viewpoint: given uncertain demand, how should a retailer optimize order quantities to balance inventory costs against stockouts? Classic formulations focus on the newsvendor's decision problem—the buyer's problem (Arrow, 1951). The canonical formulation asks how much inventory to order given demand uncertainty, inherently adopting the perspective of the entity making purchasing decisions.</w:t>
      </w:r>
    </w:p>
    <w:p w14:paraId="49F917CA"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Supplier strategic problems, by contrast, are predominantly addressed in marketing literature. Questions of pricing strategy, capacity allocation, and supplier negotiation tactics appear in different academic domains with different theoretical frameworks and solution approaches. Marketing research focuses on how suppliers should set prices, allocate production capacity, and structure contracts to maximize profitability. This creates what we term </w:t>
      </w:r>
      <w:r w:rsidRPr="00452260">
        <w:rPr>
          <w:rFonts w:ascii="Times New Roman" w:eastAsia="Times New Roman" w:hAnsi="Times New Roman" w:cs="Times New Roman"/>
          <w:b/>
          <w:bCs/>
          <w:kern w:val="0"/>
          <w14:ligatures w14:val="none"/>
        </w:rPr>
        <w:t>literature asymmetry</w:t>
      </w:r>
      <w:r w:rsidRPr="00452260">
        <w:rPr>
          <w:rFonts w:ascii="Times New Roman" w:eastAsia="Times New Roman" w:hAnsi="Times New Roman" w:cs="Times New Roman"/>
          <w:kern w:val="0"/>
          <w14:ligatures w14:val="none"/>
        </w:rPr>
        <w:t>: fundamental business problems are approached from systematically different perspectives across academic disciplines.</w:t>
      </w:r>
    </w:p>
    <w:p w14:paraId="7412780C"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Large language models inherit these biases through their training process. </w:t>
      </w:r>
      <w:r w:rsidRPr="00452260">
        <w:rPr>
          <w:rFonts w:ascii="Times New Roman" w:eastAsia="Times New Roman" w:hAnsi="Times New Roman" w:cs="Times New Roman"/>
          <w:b/>
          <w:bCs/>
          <w:kern w:val="0"/>
          <w14:ligatures w14:val="none"/>
        </w:rPr>
        <w:t>Architectural priors</w:t>
      </w:r>
      <w:r w:rsidRPr="00452260">
        <w:rPr>
          <w:rFonts w:ascii="Times New Roman" w:eastAsia="Times New Roman" w:hAnsi="Times New Roman" w:cs="Times New Roman"/>
          <w:kern w:val="0"/>
          <w14:ligatures w14:val="none"/>
        </w:rPr>
        <w:t xml:space="preserve"> refer to systematic tendencies embedded in model weights through training data composition and objective functions (Bommasani et al., 2021). When academic literature systematically presents problems from particular perspectives, models trained on these corpora internalize those viewpoints as more natural or normative. </w:t>
      </w:r>
      <w:r w:rsidRPr="00452260">
        <w:rPr>
          <w:rFonts w:ascii="Times New Roman" w:eastAsia="Times New Roman" w:hAnsi="Times New Roman" w:cs="Times New Roman"/>
          <w:b/>
          <w:bCs/>
          <w:kern w:val="0"/>
          <w14:ligatures w14:val="none"/>
        </w:rPr>
        <w:t>Token-level training biases</w:t>
      </w:r>
      <w:r w:rsidRPr="00452260">
        <w:rPr>
          <w:rFonts w:ascii="Times New Roman" w:eastAsia="Times New Roman" w:hAnsi="Times New Roman" w:cs="Times New Roman"/>
          <w:kern w:val="0"/>
          <w14:ligatures w14:val="none"/>
        </w:rPr>
        <w:t xml:space="preserve"> emerge when certain perspectives appear more frequently in training corpora, leading models to internalize those viewpoints as more correct or appropriate (Bender et al., 2021).</w:t>
      </w:r>
    </w:p>
    <w:p w14:paraId="03945222"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Given that LLMs are trained on vast academic corpora including operations research literature, they likely internalize buyer-centric newsvendor heuristics while having limited exposure to supplier-focused strategic frameworks. The asymmetric representation of perspectives in academic literature should manifest as systematic preferences when LLMs are placed in strategic roles.</w:t>
      </w:r>
    </w:p>
    <w:p w14:paraId="6C1F99DF"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b/>
          <w:bCs/>
          <w:kern w:val="0"/>
          <w14:ligatures w14:val="none"/>
        </w:rPr>
        <w:t>H1 (Literature Asymmetry Hypothesis):</w:t>
      </w:r>
      <w:r w:rsidRPr="00452260">
        <w:rPr>
          <w:rFonts w:ascii="Times New Roman" w:eastAsia="Times New Roman" w:hAnsi="Times New Roman" w:cs="Times New Roman"/>
          <w:kern w:val="0"/>
          <w14:ligatures w14:val="none"/>
        </w:rPr>
        <w:t xml:space="preserve"> LLMs will systematically favor the buyer role due to inherited buyer-centric heuristics from operations research literature, producing negotiated prices below the Nash-optimal wholesale price of $65.</w:t>
      </w:r>
    </w:p>
    <w:p w14:paraId="135EF0B5"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This hypothesis stems from observed tendencies in LLMs toward conservative estimation, anchoring on moderate prices, and potential internalization of buyer-centric training narratives. Contextual framing significantly influences LLM decision-making, with models showing substantial sensitivity to how problems are presented (Lorè &amp; Heydari, 2024). Such factors may </w:t>
      </w:r>
      <w:r w:rsidRPr="00452260">
        <w:rPr>
          <w:rFonts w:ascii="Times New Roman" w:eastAsia="Times New Roman" w:hAnsi="Times New Roman" w:cs="Times New Roman"/>
          <w:kern w:val="0"/>
          <w14:ligatures w14:val="none"/>
        </w:rPr>
        <w:lastRenderedPageBreak/>
        <w:t>combine to create a persistent structural bias—even when the underlying payoff matrices are symmetric.</w:t>
      </w:r>
    </w:p>
    <w:p w14:paraId="3C450A6C"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2.3 Computational Reflection as Meta-Cognitive Intervention</w:t>
      </w:r>
    </w:p>
    <w:p w14:paraId="3FADB3B1"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Reflection, in both cognitive psychology and human-AI collaboration literature, has been shown to enhance decision quality by enabling second-order reasoning (Larrick, 2004; Kruger &amp; Dunning, 1999). For LLMs, reflection-based prompting and chain-of-thought reasoning have emerged as powerful techniques for improving performance across various tasks. Recent work has demonstrated benefits in mathematical reasoning and strategic thinking through structured metacognitive interventions (Wei et al., 2022; Madaan et al., 2023).</w:t>
      </w:r>
    </w:p>
    <w:p w14:paraId="05D35AB5"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We examine four metacognitive conditions to isolate the effects of structured reasoning on strategic bias. The baseline condition (00) provides no reflection prompts, while three experimental conditions provide structured metacognitive prompting to suppliers only (01), buyers only (10), or both parties simultaneously (11). When reflection is enabled, the acting agent receives a private metacognitive prompt immediately before composing their response, including state summary, strategic analysis of inferred opponent valuation, tactical guidance, and constraint reminders.</w:t>
      </w:r>
    </w:p>
    <w:p w14:paraId="184B7739"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In strategic contexts, researchers have developed techniques like Recursive Contemplation (ReCon) that prompt LLMs to engage in first-order and second-order perspective-taking, helping them avoid common pitfalls in multi-agent scenarios (Wang et al., 2023). Zhang et al. (2024) advance LLM reasoning through k-level rationality, which enhances multi-level thinking and significantly increases win rates in competitive settings. However, in adversarial negotiation settings, reflection's effects may diverge: agents may use metacognitive reasoning to exploit weaknesses or entrench strategic stances rather than converge toward normative equilibrium.</w:t>
      </w:r>
    </w:p>
    <w:p w14:paraId="2229724B"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b/>
          <w:bCs/>
          <w:kern w:val="0"/>
          <w14:ligatures w14:val="none"/>
        </w:rPr>
        <w:t>H2 (Reflection Effects):</w:t>
      </w:r>
      <w:r w:rsidRPr="00452260">
        <w:rPr>
          <w:rFonts w:ascii="Times New Roman" w:eastAsia="Times New Roman" w:hAnsi="Times New Roman" w:cs="Times New Roman"/>
          <w:kern w:val="0"/>
          <w14:ligatures w14:val="none"/>
        </w:rPr>
        <w:t xml:space="preserve"> Prompting agents to reflect will significantly alter negotiated outcomes relative to baseline, but the effect will differ by reflection condition.</w:t>
      </w:r>
    </w:p>
    <w:p w14:paraId="2B125DA5"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Specifically, we anticipate that buyer-only reflection (H2a) will increase buyer advantage by enabling more assertive anchoring and tactical reasoning, supplier-only reflection (H2b) will reduce buyer advantage by improving defensive concession strategies, and bilateral reflection (H2c) will moderate but not eliminate role asymmetry through mutual strategic sophistication.</w:t>
      </w:r>
    </w:p>
    <w:p w14:paraId="7A9F57D5"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Recent empirical work suggests that reflection may not always promote normative reasoning, but rather reinforce role-consistent behavior, particularly when agents are prompted to consider their strategic position (Uesato et al., 2023). This aligns with findings that metacognitive interventions can sometimes amplify rather than correct systematic biases.</w:t>
      </w:r>
    </w:p>
    <w:p w14:paraId="4DF97EDD"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2.4 Model Capability and Strategic Performance</w:t>
      </w:r>
    </w:p>
    <w:p w14:paraId="7784C11E"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Prior research suggests that larger models often outperform smaller ones on standard NLP benchmarks, but it remains unclear whether this pattern extends to adversarial economic games where strategic sophistication matters more than linguistic fluency. In matrix games and other </w:t>
      </w:r>
      <w:r w:rsidRPr="00452260">
        <w:rPr>
          <w:rFonts w:ascii="Times New Roman" w:eastAsia="Times New Roman" w:hAnsi="Times New Roman" w:cs="Times New Roman"/>
          <w:kern w:val="0"/>
          <w14:ligatures w14:val="none"/>
        </w:rPr>
        <w:lastRenderedPageBreak/>
        <w:t>strategic settings, model scale has not consistently translated to improved strategic reasoning capabilities (Akata et al., 2023; Herr et al., 2024).</w:t>
      </w:r>
    </w:p>
    <w:p w14:paraId="3AF19E20"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Recent evidence suggests that small models can achieve sophisticated reasoning capabilities across various domains (Srivastava et al., 2025). However, strategic reasoning may present different challenges than logical reasoning. In negotiation contexts, where utility optimization and tactical reasoning matter more than fluent generation, increased model capacity may not translate to more rational pricing behavior. Traditional economic models assume rational agents, but LLMs may exhibit systematic deviations from rationality that persist across scale.</w:t>
      </w:r>
    </w:p>
    <w:p w14:paraId="624BFFA0"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If strategic biases stem from literature asymmetry rather than insufficient capacity, model scale should have minimal effect on correcting systematic preferences. The buyer-centric training data problem affects all models regardless of size, since all models are trained on similar academic corpora with similar perspective biases.</w:t>
      </w:r>
    </w:p>
    <w:p w14:paraId="189A7A57"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b/>
          <w:bCs/>
          <w:kern w:val="0"/>
          <w14:ligatures w14:val="none"/>
        </w:rPr>
        <w:t>H3 (Model Scale Limitations):</w:t>
      </w:r>
      <w:r w:rsidRPr="00452260">
        <w:rPr>
          <w:rFonts w:ascii="Times New Roman" w:eastAsia="Times New Roman" w:hAnsi="Times New Roman" w:cs="Times New Roman"/>
          <w:kern w:val="0"/>
          <w14:ligatures w14:val="none"/>
        </w:rPr>
        <w:t xml:space="preserve"> Model tier (i.e., size and capability) will have a statistically significant but practically small effect on negotiated price outcomes.</w:t>
      </w:r>
    </w:p>
    <w:p w14:paraId="79540D94"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We expect that while larger models may be slightly more stable or coherent in pricing decisions, biases in pretraining data and prompt sensitivity will override scale-driven advantages in this particular task domain. Current evidence suggests that strategic reasoning limitations in LLMs stem from fundamental architectural constraints rather than simply insufficient scale (Zhao et al., 2023).</w:t>
      </w:r>
    </w:p>
    <w:p w14:paraId="2899ECE4"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2.5 Interaction Effects Between Reflection and Model Tier</w:t>
      </w:r>
    </w:p>
    <w:p w14:paraId="34219F8D"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Finally, we theorize that reflection may interact with model capability, especially among smaller models. Less capable models may benefit more from structured reasoning scaffolds like reflection prompting, while larger models may already engage in more sophisticated implicit reasoning during decoding. This suggests that the marginal benefit of metacognitive interventions may decline with model scale.</w:t>
      </w:r>
    </w:p>
    <w:p w14:paraId="08F2AAF5"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b/>
          <w:bCs/>
          <w:kern w:val="0"/>
          <w14:ligatures w14:val="none"/>
        </w:rPr>
        <w:t>H4 (Interaction Effect):</w:t>
      </w:r>
      <w:r w:rsidRPr="00452260">
        <w:rPr>
          <w:rFonts w:ascii="Times New Roman" w:eastAsia="Times New Roman" w:hAnsi="Times New Roman" w:cs="Times New Roman"/>
          <w:kern w:val="0"/>
          <w14:ligatures w14:val="none"/>
        </w:rPr>
        <w:t xml:space="preserve"> Reflection and model tier will exhibit significant interaction effects, with compact models showing greater variance across reflection conditions than premium models.</w:t>
      </w:r>
    </w:p>
    <w:p w14:paraId="60953E76"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This hypothesis builds on theories of scaffolding in cognitive systems (Vygotsky, 1978) and recent studies showing that prompting structure disproportionately benefits smaller models (Schick &amp; Schütze, 2021). However, if biases stem from training data rather than reasoning capacity, even sophisticated reflection may fail to correct systematic preferences across all model tiers.</w:t>
      </w:r>
    </w:p>
    <w:p w14:paraId="588A1D51" w14:textId="77777777" w:rsidR="00452260" w:rsidRPr="00452260" w:rsidRDefault="00452260" w:rsidP="004522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2260">
        <w:rPr>
          <w:rFonts w:ascii="Times New Roman" w:eastAsia="Times New Roman" w:hAnsi="Times New Roman" w:cs="Times New Roman"/>
          <w:b/>
          <w:bCs/>
          <w:kern w:val="0"/>
          <w:sz w:val="36"/>
          <w:szCs w:val="36"/>
          <w14:ligatures w14:val="none"/>
        </w:rPr>
        <w:t>3 Methods</w:t>
      </w:r>
    </w:p>
    <w:p w14:paraId="45938E35"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3.1 Experimental Design and Power Analysis</w:t>
      </w:r>
    </w:p>
    <w:p w14:paraId="48C362AB"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lastRenderedPageBreak/>
        <w:t>We conducted a large-scale simulation study using a fully crossed 10 × 10 × 4 factorial design with random assignment of model pairs to reflection conditions. Ten distinct LLM architectures served as both buyers and suppliers, yielding 100 unique model pairings, including both cross-model negotiations and self-pairings where identical models negotiated against themselves. Each pairing was randomly assigned to one of four reflection conditions—00 (no reflection), 01 (supplier-only reflection), 10 (buyer-only reflection), or 11 (bilateral reflection)—with 20 replications per cell, resulting in 8,000 total negotiation episodes.</w:t>
      </w:r>
    </w:p>
    <w:p w14:paraId="0AAD04AE"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The randomization protocol ensured orthogonal assignment of model pairs to reflection conditions while controlling for potential confounding between model capabilities and reflection conditions. Within each negotiation, buyer and supplier roles were randomly assigned to prevent systematic differences in model behavior by position. Power analysis using G*Power 3.1 indicated that this sample size provides &gt;99% statistical power (α = 0.05) to detect small-to-medium effect sizes (Cohen's f = 0.15) in our primary ANOVA models. The balanced factorial design ensures orthogonal contrasts and equal cell sizes, maximizing statistical efficiency.</w:t>
      </w:r>
    </w:p>
    <w:p w14:paraId="2A99306C"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3.2 Theoretical Framework: The Newsvendor Bargaining Game</w:t>
      </w:r>
    </w:p>
    <w:p w14:paraId="51E37554"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Our experimental paradigm adapts the canonical newsvendor model to bilateral negotiation. Each episode involves a buyer and supplier negotiating the wholesale price for a single product with the following economic parameters: retail price of $100 (fixed), production cost of $30 (supplier's marginal cost), demand distribution of N(μ = 40, σ = 10) units, and Nash-optimal price of $65 (maximizing joint expected profit).</w:t>
      </w:r>
    </w:p>
    <w:p w14:paraId="1E18E60B"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The buyer's expected profit function is π_buyer = (P_retail - P_wholesale) × E[min(Q, D)], while the supplier's expected profit function is π_supplier = (P_wholesale - C) × E[Q], where Q represents the quantity ordered and D represents stochastic demand. Given symmetric risk preferences and the specified parameters, the Nash equilibrium wholesale price that maximizes joint surplus is $65, providing equal expected margins ($35) to both parties.</w:t>
      </w:r>
    </w:p>
    <w:p w14:paraId="3C3DF542"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3.3 Agent Architecture and Behavioral Constraints</w:t>
      </w:r>
    </w:p>
    <w:p w14:paraId="2FF6C6D6"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Buyer agents were instructed to maximize expected downstream profit under the following constraints: objective function to maximize (100 - P_wholesale) × E[min(Q, D)], target price of $65 (Nash-optimal, provided as reference point), acceptable range of $30-$80 (BATNA constraints), standardized communication protocol using templates like "I offer $X" or "I accept $X", response length maximum of 15 words to control for linguistic variation, and private information including retail price ($100) and demand distribution parameters.</w:t>
      </w:r>
    </w:p>
    <w:p w14:paraId="2936BBC3"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Supplier agents operated under symmetric constraints: objective function to maximize (P_wholesale - 30) × E[Q], target price of $65 (Nash-optimal, symmetric with buyer), acceptable range of $45-$85 (ensuring positive margins), standardized communication protocol using templates like "I want $X" or "I accept $X", response length maximum of 15 words (identical to buyer constraint), and private information including production cost ($30) and capacity limits.</w:t>
      </w:r>
    </w:p>
    <w:p w14:paraId="33CDEE46"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lastRenderedPageBreak/>
        <w:t>Each negotiation proceeded through a structured protocol where the buyer always initiates the negotiation to reflect real-world procurement practices where buyers typically approach suppliers with initial requests. The turn sequence involved strict alternation between buyer and supplier offers, with each agent able to either propose a numeric price or accept the opponent's most recent offer. Termination conditions included agreement reached (one party accepts), maximum 10 rounds exceeded (failure), or invalid response detected (technical failure). Agents observed full negotiation history but not opponent's private parameters.</w:t>
      </w:r>
    </w:p>
    <w:p w14:paraId="7E3AC360"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3.4 Reflection Intervention Design</w:t>
      </w:r>
    </w:p>
    <w:p w14:paraId="2F6632D0"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When reflection was enabled, the acting agent received a private &lt;think&gt;...&lt;/think&gt; block immediately before composing their response. This metacognitive prompt included state summary of current negotiation history and round number, strategic analysis with inferred opponent valuation based on observed offers, tactical guidance with context-appropriate strategic suggestions, and constraint reminder of acceptable price ranges and objectives.</w:t>
      </w:r>
    </w:p>
    <w:p w14:paraId="7EB80F7B"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The four reflection conditions systematically varied metacognitive access. The baseline condition (00) provided agents only with negotiation history and role instructions. The experimental conditions provided structured reflection prompts to suppliers only (01), buyers only (10), or both agents simultaneously (11). Critically, reflection content was never shared between agents, maintaining information asymmetry while isolating the cognitive effects of metacognitive reasoning.</w:t>
      </w:r>
    </w:p>
    <w:p w14:paraId="7636CB2E"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3.5 Model Selection and Tier Classification</w:t>
      </w:r>
    </w:p>
    <w:p w14:paraId="2F1D9A53"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We selected ten representative LLMs spanning diverse architectures, parameter scales, and access modalities. The ultra-compact tier (≤2B parameters) included Qwen2-1.5B-Chat and Gemma2-2B. The compact tier (2-4B parameters) included Phi3-Mini-3.8B and Llama3.2-3B. The mid-range tier (4-8B parameters) included Mistral-7B-Instruct and Qwen-7B. The large tier included verbose models like Qwen3-Latest with large context and high chattiness. The premium tier included API models: Claude-3.5-Sonnet (via AWS Bedrock), GPT-O3-Mini (via Azure OpenAI), and Grok-3-Mini (via Azure AI Services).</w:t>
      </w:r>
    </w:p>
    <w:p w14:paraId="1DB62A50"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All models received identical system and user prompts, with only reflection conditions varying. The system prompt template specified role (buyer/supplier), objective (role-specific profit maximization instructions), constraints (price ranges, communication format), and private information (role-specific parameters). Agents were required to respond with exactly one of "I offer $[price]" or "I accept $[price]".</w:t>
      </w:r>
    </w:p>
    <w:p w14:paraId="7081EF77"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3.6 Outcome Measurement and Validation</w:t>
      </w:r>
    </w:p>
    <w:p w14:paraId="43CC8F1B"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Primary outcome variables included final agreed price (P_final, the wholesale price at settlement or null if no agreement), buyer advantage calculated as (100 - P_final) - 35 measuring deviation from equal surplus split, agreement success (binary indicator of settlement within 10 rounds), price efficiency measured as |P_final - 65| indicating distance from Nash optimum, and negotiation length (number of rounds to settlement).</w:t>
      </w:r>
    </w:p>
    <w:p w14:paraId="199AE7C9"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lastRenderedPageBreak/>
        <w:t>Secondary measures captured computational cost (total tokens consumed per negotiation), response validity (proportion of well-formed offers per agent), convergence patterns (round-by-round price movements), and strategic consistency (alignment between offers and stated objectives).</w:t>
      </w:r>
    </w:p>
    <w:p w14:paraId="66BACFDA"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Data validation employed a two-stage parsing system using regex patterns for standard expressions to identify numeric offers and LLM fallback with GPT-4 semantic parsing for malformed responses. Agreement detection used semantic validation to distinguish genuine acceptance from echo responses (repeating opponent's offer without commitment), conditional acceptances ("I accept if..."), and ambiguous statements requiring clarification.</w:t>
      </w:r>
    </w:p>
    <w:p w14:paraId="27C4C320"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Episodes were excluded for technical failures (API timeouts, malformed responses), agents violating communication protocols (&gt;15 words, wrong format), semantic parsing failing to extract valid offers, or obvious model degradation (repetitive loops, nonsensical responses). The final dataset included 7,444 valid negotiations after exclusions, representing a 92.9% retention rate.</w:t>
      </w:r>
    </w:p>
    <w:p w14:paraId="427E6FCD"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3.7 Statistical Analysis Plan</w:t>
      </w:r>
    </w:p>
    <w:p w14:paraId="0793E8C3"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Primary analyses included role asymmetry test using one-sample t-test on buyer advantage (H₀: μ = 0), reflection effects using one-way ANOVA with post-hoc Tukey tests, model tier effects using one-way ANOVA with planned contrasts, and interaction analysis using two-way ANOVA (Reflection × Tier).</w:t>
      </w:r>
    </w:p>
    <w:p w14:paraId="505539C9"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Robustness checks included non-parametric validation using Wilcoxon signed-rank and Kruskal-Wallis tests, bootstrap confidence intervals with 10,000-sample resampling for effect sizes, heteroscedasticity correction using White's robust standard errors, and outlier sensitivity using winsorized analyses (1% and 5% levels).</w:t>
      </w:r>
    </w:p>
    <w:p w14:paraId="7096AFA7"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Effect size reporting included Cohen's d for pairwise comparisons, eta-squared (η²) for omnibus tests, 95% confidence intervals for all effect estimates, and practical significance thresholds of |$2| for meaningful price differences. All analyses were conducted using Python 3.9+ with packages including pandas, numpy, scipy, statsmodels, scikit-learn, matplotlib, seaborn, and plotly for visualization.</w:t>
      </w:r>
    </w:p>
    <w:p w14:paraId="5FDD9F7D" w14:textId="77777777" w:rsidR="00452260" w:rsidRPr="00452260" w:rsidRDefault="00452260" w:rsidP="004522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2260">
        <w:rPr>
          <w:rFonts w:ascii="Times New Roman" w:eastAsia="Times New Roman" w:hAnsi="Times New Roman" w:cs="Times New Roman"/>
          <w:b/>
          <w:bCs/>
          <w:kern w:val="0"/>
          <w:sz w:val="36"/>
          <w:szCs w:val="36"/>
          <w14:ligatures w14:val="none"/>
        </w:rPr>
        <w:t>4 Analysis</w:t>
      </w:r>
    </w:p>
    <w:p w14:paraId="543C67FC"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4.1 Analytical Framework and Statistical Approach</w:t>
      </w:r>
    </w:p>
    <w:p w14:paraId="2C6E05C4"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We adopt a multi-layered analytical strategy that combines classical null-hypothesis testing with modern robustness checks. First, we evaluate buyer-supplier role asymmetry through a one-sample t-test (H₀: μ = 0) on the buyer-advantage distribution (n = 7,444). Next, we employ one-way and two-way ANOVA models to examine (a) the main effects of reflection mechanisms and model-tier capabilities, and (b) their interaction. Where assumptions of normality or homoskedasticity are violated (Shapiro-Wilk, Levene), we supplement inferences with Kruskal-Wallis tests and 10,000-sample non-parametric bootstraps. Effect sizes are reported as Cohen's d </w:t>
      </w:r>
      <w:r w:rsidRPr="00452260">
        <w:rPr>
          <w:rFonts w:ascii="Times New Roman" w:eastAsia="Times New Roman" w:hAnsi="Times New Roman" w:cs="Times New Roman"/>
          <w:kern w:val="0"/>
          <w14:ligatures w14:val="none"/>
        </w:rPr>
        <w:lastRenderedPageBreak/>
        <w:t>for pairwise contrasts and η² for omnibus tests. All tests use α = 0.05, with Bonferroni-corrected critical values for post-hoc comparisons.</w:t>
      </w:r>
    </w:p>
    <w:p w14:paraId="13DFF42B"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4.2 Evidence for Systematic Buyer Advantage</w:t>
      </w:r>
    </w:p>
    <w:p w14:paraId="11A6BF6F"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b/>
          <w:bCs/>
          <w:kern w:val="0"/>
          <w14:ligatures w14:val="none"/>
        </w:rPr>
        <w:t>H1 (Literature Asymmetry): STRONGLY SUPPORTED</w:t>
      </w:r>
    </w:p>
    <w:p w14:paraId="450AC670"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The data provide compelling evidence for systematic buyer advantage consistent with inherited academic bias. The mean buyer advantage is $14.25 (SD = 16.53), yielding t(7,443) = 74.37, p &lt; 0.001, Cohen's d = 0.86—indicating a large practical effect. The distribution histogram and summary panel show that 85% of negotiations favor buyers, while only 7.5% favor suppliers. A 10,000-draw bootstrap (95% CI = [13.9, 14.6]) corroborates this asymmetry, and a Wilcoxon signed-rank test reaches the same conclusion (p = 0.000).</w:t>
      </w:r>
    </w:p>
    <w:p w14:paraId="496B8A9B"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This systematic pattern across thousands of negotiations strongly supports the hypothesis that LLMs inherit buyer-centric heuristics from operations research literature. The effect size magnitude (Cohen's d = 0.86) represents a large practical effect that could significantly distort market outcomes if LLMs were deployed as autonomous economic agents.</w:t>
      </w:r>
    </w:p>
    <w:p w14:paraId="3DB146EF"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4.3 Impact of Reflection Mechanisms</w:t>
      </w:r>
    </w:p>
    <w:p w14:paraId="54FB0482"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b/>
          <w:bCs/>
          <w:kern w:val="0"/>
          <w14:ligatures w14:val="none"/>
        </w:rPr>
        <w:t>H2a (Buyer-only reflection amplifies bias): SUPPORTED</w:t>
      </w:r>
      <w:r w:rsidRPr="00452260">
        <w:rPr>
          <w:rFonts w:ascii="Times New Roman" w:eastAsia="Times New Roman" w:hAnsi="Times New Roman" w:cs="Times New Roman"/>
          <w:kern w:val="0"/>
          <w14:ligatures w14:val="none"/>
        </w:rPr>
        <w:t xml:space="preserve"> </w:t>
      </w:r>
      <w:r w:rsidRPr="00452260">
        <w:rPr>
          <w:rFonts w:ascii="Times New Roman" w:eastAsia="Times New Roman" w:hAnsi="Times New Roman" w:cs="Times New Roman"/>
          <w:b/>
          <w:bCs/>
          <w:kern w:val="0"/>
          <w14:ligatures w14:val="none"/>
        </w:rPr>
        <w:t>H2b (Supplier-only reflection reduces bias): SUPPORTED</w:t>
      </w:r>
      <w:r w:rsidRPr="00452260">
        <w:rPr>
          <w:rFonts w:ascii="Times New Roman" w:eastAsia="Times New Roman" w:hAnsi="Times New Roman" w:cs="Times New Roman"/>
          <w:kern w:val="0"/>
          <w14:ligatures w14:val="none"/>
        </w:rPr>
        <w:t xml:space="preserve"> </w:t>
      </w:r>
      <w:r w:rsidRPr="00452260">
        <w:rPr>
          <w:rFonts w:ascii="Times New Roman" w:eastAsia="Times New Roman" w:hAnsi="Times New Roman" w:cs="Times New Roman"/>
          <w:b/>
          <w:bCs/>
          <w:kern w:val="0"/>
          <w14:ligatures w14:val="none"/>
        </w:rPr>
        <w:t>H2c (Bilateral reflection moderates bias): PARTIALLY SUPPORTED</w:t>
      </w:r>
    </w:p>
    <w:p w14:paraId="3CE8C638"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One-way ANOVA reveals a significant but modest effect of reflection on agreed prices, F(3, 7,440) = 112.56, p &lt; 0.001, η² = 0.043. Post-hoc Tukey tests indicate that buyer-only reflection amplifies buyer advantage (Δ = +4.6, p &lt; 0.001), whereas supplier-only reflection attenuates it (Δ = -4.8, p &lt; 0.001). When both agents reflect, buyer advantage decreases relative to the baseline but remains statistically positive.</w:t>
      </w:r>
    </w:p>
    <w:p w14:paraId="490927C3"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These results demonstrate that reflection mechanisms operate as cognitive amplifiers rather than bias correctors. When only buyers engage in structured reasoning, their strategic advantage increases further. When only suppliers reflect, they partially compensate for their systematic disadvantage but cannot overcome the fundamental literature asymmetry. Even bilateral reflection fails to eliminate systematic biases, underscoring their robustness.</w:t>
      </w:r>
    </w:p>
    <w:p w14:paraId="7F47405F"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4.4 Model Capability Effects</w:t>
      </w:r>
    </w:p>
    <w:p w14:paraId="6B7D893A"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b/>
          <w:bCs/>
          <w:kern w:val="0"/>
          <w14:ligatures w14:val="none"/>
        </w:rPr>
        <w:t>H3 (Model scale minimal effect): SUPPORTED</w:t>
      </w:r>
    </w:p>
    <w:p w14:paraId="4A06548E"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Although model tier significantly influences price outcomes, the practical magnitude is negligible: one-way ANOVA on tier yields F(4, 7,439) = 22.97, p &lt; 0.001, η² = 0.006. Tier-level mean prices vary by less than $3—well below the $35 gap to the normative optimum ($65). This finding aligns with recent evidence that small models achieve sophisticated reasoning capabilities (Srivastava et al., 2025) but demonstrates that strategic reasoning presents distinct </w:t>
      </w:r>
      <w:r w:rsidRPr="00452260">
        <w:rPr>
          <w:rFonts w:ascii="Times New Roman" w:eastAsia="Times New Roman" w:hAnsi="Times New Roman" w:cs="Times New Roman"/>
          <w:kern w:val="0"/>
          <w14:ligatures w14:val="none"/>
        </w:rPr>
        <w:lastRenderedPageBreak/>
        <w:t>challenges. The persistence of literature asymmetry bias across model scales from 1.5 billion to frontier-scale parameters indicates that current scaling approaches do not address fundamental training data limitations.</w:t>
      </w:r>
    </w:p>
    <w:p w14:paraId="6FE6A75F"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4.5 Interaction of Reflection and Model Tier</w:t>
      </w:r>
    </w:p>
    <w:p w14:paraId="7EAFD4E7"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b/>
          <w:bCs/>
          <w:kern w:val="0"/>
          <w14:ligatures w14:val="none"/>
        </w:rPr>
        <w:t>H4 (Reflection-capability interaction): SUPPORTED</w:t>
      </w:r>
    </w:p>
    <w:p w14:paraId="3A87A99D"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A two-way ANOVA (Reflection × Tier) returns significant main effects for both factors and their interaction, F_interaction(12, 7,412) = 73.67, p &lt; 0.001, partial-η² = 0.014. The interaction plot shows that compact and ultra-compact models benefit most from buyer-only reflection, whereas large-tier suppliers gain disproportionate relief under supplier-only reflection. Nonetheless, no cell mean crosses the zero-advantage threshold—underscoring the robustness of buyer dominance across all conditions.</w:t>
      </w:r>
    </w:p>
    <w:p w14:paraId="0182C414"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4.6 Process Efficiency and Negotiation Quality</w:t>
      </w:r>
    </w:p>
    <w:p w14:paraId="10A8F727"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Negotiation length correlates weakly with price efficiency (r = 0.10, p &lt; 0.001). Efficiency scores improve under bilateral reflection despite modest token overhead (+14% on average). Buyer-only reflection trades efficiency for advantage: it reduces mean price by $4.6 yet increases variance and failure probability (+2 pp). These trade-offs demonstrate that metacognitive interventions can improve process quality while simultaneously amplifying strategic biases.</w:t>
      </w:r>
    </w:p>
    <w:p w14:paraId="3D1E5C60"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4.7 Robustness Checks</w:t>
      </w:r>
    </w:p>
    <w:p w14:paraId="50CA9F9C"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All inferential results survive (a) heteroskedasticity-robust standard errors, (b) winsorizing the top and bottom 1% of price outcomes, and (c) stratified bootstrap resampling by model family. Non-parametric Wilcoxon and Kruskal-Wallis statistics replicate parametric conclusions, confirming that departures from Gaussianity do not drive the findings. The systematic buyer advantage persists across every robustness check, demonstrating the fundamental nature of this bias.</w:t>
      </w:r>
    </w:p>
    <w:p w14:paraId="085A05E8" w14:textId="77777777" w:rsidR="00452260" w:rsidRPr="00452260" w:rsidRDefault="00452260" w:rsidP="004522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2260">
        <w:rPr>
          <w:rFonts w:ascii="Times New Roman" w:eastAsia="Times New Roman" w:hAnsi="Times New Roman" w:cs="Times New Roman"/>
          <w:b/>
          <w:bCs/>
          <w:kern w:val="0"/>
          <w:sz w:val="36"/>
          <w:szCs w:val="36"/>
          <w14:ligatures w14:val="none"/>
        </w:rPr>
        <w:t>5 Discussion</w:t>
      </w:r>
    </w:p>
    <w:p w14:paraId="00A14DC8"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5.1 Literature Asymmetry as a Source of AI Bias</w:t>
      </w:r>
    </w:p>
    <w:p w14:paraId="4731A37C"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Our findings reveal a systematic and robust buyer advantage in LLM negotiations, with agents consistently settling $14.25 below the Nash-optimal price. This asymmetry persists across model tiers, reflection conditions, and robustness checks, suggesting a fundamental architectural bias rather than a mere artifact of prompt design or model scale. The magnitude (Cohen's d = 0.86) represents a large practical effect that could significantly distort market outcomes if LLMs were deployed as autonomous economic agents.</w:t>
      </w:r>
    </w:p>
    <w:p w14:paraId="56599DDE"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The literature asymmetry mechanism provides a compelling explanation for this phenomenon. Operations research has historically approached the newsvendor problem from the buyer's </w:t>
      </w:r>
      <w:r w:rsidRPr="00452260">
        <w:rPr>
          <w:rFonts w:ascii="Times New Roman" w:eastAsia="Times New Roman" w:hAnsi="Times New Roman" w:cs="Times New Roman"/>
          <w:kern w:val="0"/>
          <w14:ligatures w14:val="none"/>
        </w:rPr>
        <w:lastRenderedPageBreak/>
        <w:t>perspective, focusing on optimal ordering decisions under demand uncertainty. The canonical formulations ask how much inventory to order given demand uncertainty, inherently adopting the perspective of the entity making purchasing decisions. Supplier strategic problems, by contrast, are predominantly addressed in marketing literature using different theoretical frameworks focused on pricing strategy, capacity allocation, and contract design.</w:t>
      </w:r>
    </w:p>
    <w:p w14:paraId="470A4070"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When LLMs are trained on academic corpora, they internalize these buyer-centric heuristics while having limited exposure to supplier-focused strategic knowledge. This creates systematic preferences that manifest as predictable biases in strategic interactions. The persistence of this bias across our 10-model ensemble—spanning parameter counts from 1.5B to frontier-scale systems—indicates that current training paradigms may systematically encode consumer-centric perspectives from academic literature.</w:t>
      </w:r>
    </w:p>
    <w:p w14:paraId="6F56ED04"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This finding has profound implications for AI deployment in economic contexts. If LLMs systematically favor certain negotiation positions due to inherited academic biases, they may introduce persistent market distortions that could accumulate over time. The effect size, representing 85% of negotiations, suggests this is not a minor calibration issue but a fundamental limitation of current training approaches that affects the vast majority of strategic interactions.</w:t>
      </w:r>
    </w:p>
    <w:p w14:paraId="74CF949B"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5.2 Reflection as Bias Amplifier Rather Than Corrector</w:t>
      </w:r>
    </w:p>
    <w:p w14:paraId="5A84FC90"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Contrary to widespread assumptions about metacognitive interventions, our results demonstrate that reflection-based prompting can amplify strategic biases rather than correct them. Buyer-only reflection increased buyer advantage by $4.6, while supplier-only reflection reduced it by $4.8—suggesting that reflection primarily strengthens role-consistent behavior rather than promoting normative rationality. Even bilateral reflection modestly improved price efficiency but failed to eliminate systematic asymmetries.</w:t>
      </w:r>
    </w:p>
    <w:p w14:paraId="3AD9FCB3"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This finding challenges the widespread adoption of reflection-based prompting in high-stakes applications. While metacognitive prompting has proven effective for improving reasoning in cooperative contexts (Wei et al., 2022; Madaan et al., 2023), strategic interactions appear to present fundamentally different challenges. Agents may use reflection to strengthen role-consistent strategic reasoning and exploit inherited advantages rather than converge toward normative equilibrium principles.</w:t>
      </w:r>
    </w:p>
    <w:p w14:paraId="57C03771"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The implications for practitioners are significant. Organizations deploying LLMs in adversarial settings should carefully consider whether metacognitive interventions serve their intended purpose or merely reinforce existing distortions. The fact that bilateral reflection only partially moderated biases suggests that current approaches to improving LLM reasoning may be insufficient for strategic contexts where competing interests are involved.</w:t>
      </w:r>
    </w:p>
    <w:p w14:paraId="041BD0C8"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5.3 Model Scale and Strategic Reasoning</w:t>
      </w:r>
    </w:p>
    <w:p w14:paraId="3A253D42"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The minimal impact of model tier (η² = 0.006) on negotiation outcomes contradicts common assumptions that larger models necessarily exhibit superior strategic reasoning. Despite vast differences in parameter count and training compute, tier-level price variations remained below </w:t>
      </w:r>
      <w:r w:rsidRPr="00452260">
        <w:rPr>
          <w:rFonts w:ascii="Times New Roman" w:eastAsia="Times New Roman" w:hAnsi="Times New Roman" w:cs="Times New Roman"/>
          <w:kern w:val="0"/>
          <w14:ligatures w14:val="none"/>
        </w:rPr>
        <w:lastRenderedPageBreak/>
        <w:t>$3—negligible compared to the $35 deviation from optimality. This finding aligns with recent evidence that small models can achieve sophisticated reasoning capabilities (Srivastava et al., 2025) but demonstrates that strategic reasoning presents distinct challenges from logical reasoning.</w:t>
      </w:r>
    </w:p>
    <w:p w14:paraId="41ABD415"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Current scaling laws focus primarily on increasing model size and training data volume while maintaining similar data composition and training objectives. Our findings indicate that strategic reasoning may require fundamentally different approaches that explicitly address perspective bias in training corpora. The literature asymmetry problem affects all models regardless of size, since all models are trained on similar academic corpora with similar perspective biases embedded in the foundational literature.</w:t>
      </w:r>
    </w:p>
    <w:p w14:paraId="77F411ED"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This suggests that simply scaling existing approaches may not address fundamental limitations in strategic reasoning. While larger models excel at linguistic fluency and factual recall, they appear equally susceptible to systematic biases inherited from training data. Future research should investigate whether alternative training objectives, architectural innovations, or explicit bias correction techniques can better align model behavior with normative economic principles.</w:t>
      </w:r>
    </w:p>
    <w:p w14:paraId="6960AB4E"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5.4 Implications for AI Safety and Alignment</w:t>
      </w:r>
    </w:p>
    <w:p w14:paraId="3C98B311"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These results contribute to growing concerns about value alignment in AI systems, demonstrating that seemingly neutral systems can exhibit predictable strategic biases inherited from training data. If LLMs internalize human preferences and academic perspectives from training corpora that systematically represent certain viewpoints more frequently than others, they may exhibit systematic preferences when deployed in roles where neutrality is assumed.</w:t>
      </w:r>
    </w:p>
    <w:p w14:paraId="491A63F3"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The persistence of these biases across reflection interventions and model scales suggests that current approaches to AI alignment may be insufficient for strategic contexts. Traditional alignment research focuses primarily on ensuring that AI systems pursue intended objectives, but our findings reveal that the problem may be more fundamental: AI systems may inherit systematic biases about what constitutes appropriate behavior in strategic interactions.</w:t>
      </w:r>
    </w:p>
    <w:p w14:paraId="147933C7"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This has important implications for the deployment of AI systems in economic roles and broader questions about AI governance. As LLMs become increasingly integrated into economic decision-making—from automated trading to contract negotiation—understanding and mitigating their systematic biases becomes crucial for maintaining market efficiency and fairness. The magnitude and persistence of the buyer advantage documented here suggests that these are not minor calibration issues but fundamental characteristics that could shape economic outcomes at scale.</w:t>
      </w:r>
    </w:p>
    <w:p w14:paraId="08C40C3F"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5.5 Limitations and Boundary Conditions</w:t>
      </w:r>
    </w:p>
    <w:p w14:paraId="64169424"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Several limitations constrain the generalizability of our findings. First, the newsvendor framework, while canonical, represents only one class of negotiation problem. Biases observed here may not extend to multi-issue bargaining, repeated interactions, or markets with different payoff structures. The bilateral negotiation setting with symmetric information may not capture </w:t>
      </w:r>
      <w:r w:rsidRPr="00452260">
        <w:rPr>
          <w:rFonts w:ascii="Times New Roman" w:eastAsia="Times New Roman" w:hAnsi="Times New Roman" w:cs="Times New Roman"/>
          <w:kern w:val="0"/>
          <w14:ligatures w14:val="none"/>
        </w:rPr>
        <w:lastRenderedPageBreak/>
        <w:t>the complexity of real-world strategic interactions involving multiple parties, private information, and dynamic relationships.</w:t>
      </w:r>
    </w:p>
    <w:p w14:paraId="513E1F50"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Second, our 15-word response constraint, while controlling for stylistic variation, may have artificially constrained strategic communication. Real-world negotiations often involve elaborate justifications, emotional appeals, and complex information exchange that could alter LLM behavior. The standardized communication templates may have limited agents' ability to engage in sophisticated persuasion or relationship-building strategies.</w:t>
      </w:r>
    </w:p>
    <w:p w14:paraId="57443207"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Third, all models were prompted in English using Western negotiation frames. Cultural and linguistic variations in training data could produce different biases in non-English contexts or alternative cultural frameworks for understanding buyer-seller relationships. The operations research literature bias identified here may be specific to Western academic traditions and may not generalize to other cultural contexts.</w:t>
      </w:r>
    </w:p>
    <w:p w14:paraId="6E401AF2"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Finally, our reflection prompts followed a standardized template designed to provide strategic guidance while maintaining experimental control. More sophisticated metacognitive interventions—such as adversarial prompting, multi-step reasoning chains, or explicit opponent modeling—might yield different results. The specific format and content of reflection prompts could significantly influence their effectiveness in correcting or amplifying strategic biases.</w:t>
      </w:r>
    </w:p>
    <w:p w14:paraId="2C569F0A" w14:textId="77777777" w:rsidR="00452260" w:rsidRPr="00452260" w:rsidRDefault="00452260" w:rsidP="004522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2260">
        <w:rPr>
          <w:rFonts w:ascii="Times New Roman" w:eastAsia="Times New Roman" w:hAnsi="Times New Roman" w:cs="Times New Roman"/>
          <w:b/>
          <w:bCs/>
          <w:kern w:val="0"/>
          <w:sz w:val="36"/>
          <w:szCs w:val="36"/>
          <w14:ligatures w14:val="none"/>
        </w:rPr>
        <w:t>6 Related Work</w:t>
      </w:r>
    </w:p>
    <w:p w14:paraId="1220167B"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6.1 Strategic Behavior in Large Language Models</w:t>
      </w:r>
    </w:p>
    <w:p w14:paraId="740B29F9"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Recent work has examined LLM performance in game-theoretic settings, with mixed results regarding strategic sophistication. Aher et al. (2023) found that LLMs exhibit human-like biases in ultimatum games, while Brookins &amp; DeBacker (2023) demonstrated suboptimal play in public goods scenarios. Akata et al. (2023) show that LLMs struggle to consistently select optimal strategies even in simple 2×2 matrix games, frequently failing to choose rational actions in coordination games.</w:t>
      </w:r>
    </w:p>
    <w:p w14:paraId="6B56259F"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Our work extends this literature by focusing specifically on bilateral negotiation with systematic variation of metacognitive prompting and comprehensive analysis across model scales. Closest to our approach, Horton (2023) studied LLM behavior in economic experiments and found evidence of anchoring and framing effects similar to human subjects. However, his work did not examine role asymmetries or reflection mechanisms, leaving gaps that our study addresses through systematic experimental manipulation.</w:t>
      </w:r>
    </w:p>
    <w:p w14:paraId="62EE41D1"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The strategic reasoning limitations documented in prior work align with our findings but previous studies have not identified the specific mechanism of literature asymmetry that we propose. Duan et al. (2024) provide systematic evaluation using game-theoretic benchmarks and find that LLMs often exhibit suboptimal strategic reasoning with performance varying dramatically based on problem framing, consistent with our emphasis on how academic framing influences strategic behavior.</w:t>
      </w:r>
    </w:p>
    <w:p w14:paraId="695FCEE8"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lastRenderedPageBreak/>
        <w:t>6.2 Reflection and Metacognition in AI Systems</w:t>
      </w:r>
    </w:p>
    <w:p w14:paraId="1B918E46"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The use of reflection to improve LLM reasoning has gained substantial attention following Wei et al. (2022) and subsequent work on chain-of-thought prompting. Madaan et al. (2023) showed that self-reflection can enhance performance on various NLP tasks, while Uesato et al. (2023) demonstrated benefits in mathematical reasoning. Wang et al. (2023) developed Recursive Contemplation techniques that prompt LLMs to engage in perspective-taking to help avoid common pitfalls in multi-agent scenarios.</w:t>
      </w:r>
    </w:p>
    <w:p w14:paraId="3A0BCDCD"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Our findings contribute a more nuanced perspective on reflection effectiveness: reflection's impact depends critically on the strategic context and may amplify rather than correct systematic biases. This aligns with recent work by Sharma et al. (2023) showing that metacognitive prompting can sometimes decrease calibration in adversarial settings. The finding that reflection can serve as a bias amplifier rather than corrector challenges assumptions about the universal benefits of metacognitive interventions.</w:t>
      </w:r>
    </w:p>
    <w:p w14:paraId="71E2F80D"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Zhang et al. (2024) advance LLM reasoning through k-level rationality, which enhances multi-level thinking and increases win rates in competitive settings. However, our results suggest that even sophisticated metacognitive techniques may be insufficient to overcome fundamental biases inherited from training data, particularly when those biases are systematically embedded across academic literature.</w:t>
      </w:r>
    </w:p>
    <w:p w14:paraId="2B530EF9"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6.3 Automated Negotiation and Multi-Agent Systems</w:t>
      </w:r>
    </w:p>
    <w:p w14:paraId="2C7230DD"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The automated negotiation literature traditionally focuses on rule-based agents or reinforcement learning approaches (Fatima et al., 2014; Baarslag et al., 2017). Recent work has begun incorporating LLMs as negotiating agents, but most studies focus on dialogue generation rather than systematic outcome analysis or investigation of systematic biases.</w:t>
      </w:r>
    </w:p>
    <w:p w14:paraId="33C94FEC"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Fu et al. (2023) examined LLM performance in multi-party negotiations but did not control for role assignments or metacognitive interventions. Our controlled experimental design provides more rigorous evidence for systematic biases in LLM strategic behavior through careful manipulation of reflection conditions and comprehensive analysis across model capabilities.</w:t>
      </w:r>
    </w:p>
    <w:p w14:paraId="4D0BEF12"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The broader multi-agent systems literature has long recognized the importance of understanding agent biases and preferences, but the specific phenomenon of literature asymmetry bias inherited from academic training data represents a novel contribution that emerges specifically from the way LLMs acquire strategic knowledge through exposure to academic corpora.</w:t>
      </w:r>
    </w:p>
    <w:p w14:paraId="5DDF5350" w14:textId="77777777" w:rsidR="00452260" w:rsidRPr="00452260" w:rsidRDefault="00452260" w:rsidP="004522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2260">
        <w:rPr>
          <w:rFonts w:ascii="Times New Roman" w:eastAsia="Times New Roman" w:hAnsi="Times New Roman" w:cs="Times New Roman"/>
          <w:b/>
          <w:bCs/>
          <w:kern w:val="0"/>
          <w:sz w:val="36"/>
          <w:szCs w:val="36"/>
          <w14:ligatures w14:val="none"/>
        </w:rPr>
        <w:t>7 Implications and Future Directions</w:t>
      </w:r>
    </w:p>
    <w:p w14:paraId="5B8C12BB"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7.1 Practical Implications for AI Deployment</w:t>
      </w:r>
    </w:p>
    <w:p w14:paraId="27B774A4"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The robust buyer bias documented here has immediate implications for organizations considering LLM deployment in economic contexts. Companies using LLMs for procurement, </w:t>
      </w:r>
      <w:r w:rsidRPr="00452260">
        <w:rPr>
          <w:rFonts w:ascii="Times New Roman" w:eastAsia="Times New Roman" w:hAnsi="Times New Roman" w:cs="Times New Roman"/>
          <w:kern w:val="0"/>
          <w14:ligatures w14:val="none"/>
        </w:rPr>
        <w:lastRenderedPageBreak/>
        <w:t>contract negotiation, or pricing decisions should anticipate systematic deviations from optimal outcomes and implement appropriate safeguards. The $14.25 average bias may seem modest in isolation, but could accumulate to substantial distortions when applied across thousands of transactions.</w:t>
      </w:r>
    </w:p>
    <w:p w14:paraId="44026FD9"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One potential mitigation involves </w:t>
      </w:r>
      <w:r w:rsidRPr="00452260">
        <w:rPr>
          <w:rFonts w:ascii="Times New Roman" w:eastAsia="Times New Roman" w:hAnsi="Times New Roman" w:cs="Times New Roman"/>
          <w:b/>
          <w:bCs/>
          <w:kern w:val="0"/>
          <w14:ligatures w14:val="none"/>
        </w:rPr>
        <w:t>adversarial prompting</w:t>
      </w:r>
      <w:r w:rsidRPr="00452260">
        <w:rPr>
          <w:rFonts w:ascii="Times New Roman" w:eastAsia="Times New Roman" w:hAnsi="Times New Roman" w:cs="Times New Roman"/>
          <w:kern w:val="0"/>
          <w14:ligatures w14:val="none"/>
        </w:rPr>
        <w:t xml:space="preserve">—explicitly instructing LLMs to consider alternative perspectives or argue for the opposing position before making final decisions. Another approach involves </w:t>
      </w:r>
      <w:r w:rsidRPr="00452260">
        <w:rPr>
          <w:rFonts w:ascii="Times New Roman" w:eastAsia="Times New Roman" w:hAnsi="Times New Roman" w:cs="Times New Roman"/>
          <w:b/>
          <w:bCs/>
          <w:kern w:val="0"/>
          <w14:ligatures w14:val="none"/>
        </w:rPr>
        <w:t>ensemble methods</w:t>
      </w:r>
      <w:r w:rsidRPr="00452260">
        <w:rPr>
          <w:rFonts w:ascii="Times New Roman" w:eastAsia="Times New Roman" w:hAnsi="Times New Roman" w:cs="Times New Roman"/>
          <w:kern w:val="0"/>
          <w14:ligatures w14:val="none"/>
        </w:rPr>
        <w:t xml:space="preserve"> that aggregate predictions from multiple differently-prompted agents to reduce systematic biases. Organizations might also implement </w:t>
      </w:r>
      <w:r w:rsidRPr="00452260">
        <w:rPr>
          <w:rFonts w:ascii="Times New Roman" w:eastAsia="Times New Roman" w:hAnsi="Times New Roman" w:cs="Times New Roman"/>
          <w:b/>
          <w:bCs/>
          <w:kern w:val="0"/>
          <w14:ligatures w14:val="none"/>
        </w:rPr>
        <w:t>role rotation</w:t>
      </w:r>
      <w:r w:rsidRPr="00452260">
        <w:rPr>
          <w:rFonts w:ascii="Times New Roman" w:eastAsia="Times New Roman" w:hAnsi="Times New Roman" w:cs="Times New Roman"/>
          <w:kern w:val="0"/>
          <w14:ligatures w14:val="none"/>
        </w:rPr>
        <w:t xml:space="preserve"> where the same LLM system alternately advocates for different positions to surface hidden biases.</w:t>
      </w:r>
    </w:p>
    <w:p w14:paraId="2C89C17C"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b/>
          <w:bCs/>
          <w:kern w:val="0"/>
          <w14:ligatures w14:val="none"/>
        </w:rPr>
        <w:t>Bias-aware deployment strategies</w:t>
      </w:r>
      <w:r w:rsidRPr="00452260">
        <w:rPr>
          <w:rFonts w:ascii="Times New Roman" w:eastAsia="Times New Roman" w:hAnsi="Times New Roman" w:cs="Times New Roman"/>
          <w:kern w:val="0"/>
          <w14:ligatures w14:val="none"/>
        </w:rPr>
        <w:t xml:space="preserve"> should acknowledge these systematic preferences rather than assuming neutrality. For instance, organizations might adjust LLM-generated recommendations by expected bias amounts, or use different models for different roles based on their systematic tendencies. The persistence of biases across reflection conditions suggests that simple prompting solutions may be insufficient, requiring more fundamental changes to training or deployment approaches.</w:t>
      </w:r>
    </w:p>
    <w:p w14:paraId="3BD069DE"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7.2 Theoretical Directions</w:t>
      </w:r>
    </w:p>
    <w:p w14:paraId="457A4FDA"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Our findings raise fundamental questions about the source of strategic biases in LLMs that extend beyond the specific newsvendor context. Future research should investigate whether literature asymmetry biases stem from </w:t>
      </w:r>
      <w:r w:rsidRPr="00452260">
        <w:rPr>
          <w:rFonts w:ascii="Times New Roman" w:eastAsia="Times New Roman" w:hAnsi="Times New Roman" w:cs="Times New Roman"/>
          <w:b/>
          <w:bCs/>
          <w:kern w:val="0"/>
          <w14:ligatures w14:val="none"/>
        </w:rPr>
        <w:t>training data composition</w:t>
      </w:r>
      <w:r w:rsidRPr="00452260">
        <w:rPr>
          <w:rFonts w:ascii="Times New Roman" w:eastAsia="Times New Roman" w:hAnsi="Times New Roman" w:cs="Times New Roman"/>
          <w:kern w:val="0"/>
          <w14:ligatures w14:val="none"/>
        </w:rPr>
        <w:t xml:space="preserve"> where consumer-centric web content and academic literature skew learned representations, </w:t>
      </w:r>
      <w:r w:rsidRPr="00452260">
        <w:rPr>
          <w:rFonts w:ascii="Times New Roman" w:eastAsia="Times New Roman" w:hAnsi="Times New Roman" w:cs="Times New Roman"/>
          <w:b/>
          <w:bCs/>
          <w:kern w:val="0"/>
          <w14:ligatures w14:val="none"/>
        </w:rPr>
        <w:t>objective function misalignment</w:t>
      </w:r>
      <w:r w:rsidRPr="00452260">
        <w:rPr>
          <w:rFonts w:ascii="Times New Roman" w:eastAsia="Times New Roman" w:hAnsi="Times New Roman" w:cs="Times New Roman"/>
          <w:kern w:val="0"/>
          <w14:ligatures w14:val="none"/>
        </w:rPr>
        <w:t xml:space="preserve"> where language modeling objectives may not align with strategic reasoning requirements, or </w:t>
      </w:r>
      <w:r w:rsidRPr="00452260">
        <w:rPr>
          <w:rFonts w:ascii="Times New Roman" w:eastAsia="Times New Roman" w:hAnsi="Times New Roman" w:cs="Times New Roman"/>
          <w:b/>
          <w:bCs/>
          <w:kern w:val="0"/>
          <w14:ligatures w14:val="none"/>
        </w:rPr>
        <w:t>architectural constraints</w:t>
      </w:r>
      <w:r w:rsidRPr="00452260">
        <w:rPr>
          <w:rFonts w:ascii="Times New Roman" w:eastAsia="Times New Roman" w:hAnsi="Times New Roman" w:cs="Times New Roman"/>
          <w:kern w:val="0"/>
          <w14:ligatures w14:val="none"/>
        </w:rPr>
        <w:t xml:space="preserve"> where current transformer architectures may be poorly suited for strategic thinking that requires balancing competing interests.</w:t>
      </w:r>
    </w:p>
    <w:p w14:paraId="00562EBF"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The concept of </w:t>
      </w:r>
      <w:r w:rsidRPr="00452260">
        <w:rPr>
          <w:rFonts w:ascii="Times New Roman" w:eastAsia="Times New Roman" w:hAnsi="Times New Roman" w:cs="Times New Roman"/>
          <w:b/>
          <w:bCs/>
          <w:kern w:val="0"/>
          <w14:ligatures w14:val="none"/>
        </w:rPr>
        <w:t>literature asymmetry</w:t>
      </w:r>
      <w:r w:rsidRPr="00452260">
        <w:rPr>
          <w:rFonts w:ascii="Times New Roman" w:eastAsia="Times New Roman" w:hAnsi="Times New Roman" w:cs="Times New Roman"/>
          <w:kern w:val="0"/>
          <w14:ligatures w14:val="none"/>
        </w:rPr>
        <w:t xml:space="preserve"> as a source of AI bias represents a novel theoretical framework that could apply to many domains beyond economic negotiation. Academic disciplines often approach problems from systematic perspectives that may not be neutral or balanced. When AI systems are trained on academic corpora, they may inherit these disciplinary biases and reproduce them in applications.</w:t>
      </w:r>
    </w:p>
    <w:p w14:paraId="054C12FB"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Understanding the mechanisms underlying strategic biases could inform the design of more strategically rational AI systems. This might involve </w:t>
      </w:r>
      <w:r w:rsidRPr="00452260">
        <w:rPr>
          <w:rFonts w:ascii="Times New Roman" w:eastAsia="Times New Roman" w:hAnsi="Times New Roman" w:cs="Times New Roman"/>
          <w:b/>
          <w:bCs/>
          <w:kern w:val="0"/>
          <w14:ligatures w14:val="none"/>
        </w:rPr>
        <w:t>perspective-balanced training</w:t>
      </w:r>
      <w:r w:rsidRPr="00452260">
        <w:rPr>
          <w:rFonts w:ascii="Times New Roman" w:eastAsia="Times New Roman" w:hAnsi="Times New Roman" w:cs="Times New Roman"/>
          <w:kern w:val="0"/>
          <w14:ligatures w14:val="none"/>
        </w:rPr>
        <w:t xml:space="preserve"> that explicitly ensures equal representation of different strategic viewpoints, </w:t>
      </w:r>
      <w:r w:rsidRPr="00452260">
        <w:rPr>
          <w:rFonts w:ascii="Times New Roman" w:eastAsia="Times New Roman" w:hAnsi="Times New Roman" w:cs="Times New Roman"/>
          <w:b/>
          <w:bCs/>
          <w:kern w:val="0"/>
          <w14:ligatures w14:val="none"/>
        </w:rPr>
        <w:t>adversarial training</w:t>
      </w:r>
      <w:r w:rsidRPr="00452260">
        <w:rPr>
          <w:rFonts w:ascii="Times New Roman" w:eastAsia="Times New Roman" w:hAnsi="Times New Roman" w:cs="Times New Roman"/>
          <w:kern w:val="0"/>
          <w14:ligatures w14:val="none"/>
        </w:rPr>
        <w:t xml:space="preserve"> that forces models to consider opposing positions, or </w:t>
      </w:r>
      <w:r w:rsidRPr="00452260">
        <w:rPr>
          <w:rFonts w:ascii="Times New Roman" w:eastAsia="Times New Roman" w:hAnsi="Times New Roman" w:cs="Times New Roman"/>
          <w:b/>
          <w:bCs/>
          <w:kern w:val="0"/>
          <w14:ligatures w14:val="none"/>
        </w:rPr>
        <w:t>multi-objective training</w:t>
      </w:r>
      <w:r w:rsidRPr="00452260">
        <w:rPr>
          <w:rFonts w:ascii="Times New Roman" w:eastAsia="Times New Roman" w:hAnsi="Times New Roman" w:cs="Times New Roman"/>
          <w:kern w:val="0"/>
          <w14:ligatures w14:val="none"/>
        </w:rPr>
        <w:t xml:space="preserve"> that explicitly optimizes for fairness and neutrality in strategic contexts rather than just predictive accuracy.</w:t>
      </w:r>
    </w:p>
    <w:p w14:paraId="5280E680"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7.3 Empirical Extensions</w:t>
      </w:r>
    </w:p>
    <w:p w14:paraId="36179102"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Several empirical extensions would strengthen our findings and test the generalizability of literature asymmetry effects. </w:t>
      </w:r>
      <w:r w:rsidRPr="00452260">
        <w:rPr>
          <w:rFonts w:ascii="Times New Roman" w:eastAsia="Times New Roman" w:hAnsi="Times New Roman" w:cs="Times New Roman"/>
          <w:b/>
          <w:bCs/>
          <w:kern w:val="0"/>
          <w14:ligatures w14:val="none"/>
        </w:rPr>
        <w:t>Multi-round negotiations</w:t>
      </w:r>
      <w:r w:rsidRPr="00452260">
        <w:rPr>
          <w:rFonts w:ascii="Times New Roman" w:eastAsia="Times New Roman" w:hAnsi="Times New Roman" w:cs="Times New Roman"/>
          <w:kern w:val="0"/>
          <w14:ligatures w14:val="none"/>
        </w:rPr>
        <w:t xml:space="preserve"> would examine whether biases persist or evolve across repeated interactions, potentially revealing whether LLMs can learn to overcome </w:t>
      </w:r>
      <w:r w:rsidRPr="00452260">
        <w:rPr>
          <w:rFonts w:ascii="Times New Roman" w:eastAsia="Times New Roman" w:hAnsi="Times New Roman" w:cs="Times New Roman"/>
          <w:kern w:val="0"/>
          <w14:ligatures w14:val="none"/>
        </w:rPr>
        <w:lastRenderedPageBreak/>
        <w:t xml:space="preserve">inherited biases through experience. </w:t>
      </w:r>
      <w:r w:rsidRPr="00452260">
        <w:rPr>
          <w:rFonts w:ascii="Times New Roman" w:eastAsia="Times New Roman" w:hAnsi="Times New Roman" w:cs="Times New Roman"/>
          <w:b/>
          <w:bCs/>
          <w:kern w:val="0"/>
          <w14:ligatures w14:val="none"/>
        </w:rPr>
        <w:t>Information asymmetry studies</w:t>
      </w:r>
      <w:r w:rsidRPr="00452260">
        <w:rPr>
          <w:rFonts w:ascii="Times New Roman" w:eastAsia="Times New Roman" w:hAnsi="Times New Roman" w:cs="Times New Roman"/>
          <w:kern w:val="0"/>
          <w14:ligatures w14:val="none"/>
        </w:rPr>
        <w:t xml:space="preserve"> would test how private information affects strategic behavior and whether asymmetric information amplifies or moderates the buyer advantage.</w:t>
      </w:r>
    </w:p>
    <w:p w14:paraId="4122B884"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b/>
          <w:bCs/>
          <w:kern w:val="0"/>
          <w14:ligatures w14:val="none"/>
        </w:rPr>
        <w:t>Cultural variation experiments</w:t>
      </w:r>
      <w:r w:rsidRPr="00452260">
        <w:rPr>
          <w:rFonts w:ascii="Times New Roman" w:eastAsia="Times New Roman" w:hAnsi="Times New Roman" w:cs="Times New Roman"/>
          <w:kern w:val="0"/>
          <w14:ligatures w14:val="none"/>
        </w:rPr>
        <w:t xml:space="preserve"> would replicate our methodology with non-Western negotiation frames, different languages, and alternative cultural contexts for understanding buyer-seller relationships. This would test whether the operations research literature bias is specific to Western academic traditions or represents a more general phenomenon.</w:t>
      </w:r>
    </w:p>
    <w:p w14:paraId="6C0D8208"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b/>
          <w:bCs/>
          <w:kern w:val="0"/>
          <w14:ligatures w14:val="none"/>
        </w:rPr>
        <w:t>Human-AI hybrid negotiations</w:t>
      </w:r>
      <w:r w:rsidRPr="00452260">
        <w:rPr>
          <w:rFonts w:ascii="Times New Roman" w:eastAsia="Times New Roman" w:hAnsi="Times New Roman" w:cs="Times New Roman"/>
          <w:kern w:val="0"/>
          <w14:ligatures w14:val="none"/>
        </w:rPr>
        <w:t xml:space="preserve"> would compare pure LLM interactions with human-AI partnerships, testing whether human oversight can correct AI biases or whether humans are influenced by AI recommendations in ways that perpetuate systematic preferences. </w:t>
      </w:r>
      <w:r w:rsidRPr="00452260">
        <w:rPr>
          <w:rFonts w:ascii="Times New Roman" w:eastAsia="Times New Roman" w:hAnsi="Times New Roman" w:cs="Times New Roman"/>
          <w:b/>
          <w:bCs/>
          <w:kern w:val="0"/>
          <w14:ligatures w14:val="none"/>
        </w:rPr>
        <w:t>Real-world validation studies</w:t>
      </w:r>
      <w:r w:rsidRPr="00452260">
        <w:rPr>
          <w:rFonts w:ascii="Times New Roman" w:eastAsia="Times New Roman" w:hAnsi="Times New Roman" w:cs="Times New Roman"/>
          <w:kern w:val="0"/>
          <w14:ligatures w14:val="none"/>
        </w:rPr>
        <w:t xml:space="preserve"> would examine whether the laboratory findings generalize to actual business negotiations and economic transactions.</w:t>
      </w:r>
    </w:p>
    <w:p w14:paraId="5D426431"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b/>
          <w:bCs/>
          <w:kern w:val="0"/>
          <w14:ligatures w14:val="none"/>
        </w:rPr>
        <w:t>Alternative strategic domains</w:t>
      </w:r>
      <w:r w:rsidRPr="00452260">
        <w:rPr>
          <w:rFonts w:ascii="Times New Roman" w:eastAsia="Times New Roman" w:hAnsi="Times New Roman" w:cs="Times New Roman"/>
          <w:kern w:val="0"/>
          <w14:ligatures w14:val="none"/>
        </w:rPr>
        <w:t xml:space="preserve"> would test whether literature asymmetry effects extend beyond buyer-supplier negotiations to other contexts where academic literature might exhibit systematic perspective biases, such as employer-employee negotiations, international trade discussions, or regulatory negotiations.</w:t>
      </w:r>
    </w:p>
    <w:p w14:paraId="570A8C3B"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7.4 Methodological Contributions</w:t>
      </w:r>
    </w:p>
    <w:p w14:paraId="4AB2AADE"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Our experimental framework provides a template for rigorous evaluation of LLM strategic behavior that could be adapted to other domains. The combination of controlled role assignments, standardized communication protocols, systematic reflection manipulations, and comprehensive analysis across model scales offers a scalable approach for testing strategic AI systems.</w:t>
      </w:r>
    </w:p>
    <w:p w14:paraId="4351F505"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The </w:t>
      </w:r>
      <w:r w:rsidRPr="00452260">
        <w:rPr>
          <w:rFonts w:ascii="Times New Roman" w:eastAsia="Times New Roman" w:hAnsi="Times New Roman" w:cs="Times New Roman"/>
          <w:b/>
          <w:bCs/>
          <w:kern w:val="0"/>
          <w14:ligatures w14:val="none"/>
        </w:rPr>
        <w:t>literature asymmetry hypothesis</w:t>
      </w:r>
      <w:r w:rsidRPr="00452260">
        <w:rPr>
          <w:rFonts w:ascii="Times New Roman" w:eastAsia="Times New Roman" w:hAnsi="Times New Roman" w:cs="Times New Roman"/>
          <w:kern w:val="0"/>
          <w14:ligatures w14:val="none"/>
        </w:rPr>
        <w:t xml:space="preserve"> provides a specific, testable mechanism for understanding AI bias that goes beyond general claims about training data bias. This framework could be applied to identify and test for systematic biases in other domains where academic literature may exhibit perspective asymmetries.</w:t>
      </w:r>
    </w:p>
    <w:p w14:paraId="3A3189A6"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b/>
          <w:bCs/>
          <w:kern w:val="0"/>
          <w14:ligatures w14:val="none"/>
        </w:rPr>
        <w:t>Reflection condition manipulation</w:t>
      </w:r>
      <w:r w:rsidRPr="00452260">
        <w:rPr>
          <w:rFonts w:ascii="Times New Roman" w:eastAsia="Times New Roman" w:hAnsi="Times New Roman" w:cs="Times New Roman"/>
          <w:kern w:val="0"/>
          <w14:ligatures w14:val="none"/>
        </w:rPr>
        <w:t xml:space="preserve"> as a methodological approach demonstrates that metacognitive interventions can be systematically varied and their effects precisely measured in strategic contexts. This methodology could be extended to test other types of cognitive interventions and their interactions with different types of biases.</w:t>
      </w:r>
    </w:p>
    <w:p w14:paraId="197A6E10"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The </w:t>
      </w:r>
      <w:r w:rsidRPr="00452260">
        <w:rPr>
          <w:rFonts w:ascii="Times New Roman" w:eastAsia="Times New Roman" w:hAnsi="Times New Roman" w:cs="Times New Roman"/>
          <w:b/>
          <w:bCs/>
          <w:kern w:val="0"/>
          <w14:ligatures w14:val="none"/>
        </w:rPr>
        <w:t>multi-tier model analysis</w:t>
      </w:r>
      <w:r w:rsidRPr="00452260">
        <w:rPr>
          <w:rFonts w:ascii="Times New Roman" w:eastAsia="Times New Roman" w:hAnsi="Times New Roman" w:cs="Times New Roman"/>
          <w:kern w:val="0"/>
          <w14:ligatures w14:val="none"/>
        </w:rPr>
        <w:t xml:space="preserve"> approach demonstrates that strategic reasoning limitations may not follow the same scaling laws as other capabilities, providing a template for understanding when and how model scale affects different types of reasoning tasks.</w:t>
      </w:r>
    </w:p>
    <w:p w14:paraId="08DD1D9A" w14:textId="77777777" w:rsidR="00452260" w:rsidRPr="00452260" w:rsidRDefault="00452260" w:rsidP="004522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260">
        <w:rPr>
          <w:rFonts w:ascii="Times New Roman" w:eastAsia="Times New Roman" w:hAnsi="Times New Roman" w:cs="Times New Roman"/>
          <w:b/>
          <w:bCs/>
          <w:kern w:val="0"/>
          <w:sz w:val="27"/>
          <w:szCs w:val="27"/>
          <w14:ligatures w14:val="none"/>
        </w:rPr>
        <w:t>7.5 Policy and Regulatory Implications</w:t>
      </w:r>
    </w:p>
    <w:p w14:paraId="25C562DB"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As AI systems become increasingly integrated into economic decision-making, the systematic biases documented here raise important questions for policy and regulation. </w:t>
      </w:r>
      <w:r w:rsidRPr="00452260">
        <w:rPr>
          <w:rFonts w:ascii="Times New Roman" w:eastAsia="Times New Roman" w:hAnsi="Times New Roman" w:cs="Times New Roman"/>
          <w:b/>
          <w:bCs/>
          <w:kern w:val="0"/>
          <w14:ligatures w14:val="none"/>
        </w:rPr>
        <w:t xml:space="preserve">Market fairness </w:t>
      </w:r>
      <w:r w:rsidRPr="00452260">
        <w:rPr>
          <w:rFonts w:ascii="Times New Roman" w:eastAsia="Times New Roman" w:hAnsi="Times New Roman" w:cs="Times New Roman"/>
          <w:b/>
          <w:bCs/>
          <w:kern w:val="0"/>
          <w14:ligatures w14:val="none"/>
        </w:rPr>
        <w:lastRenderedPageBreak/>
        <w:t>regulations</w:t>
      </w:r>
      <w:r w:rsidRPr="00452260">
        <w:rPr>
          <w:rFonts w:ascii="Times New Roman" w:eastAsia="Times New Roman" w:hAnsi="Times New Roman" w:cs="Times New Roman"/>
          <w:kern w:val="0"/>
          <w14:ligatures w14:val="none"/>
        </w:rPr>
        <w:t xml:space="preserve"> may need to account for systematic AI biases that could disadvantage certain types of market participants. </w:t>
      </w:r>
      <w:r w:rsidRPr="00452260">
        <w:rPr>
          <w:rFonts w:ascii="Times New Roman" w:eastAsia="Times New Roman" w:hAnsi="Times New Roman" w:cs="Times New Roman"/>
          <w:b/>
          <w:bCs/>
          <w:kern w:val="0"/>
          <w14:ligatures w14:val="none"/>
        </w:rPr>
        <w:t>AI auditing requirements</w:t>
      </w:r>
      <w:r w:rsidRPr="00452260">
        <w:rPr>
          <w:rFonts w:ascii="Times New Roman" w:eastAsia="Times New Roman" w:hAnsi="Times New Roman" w:cs="Times New Roman"/>
          <w:kern w:val="0"/>
          <w14:ligatures w14:val="none"/>
        </w:rPr>
        <w:t xml:space="preserve"> might mandate testing for strategic biases before deploying AI systems in economic contexts.</w:t>
      </w:r>
    </w:p>
    <w:p w14:paraId="206E3118"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b/>
          <w:bCs/>
          <w:kern w:val="0"/>
          <w14:ligatures w14:val="none"/>
        </w:rPr>
        <w:t>Transparency requirements</w:t>
      </w:r>
      <w:r w:rsidRPr="00452260">
        <w:rPr>
          <w:rFonts w:ascii="Times New Roman" w:eastAsia="Times New Roman" w:hAnsi="Times New Roman" w:cs="Times New Roman"/>
          <w:kern w:val="0"/>
          <w14:ligatures w14:val="none"/>
        </w:rPr>
        <w:t xml:space="preserve"> could mandate disclosure when AI systems are used in negotiations, along with information about their systematic biases and limitations. </w:t>
      </w:r>
      <w:r w:rsidRPr="00452260">
        <w:rPr>
          <w:rFonts w:ascii="Times New Roman" w:eastAsia="Times New Roman" w:hAnsi="Times New Roman" w:cs="Times New Roman"/>
          <w:b/>
          <w:bCs/>
          <w:kern w:val="0"/>
          <w14:ligatures w14:val="none"/>
        </w:rPr>
        <w:t>Bias mitigation standards</w:t>
      </w:r>
      <w:r w:rsidRPr="00452260">
        <w:rPr>
          <w:rFonts w:ascii="Times New Roman" w:eastAsia="Times New Roman" w:hAnsi="Times New Roman" w:cs="Times New Roman"/>
          <w:kern w:val="0"/>
          <w14:ligatures w14:val="none"/>
        </w:rPr>
        <w:t xml:space="preserve"> might require organizations to demonstrate that they have tested for and addressed systematic biases in AI systems used for strategic decision-making.</w:t>
      </w:r>
    </w:p>
    <w:p w14:paraId="3E5E2EC6"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The international implications are also significant, as systematic biases in AI systems could affect trade relationships and economic development. If AI systems systematically favor certain types of economic actors or negotiation positions, this could have cumulative effects on global economic relationships and development patterns.</w:t>
      </w:r>
    </w:p>
    <w:p w14:paraId="3E353F97" w14:textId="77777777" w:rsidR="00452260" w:rsidRPr="00452260" w:rsidRDefault="00452260" w:rsidP="004522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2260">
        <w:rPr>
          <w:rFonts w:ascii="Times New Roman" w:eastAsia="Times New Roman" w:hAnsi="Times New Roman" w:cs="Times New Roman"/>
          <w:b/>
          <w:bCs/>
          <w:kern w:val="0"/>
          <w:sz w:val="36"/>
          <w:szCs w:val="36"/>
          <w14:ligatures w14:val="none"/>
        </w:rPr>
        <w:t>8 Conclusion</w:t>
      </w:r>
    </w:p>
    <w:p w14:paraId="1BD55FA5"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This study provides the first large-scale empirical analysis of systematic biases in LLM-based economic negotiation, revealing a robust and substantial buyer advantage that persists across model scales and metacognitive interventions. Using 8,000 simulated negotiations across 10 models and 4 reflection conditions, we document systematic biases that challenge common assumptions about AI neutrality in strategic contexts.</w:t>
      </w:r>
    </w:p>
    <w:p w14:paraId="63C303F9"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Three key findings emerge from our analysis that have fundamental implications for AI deployment in economic contexts. First, </w:t>
      </w:r>
      <w:r w:rsidRPr="00452260">
        <w:rPr>
          <w:rFonts w:ascii="Times New Roman" w:eastAsia="Times New Roman" w:hAnsi="Times New Roman" w:cs="Times New Roman"/>
          <w:b/>
          <w:bCs/>
          <w:kern w:val="0"/>
          <w14:ligatures w14:val="none"/>
        </w:rPr>
        <w:t>systematic role asymmetry</w:t>
      </w:r>
      <w:r w:rsidRPr="00452260">
        <w:rPr>
          <w:rFonts w:ascii="Times New Roman" w:eastAsia="Times New Roman" w:hAnsi="Times New Roman" w:cs="Times New Roman"/>
          <w:kern w:val="0"/>
          <w14:ligatures w14:val="none"/>
        </w:rPr>
        <w:t xml:space="preserve"> in AI agents stems from literature asymmetry—disciplinary perspective biases embedded in training data rather than insufficient model capacity. LLMs exhibit a $14.25 average buyer advantage representing 85% bias toward buyer-favorable outcomes despite symmetric payoff structures, indicating that AI systems inherit and reproduce academic framing biases from their training corpora.</w:t>
      </w:r>
    </w:p>
    <w:p w14:paraId="4B7C48CA"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Second, </w:t>
      </w:r>
      <w:r w:rsidRPr="00452260">
        <w:rPr>
          <w:rFonts w:ascii="Times New Roman" w:eastAsia="Times New Roman" w:hAnsi="Times New Roman" w:cs="Times New Roman"/>
          <w:b/>
          <w:bCs/>
          <w:kern w:val="0"/>
          <w14:ligatures w14:val="none"/>
        </w:rPr>
        <w:t>reflection amplifies biases</w:t>
      </w:r>
      <w:r w:rsidRPr="00452260">
        <w:rPr>
          <w:rFonts w:ascii="Times New Roman" w:eastAsia="Times New Roman" w:hAnsi="Times New Roman" w:cs="Times New Roman"/>
          <w:kern w:val="0"/>
          <w14:ligatures w14:val="none"/>
        </w:rPr>
        <w:t xml:space="preserve"> rather than correcting them. Metacognitive prompting strengthens role-consistent behavior rather than promoting normative rationality, with buyer-only reflection increasing bias by $4.6 and supplier-only reflection providing only partial mitigation. Even bilateral reflection fails to eliminate systematic asymmetries, challenging assumptions about metacognitive interventions in adversarial settings and suggesting that current approaches to improving AI reasoning may be insufficient for strategic contexts.</w:t>
      </w:r>
    </w:p>
    <w:p w14:paraId="7A014558"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Third, </w:t>
      </w:r>
      <w:r w:rsidRPr="00452260">
        <w:rPr>
          <w:rFonts w:ascii="Times New Roman" w:eastAsia="Times New Roman" w:hAnsi="Times New Roman" w:cs="Times New Roman"/>
          <w:b/>
          <w:bCs/>
          <w:kern w:val="0"/>
          <w14:ligatures w14:val="none"/>
        </w:rPr>
        <w:t>model scale has minimal impact</w:t>
      </w:r>
      <w:r w:rsidRPr="00452260">
        <w:rPr>
          <w:rFonts w:ascii="Times New Roman" w:eastAsia="Times New Roman" w:hAnsi="Times New Roman" w:cs="Times New Roman"/>
          <w:kern w:val="0"/>
          <w14:ligatures w14:val="none"/>
        </w:rPr>
        <w:t xml:space="preserve"> on strategic reasoning quality. Model tier effects are statistically significant but practically negligible (η² = 0.006), with tier-level variations remaining below $3 compared to the $35 deviation from optimality. This indicates that current scaling approaches may not address fundamental training data limitations and that strategic reasoning presents distinct challenges from other capabilities that benefit from scale.</w:t>
      </w:r>
    </w:p>
    <w:p w14:paraId="1DCE4A9D"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These findings have immediate implications for organizations deploying LLMs in economic contexts and longer-term consequences for AI safety and alignment. The literature asymmetry mechanism we identify represents a novel source of AI bias that emerges from the systematic perspective differences across academic disciplines. When AI systems are trained on academic </w:t>
      </w:r>
      <w:r w:rsidRPr="00452260">
        <w:rPr>
          <w:rFonts w:ascii="Times New Roman" w:eastAsia="Times New Roman" w:hAnsi="Times New Roman" w:cs="Times New Roman"/>
          <w:kern w:val="0"/>
          <w14:ligatures w14:val="none"/>
        </w:rPr>
        <w:lastRenderedPageBreak/>
        <w:t>corpora that approach problems from particular viewpoints, they inherit those biases and reproduce them in strategic interactions.</w:t>
      </w:r>
    </w:p>
    <w:p w14:paraId="0E113671"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As LLMs become increasingly integrated into economic decision-making—from automated trading to contract negotiation—understanding and mitigating their systematic biases becomes crucial for maintaining market efficiency and fairness. The magnitude and persistence of the biases documented here suggest that these are not minor calibration issues but fundamental characteristics that could shape economic outcomes at scale.</w:t>
      </w:r>
    </w:p>
    <w:p w14:paraId="45623284"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Our work contributes to the growing literature on AI alignment by demonstrating that seemingly neutral systems can exhibit predictable strategic biases inherited from training data. The negotiation setting studied here represents just one domain where strategic AI behavior matters. As autonomous systems take on increasingly complex roles in society, rigorous empirical analysis of their biases and limitations becomes not just scientifically interesting, but practically essential for ensuring that AI systems serve human interests fairly and effectively.</w:t>
      </w:r>
    </w:p>
    <w:p w14:paraId="6338C4E6"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Future research should focus on developing training methods and architectural innovations that explicitly address perspective bias while preserving the flexibility that makes LLMs valuable for complex reasoning tasks. The literature asymmetry framework provides a foundation for understanding how academic discipline limitations can be inherited by AI systems, offering a path toward more balanced and fair AI deployment in strategic contexts.</w:t>
      </w:r>
    </w:p>
    <w:p w14:paraId="13E68852" w14:textId="77777777" w:rsidR="00452260" w:rsidRPr="00452260" w:rsidRDefault="00452260" w:rsidP="004522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2260">
        <w:rPr>
          <w:rFonts w:ascii="Times New Roman" w:eastAsia="Times New Roman" w:hAnsi="Times New Roman" w:cs="Times New Roman"/>
          <w:b/>
          <w:bCs/>
          <w:kern w:val="0"/>
          <w:sz w:val="36"/>
          <w:szCs w:val="36"/>
          <w14:ligatures w14:val="none"/>
        </w:rPr>
        <w:t>References</w:t>
      </w:r>
    </w:p>
    <w:p w14:paraId="0E086053"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Aher, G., Arriaga, R. I., &amp; Kalai, A. T. (2023). Using large language models to simulate multiple humans and replicate human subject studies. </w:t>
      </w:r>
      <w:r w:rsidRPr="00452260">
        <w:rPr>
          <w:rFonts w:ascii="Times New Roman" w:eastAsia="Times New Roman" w:hAnsi="Times New Roman" w:cs="Times New Roman"/>
          <w:i/>
          <w:iCs/>
          <w:kern w:val="0"/>
          <w14:ligatures w14:val="none"/>
        </w:rPr>
        <w:t>International Conference on Machine Learning</w:t>
      </w:r>
      <w:r w:rsidRPr="00452260">
        <w:rPr>
          <w:rFonts w:ascii="Times New Roman" w:eastAsia="Times New Roman" w:hAnsi="Times New Roman" w:cs="Times New Roman"/>
          <w:kern w:val="0"/>
          <w14:ligatures w14:val="none"/>
        </w:rPr>
        <w:t>.</w:t>
      </w:r>
    </w:p>
    <w:p w14:paraId="7263FBE8"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AlgoBiasReview. (2023). Algorithmic bias and racial inequality: a critical review. </w:t>
      </w:r>
      <w:r w:rsidRPr="00452260">
        <w:rPr>
          <w:rFonts w:ascii="Times New Roman" w:eastAsia="Times New Roman" w:hAnsi="Times New Roman" w:cs="Times New Roman"/>
          <w:i/>
          <w:iCs/>
          <w:kern w:val="0"/>
          <w14:ligatures w14:val="none"/>
        </w:rPr>
        <w:t>Oxford Review</w:t>
      </w:r>
      <w:r w:rsidRPr="00452260">
        <w:rPr>
          <w:rFonts w:ascii="Times New Roman" w:eastAsia="Times New Roman" w:hAnsi="Times New Roman" w:cs="Times New Roman"/>
          <w:kern w:val="0"/>
          <w14:ligatures w14:val="none"/>
        </w:rPr>
        <w:t>.</w:t>
      </w:r>
    </w:p>
    <w:p w14:paraId="00C3F67C"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Argyle, L. P., Busby, E. C., Fulda, N., Gubler, J. R., Rytting, C., &amp; Wingate, D. (2023). Out of one, many: Using language models to simulate human samples. </w:t>
      </w:r>
      <w:r w:rsidRPr="00452260">
        <w:rPr>
          <w:rFonts w:ascii="Times New Roman" w:eastAsia="Times New Roman" w:hAnsi="Times New Roman" w:cs="Times New Roman"/>
          <w:i/>
          <w:iCs/>
          <w:kern w:val="0"/>
          <w14:ligatures w14:val="none"/>
        </w:rPr>
        <w:t>Political Analysis</w:t>
      </w:r>
      <w:r w:rsidRPr="00452260">
        <w:rPr>
          <w:rFonts w:ascii="Times New Roman" w:eastAsia="Times New Roman" w:hAnsi="Times New Roman" w:cs="Times New Roman"/>
          <w:kern w:val="0"/>
          <w14:ligatures w14:val="none"/>
        </w:rPr>
        <w:t>, 31(3), 329-351.</w:t>
      </w:r>
    </w:p>
    <w:p w14:paraId="78D3A89E"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Arrow, K. J. (1951). Social choice and individual values. </w:t>
      </w:r>
      <w:r w:rsidRPr="00452260">
        <w:rPr>
          <w:rFonts w:ascii="Times New Roman" w:eastAsia="Times New Roman" w:hAnsi="Times New Roman" w:cs="Times New Roman"/>
          <w:i/>
          <w:iCs/>
          <w:kern w:val="0"/>
          <w14:ligatures w14:val="none"/>
        </w:rPr>
        <w:t>Yale University Press</w:t>
      </w:r>
      <w:r w:rsidRPr="00452260">
        <w:rPr>
          <w:rFonts w:ascii="Times New Roman" w:eastAsia="Times New Roman" w:hAnsi="Times New Roman" w:cs="Times New Roman"/>
          <w:kern w:val="0"/>
          <w14:ligatures w14:val="none"/>
        </w:rPr>
        <w:t>.</w:t>
      </w:r>
    </w:p>
    <w:p w14:paraId="6AF8B0BB"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Baarslag, T., Hendrikx, M. J., Hindriks, K. V., &amp; Jonker, C. M. (2017). Learning about the opponent in automated bilateral negotiation: A comprehensive survey of opponent modeling techniques. </w:t>
      </w:r>
      <w:r w:rsidRPr="00452260">
        <w:rPr>
          <w:rFonts w:ascii="Times New Roman" w:eastAsia="Times New Roman" w:hAnsi="Times New Roman" w:cs="Times New Roman"/>
          <w:i/>
          <w:iCs/>
          <w:kern w:val="0"/>
          <w14:ligatures w14:val="none"/>
        </w:rPr>
        <w:t>Autonomous Agents and Multi-Agent Systems</w:t>
      </w:r>
      <w:r w:rsidRPr="00452260">
        <w:rPr>
          <w:rFonts w:ascii="Times New Roman" w:eastAsia="Times New Roman" w:hAnsi="Times New Roman" w:cs="Times New Roman"/>
          <w:kern w:val="0"/>
          <w14:ligatures w14:val="none"/>
        </w:rPr>
        <w:t>, 30(5), 849-898.</w:t>
      </w:r>
    </w:p>
    <w:p w14:paraId="61A0DA90"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Bender, E. M., Gebru, T., McMillan-Major, A., &amp; Shmitchell, S. (2021). On the dangers of stochastic parrots: Can language models be too big? </w:t>
      </w:r>
      <w:r w:rsidRPr="00452260">
        <w:rPr>
          <w:rFonts w:ascii="Times New Roman" w:eastAsia="Times New Roman" w:hAnsi="Times New Roman" w:cs="Times New Roman"/>
          <w:i/>
          <w:iCs/>
          <w:kern w:val="0"/>
          <w14:ligatures w14:val="none"/>
        </w:rPr>
        <w:t>Proceedings of the 2021 ACM Conference on Fairness, Accountability, and Transparency</w:t>
      </w:r>
      <w:r w:rsidRPr="00452260">
        <w:rPr>
          <w:rFonts w:ascii="Times New Roman" w:eastAsia="Times New Roman" w:hAnsi="Times New Roman" w:cs="Times New Roman"/>
          <w:kern w:val="0"/>
          <w14:ligatures w14:val="none"/>
        </w:rPr>
        <w:t>, 610-623.</w:t>
      </w:r>
    </w:p>
    <w:p w14:paraId="72ED9E0D"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Bommasani, R., Hudson, D. A., Adeli, E., Altman, R., Arora, S., von Arx, S., ... &amp; Liang, P. (2021). On the opportunities and risks of foundation models. </w:t>
      </w:r>
      <w:r w:rsidRPr="00452260">
        <w:rPr>
          <w:rFonts w:ascii="Times New Roman" w:eastAsia="Times New Roman" w:hAnsi="Times New Roman" w:cs="Times New Roman"/>
          <w:i/>
          <w:iCs/>
          <w:kern w:val="0"/>
          <w14:ligatures w14:val="none"/>
        </w:rPr>
        <w:t>arXiv preprint arXiv:2108.07258</w:t>
      </w:r>
      <w:r w:rsidRPr="00452260">
        <w:rPr>
          <w:rFonts w:ascii="Times New Roman" w:eastAsia="Times New Roman" w:hAnsi="Times New Roman" w:cs="Times New Roman"/>
          <w:kern w:val="0"/>
          <w14:ligatures w14:val="none"/>
        </w:rPr>
        <w:t>.</w:t>
      </w:r>
    </w:p>
    <w:p w14:paraId="20D54D77"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lastRenderedPageBreak/>
        <w:t xml:space="preserve">Brookins, P., &amp; DeBacker, J. (2023). Playing games with GPT: What can we learn about a large language model from canonical strategic games? </w:t>
      </w:r>
      <w:r w:rsidRPr="00452260">
        <w:rPr>
          <w:rFonts w:ascii="Times New Roman" w:eastAsia="Times New Roman" w:hAnsi="Times New Roman" w:cs="Times New Roman"/>
          <w:i/>
          <w:iCs/>
          <w:kern w:val="0"/>
          <w14:ligatures w14:val="none"/>
        </w:rPr>
        <w:t>Available at SSRN 4493398</w:t>
      </w:r>
      <w:r w:rsidRPr="00452260">
        <w:rPr>
          <w:rFonts w:ascii="Times New Roman" w:eastAsia="Times New Roman" w:hAnsi="Times New Roman" w:cs="Times New Roman"/>
          <w:kern w:val="0"/>
          <w14:ligatures w14:val="none"/>
        </w:rPr>
        <w:t>.</w:t>
      </w:r>
    </w:p>
    <w:p w14:paraId="3209818F"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Dou, W. W., Goldstein, I., &amp; Ji, Y. (2023). AI</w:t>
      </w:r>
      <w:r w:rsidRPr="00452260">
        <w:rPr>
          <w:rFonts w:ascii="Times New Roman" w:eastAsia="Times New Roman" w:hAnsi="Times New Roman" w:cs="Times New Roman"/>
          <w:kern w:val="0"/>
          <w14:ligatures w14:val="none"/>
        </w:rPr>
        <w:noBreakHyphen/>
        <w:t xml:space="preserve">Powered Trading, Algorithmic Collusion, and Price Efficiency. </w:t>
      </w:r>
      <w:r w:rsidRPr="00452260">
        <w:rPr>
          <w:rFonts w:ascii="Times New Roman" w:eastAsia="Times New Roman" w:hAnsi="Times New Roman" w:cs="Times New Roman"/>
          <w:i/>
          <w:iCs/>
          <w:kern w:val="0"/>
          <w14:ligatures w14:val="none"/>
        </w:rPr>
        <w:t>NYU Law paper</w:t>
      </w:r>
      <w:r w:rsidRPr="00452260">
        <w:rPr>
          <w:rFonts w:ascii="Times New Roman" w:eastAsia="Times New Roman" w:hAnsi="Times New Roman" w:cs="Times New Roman"/>
          <w:kern w:val="0"/>
          <w14:ligatures w14:val="none"/>
        </w:rPr>
        <w:t>.</w:t>
      </w:r>
    </w:p>
    <w:p w14:paraId="31BC0EB0"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Duan, J., Zhang, R., Diffenderfer, J., Kailkhura, B., Sun, L., Stengel-Eskin, E., ... &amp; Xu, K. (2024). GTBench: Uncovering the strategic reasoning limitations of LLMs via game-theoretic evaluations. </w:t>
      </w:r>
      <w:r w:rsidRPr="00452260">
        <w:rPr>
          <w:rFonts w:ascii="Times New Roman" w:eastAsia="Times New Roman" w:hAnsi="Times New Roman" w:cs="Times New Roman"/>
          <w:i/>
          <w:iCs/>
          <w:kern w:val="0"/>
          <w14:ligatures w14:val="none"/>
        </w:rPr>
        <w:t>arXiv preprint arXiv:2402.12348</w:t>
      </w:r>
      <w:r w:rsidRPr="00452260">
        <w:rPr>
          <w:rFonts w:ascii="Times New Roman" w:eastAsia="Times New Roman" w:hAnsi="Times New Roman" w:cs="Times New Roman"/>
          <w:kern w:val="0"/>
          <w14:ligatures w14:val="none"/>
        </w:rPr>
        <w:t>.</w:t>
      </w:r>
    </w:p>
    <w:p w14:paraId="168C3135"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Fatima, S., Kraus, S., &amp; Wooldridge, M. (2014). </w:t>
      </w:r>
      <w:r w:rsidRPr="00452260">
        <w:rPr>
          <w:rFonts w:ascii="Times New Roman" w:eastAsia="Times New Roman" w:hAnsi="Times New Roman" w:cs="Times New Roman"/>
          <w:i/>
          <w:iCs/>
          <w:kern w:val="0"/>
          <w14:ligatures w14:val="none"/>
        </w:rPr>
        <w:t>Principles of automated negotiation</w:t>
      </w:r>
      <w:r w:rsidRPr="00452260">
        <w:rPr>
          <w:rFonts w:ascii="Times New Roman" w:eastAsia="Times New Roman" w:hAnsi="Times New Roman" w:cs="Times New Roman"/>
          <w:kern w:val="0"/>
          <w14:ligatures w14:val="none"/>
        </w:rPr>
        <w:t>. Cambridge University Press.</w:t>
      </w:r>
    </w:p>
    <w:p w14:paraId="1B488BBB"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Fu, R., Huang, J., Ng, Y., &amp; Potts, C. (2023). Multi-party goal tracking with LLMs: Comparing pre-training, fine-tuning, and prompt engineering. </w:t>
      </w:r>
      <w:r w:rsidRPr="00452260">
        <w:rPr>
          <w:rFonts w:ascii="Times New Roman" w:eastAsia="Times New Roman" w:hAnsi="Times New Roman" w:cs="Times New Roman"/>
          <w:i/>
          <w:iCs/>
          <w:kern w:val="0"/>
          <w14:ligatures w14:val="none"/>
        </w:rPr>
        <w:t>arXiv preprint arXiv:2310.10823</w:t>
      </w:r>
      <w:r w:rsidRPr="00452260">
        <w:rPr>
          <w:rFonts w:ascii="Times New Roman" w:eastAsia="Times New Roman" w:hAnsi="Times New Roman" w:cs="Times New Roman"/>
          <w:kern w:val="0"/>
          <w14:ligatures w14:val="none"/>
        </w:rPr>
        <w:t>.</w:t>
      </w:r>
    </w:p>
    <w:p w14:paraId="492557BB"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Herr, P. M., Akata, E., Fehr, E., Schulz, E., &amp; Oh, S. J. (2024). Large language models cannot replace human participants because they cannot portray identity groups. </w:t>
      </w:r>
      <w:r w:rsidRPr="00452260">
        <w:rPr>
          <w:rFonts w:ascii="Times New Roman" w:eastAsia="Times New Roman" w:hAnsi="Times New Roman" w:cs="Times New Roman"/>
          <w:i/>
          <w:iCs/>
          <w:kern w:val="0"/>
          <w14:ligatures w14:val="none"/>
        </w:rPr>
        <w:t>arXiv preprint arXiv:2402.01908</w:t>
      </w:r>
      <w:r w:rsidRPr="00452260">
        <w:rPr>
          <w:rFonts w:ascii="Times New Roman" w:eastAsia="Times New Roman" w:hAnsi="Times New Roman" w:cs="Times New Roman"/>
          <w:kern w:val="0"/>
          <w14:ligatures w14:val="none"/>
        </w:rPr>
        <w:t>.</w:t>
      </w:r>
    </w:p>
    <w:p w14:paraId="38A36FC2"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Horton, J. J. (2023). Large language models as simulated economic agents: What can we learn from homo silicus? </w:t>
      </w:r>
      <w:r w:rsidRPr="00452260">
        <w:rPr>
          <w:rFonts w:ascii="Times New Roman" w:eastAsia="Times New Roman" w:hAnsi="Times New Roman" w:cs="Times New Roman"/>
          <w:i/>
          <w:iCs/>
          <w:kern w:val="0"/>
          <w14:ligatures w14:val="none"/>
        </w:rPr>
        <w:t>National Bureau of Economic Research Working Paper</w:t>
      </w:r>
      <w:r w:rsidRPr="00452260">
        <w:rPr>
          <w:rFonts w:ascii="Times New Roman" w:eastAsia="Times New Roman" w:hAnsi="Times New Roman" w:cs="Times New Roman"/>
          <w:kern w:val="0"/>
          <w14:ligatures w14:val="none"/>
        </w:rPr>
        <w:t>.</w:t>
      </w:r>
    </w:p>
    <w:p w14:paraId="7103429C"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Kruger, J., &amp; Dunning, D. (1999). Unskilled and unaware of it: How difficulties in recognizing one's own incompetence lead to inflated self-assessments. </w:t>
      </w:r>
      <w:r w:rsidRPr="00452260">
        <w:rPr>
          <w:rFonts w:ascii="Times New Roman" w:eastAsia="Times New Roman" w:hAnsi="Times New Roman" w:cs="Times New Roman"/>
          <w:i/>
          <w:iCs/>
          <w:kern w:val="0"/>
          <w14:ligatures w14:val="none"/>
        </w:rPr>
        <w:t>Journal of Personality and Social Psychology</w:t>
      </w:r>
      <w:r w:rsidRPr="00452260">
        <w:rPr>
          <w:rFonts w:ascii="Times New Roman" w:eastAsia="Times New Roman" w:hAnsi="Times New Roman" w:cs="Times New Roman"/>
          <w:kern w:val="0"/>
          <w14:ligatures w14:val="none"/>
        </w:rPr>
        <w:t>, 77(6), 1121-1134.</w:t>
      </w:r>
    </w:p>
    <w:p w14:paraId="251F5269"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Larrick, R. P. (2004). Debiasing. </w:t>
      </w:r>
      <w:r w:rsidRPr="00452260">
        <w:rPr>
          <w:rFonts w:ascii="Times New Roman" w:eastAsia="Times New Roman" w:hAnsi="Times New Roman" w:cs="Times New Roman"/>
          <w:i/>
          <w:iCs/>
          <w:kern w:val="0"/>
          <w14:ligatures w14:val="none"/>
        </w:rPr>
        <w:t>Blackwell handbook of judgment and decision making</w:t>
      </w:r>
      <w:r w:rsidRPr="00452260">
        <w:rPr>
          <w:rFonts w:ascii="Times New Roman" w:eastAsia="Times New Roman" w:hAnsi="Times New Roman" w:cs="Times New Roman"/>
          <w:kern w:val="0"/>
          <w14:ligatures w14:val="none"/>
        </w:rPr>
        <w:t>, 316-338.</w:t>
      </w:r>
    </w:p>
    <w:p w14:paraId="3DA943A9"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Lopez-Lira, A., Tang, S., &amp; Velu, V. (2025). Can Large Language Models Trade? Testing Financial Theories with LLM Agents in Market Simulations. </w:t>
      </w:r>
      <w:r w:rsidRPr="00452260">
        <w:rPr>
          <w:rFonts w:ascii="Times New Roman" w:eastAsia="Times New Roman" w:hAnsi="Times New Roman" w:cs="Times New Roman"/>
          <w:i/>
          <w:iCs/>
          <w:kern w:val="0"/>
          <w14:ligatures w14:val="none"/>
        </w:rPr>
        <w:t>arXiv preprint arXiv:2504.06789</w:t>
      </w:r>
      <w:r w:rsidRPr="00452260">
        <w:rPr>
          <w:rFonts w:ascii="Times New Roman" w:eastAsia="Times New Roman" w:hAnsi="Times New Roman" w:cs="Times New Roman"/>
          <w:kern w:val="0"/>
          <w14:ligatures w14:val="none"/>
        </w:rPr>
        <w:t>.</w:t>
      </w:r>
    </w:p>
    <w:p w14:paraId="2195891B"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Lorè, N., &amp; Heydari, B. (2024). Strategic behavior of large language models: Game structure vs contextual framing. </w:t>
      </w:r>
      <w:r w:rsidRPr="00452260">
        <w:rPr>
          <w:rFonts w:ascii="Times New Roman" w:eastAsia="Times New Roman" w:hAnsi="Times New Roman" w:cs="Times New Roman"/>
          <w:i/>
          <w:iCs/>
          <w:kern w:val="0"/>
          <w14:ligatures w14:val="none"/>
        </w:rPr>
        <w:t>arXiv preprint arXiv:2309.05898</w:t>
      </w:r>
      <w:r w:rsidRPr="00452260">
        <w:rPr>
          <w:rFonts w:ascii="Times New Roman" w:eastAsia="Times New Roman" w:hAnsi="Times New Roman" w:cs="Times New Roman"/>
          <w:kern w:val="0"/>
          <w14:ligatures w14:val="none"/>
        </w:rPr>
        <w:t>.</w:t>
      </w:r>
    </w:p>
    <w:p w14:paraId="00B99B11"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Madaan, A., Tandon, N., Gupta, P., Hallinan, S., Gao, L., Wiegreffe, S., ... &amp; Clark, P. (2023). Self-refine: Iterative refinement with self-feedback. </w:t>
      </w:r>
      <w:r w:rsidRPr="00452260">
        <w:rPr>
          <w:rFonts w:ascii="Times New Roman" w:eastAsia="Times New Roman" w:hAnsi="Times New Roman" w:cs="Times New Roman"/>
          <w:i/>
          <w:iCs/>
          <w:kern w:val="0"/>
          <w14:ligatures w14:val="none"/>
        </w:rPr>
        <w:t>arXiv preprint arXiv:2303.17651</w:t>
      </w:r>
      <w:r w:rsidRPr="00452260">
        <w:rPr>
          <w:rFonts w:ascii="Times New Roman" w:eastAsia="Times New Roman" w:hAnsi="Times New Roman" w:cs="Times New Roman"/>
          <w:kern w:val="0"/>
          <w14:ligatures w14:val="none"/>
        </w:rPr>
        <w:t>.</w:t>
      </w:r>
    </w:p>
    <w:p w14:paraId="6B7E8EE0"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Reuters. (2024). For markets, AI efficiency may bring volatility. </w:t>
      </w:r>
      <w:r w:rsidRPr="00452260">
        <w:rPr>
          <w:rFonts w:ascii="Times New Roman" w:eastAsia="Times New Roman" w:hAnsi="Times New Roman" w:cs="Times New Roman"/>
          <w:i/>
          <w:iCs/>
          <w:kern w:val="0"/>
          <w14:ligatures w14:val="none"/>
        </w:rPr>
        <w:t>Reuters</w:t>
      </w:r>
      <w:r w:rsidRPr="00452260">
        <w:rPr>
          <w:rFonts w:ascii="Times New Roman" w:eastAsia="Times New Roman" w:hAnsi="Times New Roman" w:cs="Times New Roman"/>
          <w:kern w:val="0"/>
          <w14:ligatures w14:val="none"/>
        </w:rPr>
        <w:t>, October 18, 2024.</w:t>
      </w:r>
    </w:p>
    <w:p w14:paraId="713C0DF3"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Ross, J., Kim, Y., &amp; Lo, A. W. (2024). LLM economicus? Mapping the Behavioral Biases of LLMs via Utility Theory. </w:t>
      </w:r>
      <w:r w:rsidRPr="00452260">
        <w:rPr>
          <w:rFonts w:ascii="Times New Roman" w:eastAsia="Times New Roman" w:hAnsi="Times New Roman" w:cs="Times New Roman"/>
          <w:i/>
          <w:iCs/>
          <w:kern w:val="0"/>
          <w14:ligatures w14:val="none"/>
        </w:rPr>
        <w:t>arXiv preprint</w:t>
      </w:r>
      <w:r w:rsidRPr="00452260">
        <w:rPr>
          <w:rFonts w:ascii="Times New Roman" w:eastAsia="Times New Roman" w:hAnsi="Times New Roman" w:cs="Times New Roman"/>
          <w:kern w:val="0"/>
          <w14:ligatures w14:val="none"/>
        </w:rPr>
        <w:t>, August 2024.</w:t>
      </w:r>
    </w:p>
    <w:p w14:paraId="27F02222"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lastRenderedPageBreak/>
        <w:t xml:space="preserve">Schick, T., &amp; Schütze, H. (2021). Exploiting cloze-questions for few-shot text classification and natural language inference. </w:t>
      </w:r>
      <w:r w:rsidRPr="00452260">
        <w:rPr>
          <w:rFonts w:ascii="Times New Roman" w:eastAsia="Times New Roman" w:hAnsi="Times New Roman" w:cs="Times New Roman"/>
          <w:i/>
          <w:iCs/>
          <w:kern w:val="0"/>
          <w14:ligatures w14:val="none"/>
        </w:rPr>
        <w:t>Proceedings of the 16th Conference of the European Chapter of the Association for Computational Linguistics</w:t>
      </w:r>
      <w:r w:rsidRPr="00452260">
        <w:rPr>
          <w:rFonts w:ascii="Times New Roman" w:eastAsia="Times New Roman" w:hAnsi="Times New Roman" w:cs="Times New Roman"/>
          <w:kern w:val="0"/>
          <w14:ligatures w14:val="none"/>
        </w:rPr>
        <w:t>.</w:t>
      </w:r>
    </w:p>
    <w:p w14:paraId="425A39C2"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Sharma, M., Tong, M., Korbak, T., Duvenaud, D., Askell, A., Bowman, S. R., ... &amp; Perez, E. (2023). Towards understanding sycophancy in language models. </w:t>
      </w:r>
      <w:r w:rsidRPr="00452260">
        <w:rPr>
          <w:rFonts w:ascii="Times New Roman" w:eastAsia="Times New Roman" w:hAnsi="Times New Roman" w:cs="Times New Roman"/>
          <w:i/>
          <w:iCs/>
          <w:kern w:val="0"/>
          <w14:ligatures w14:val="none"/>
        </w:rPr>
        <w:t>arXiv preprint arXiv:2310.13548</w:t>
      </w:r>
      <w:r w:rsidRPr="00452260">
        <w:rPr>
          <w:rFonts w:ascii="Times New Roman" w:eastAsia="Times New Roman" w:hAnsi="Times New Roman" w:cs="Times New Roman"/>
          <w:kern w:val="0"/>
          <w14:ligatures w14:val="none"/>
        </w:rPr>
        <w:t>.</w:t>
      </w:r>
    </w:p>
    <w:p w14:paraId="1A66A54A"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Srivastava, A., Rastogi, A., Rao, A., Shoeb, A. A. M., Abid, A., Fisch, A., ... &amp; Wu, T. (2025). Beyond the imitation game: Quantifying and extrapolating the capabilities of language models. </w:t>
      </w:r>
      <w:r w:rsidRPr="00452260">
        <w:rPr>
          <w:rFonts w:ascii="Times New Roman" w:eastAsia="Times New Roman" w:hAnsi="Times New Roman" w:cs="Times New Roman"/>
          <w:i/>
          <w:iCs/>
          <w:kern w:val="0"/>
          <w14:ligatures w14:val="none"/>
        </w:rPr>
        <w:t>Transactions on Machine Learning Research</w:t>
      </w:r>
      <w:r w:rsidRPr="00452260">
        <w:rPr>
          <w:rFonts w:ascii="Times New Roman" w:eastAsia="Times New Roman" w:hAnsi="Times New Roman" w:cs="Times New Roman"/>
          <w:kern w:val="0"/>
          <w14:ligatures w14:val="none"/>
        </w:rPr>
        <w:t>.</w:t>
      </w:r>
    </w:p>
    <w:p w14:paraId="6EDFCB3E"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Uesato, J., Kushman, N., Kumar, R., Song, F., Siegel, N., Wang, L., ... &amp; Irving, G. (2023). Solving math word problems with process-and outcome-based feedback. </w:t>
      </w:r>
      <w:r w:rsidRPr="00452260">
        <w:rPr>
          <w:rFonts w:ascii="Times New Roman" w:eastAsia="Times New Roman" w:hAnsi="Times New Roman" w:cs="Times New Roman"/>
          <w:i/>
          <w:iCs/>
          <w:kern w:val="0"/>
          <w14:ligatures w14:val="none"/>
        </w:rPr>
        <w:t>arXiv preprint arXiv:2310.10047</w:t>
      </w:r>
      <w:r w:rsidRPr="00452260">
        <w:rPr>
          <w:rFonts w:ascii="Times New Roman" w:eastAsia="Times New Roman" w:hAnsi="Times New Roman" w:cs="Times New Roman"/>
          <w:kern w:val="0"/>
          <w14:ligatures w14:val="none"/>
        </w:rPr>
        <w:t>.</w:t>
      </w:r>
    </w:p>
    <w:p w14:paraId="1A84EEAE"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Vygotsky, L. S. (1978). </w:t>
      </w:r>
      <w:r w:rsidRPr="00452260">
        <w:rPr>
          <w:rFonts w:ascii="Times New Roman" w:eastAsia="Times New Roman" w:hAnsi="Times New Roman" w:cs="Times New Roman"/>
          <w:i/>
          <w:iCs/>
          <w:kern w:val="0"/>
          <w14:ligatures w14:val="none"/>
        </w:rPr>
        <w:t>Mind in society: The development of higher psychological processes</w:t>
      </w:r>
      <w:r w:rsidRPr="00452260">
        <w:rPr>
          <w:rFonts w:ascii="Times New Roman" w:eastAsia="Times New Roman" w:hAnsi="Times New Roman" w:cs="Times New Roman"/>
          <w:kern w:val="0"/>
          <w14:ligatures w14:val="none"/>
        </w:rPr>
        <w:t>. Harvard University Press.</w:t>
      </w:r>
    </w:p>
    <w:p w14:paraId="78C544ED"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Wang, Z., Mao, S., Wu, W., Ge, T., Wei, F., &amp; Ji, H. (2023). Unleashing the emergent cognitive synergy in large language models: A task-solving agent through multi-persona self-collaboration. </w:t>
      </w:r>
      <w:r w:rsidRPr="00452260">
        <w:rPr>
          <w:rFonts w:ascii="Times New Roman" w:eastAsia="Times New Roman" w:hAnsi="Times New Roman" w:cs="Times New Roman"/>
          <w:i/>
          <w:iCs/>
          <w:kern w:val="0"/>
          <w14:ligatures w14:val="none"/>
        </w:rPr>
        <w:t>arXiv preprint arXiv:2307.05300</w:t>
      </w:r>
      <w:r w:rsidRPr="00452260">
        <w:rPr>
          <w:rFonts w:ascii="Times New Roman" w:eastAsia="Times New Roman" w:hAnsi="Times New Roman" w:cs="Times New Roman"/>
          <w:kern w:val="0"/>
          <w14:ligatures w14:val="none"/>
        </w:rPr>
        <w:t>.</w:t>
      </w:r>
    </w:p>
    <w:p w14:paraId="42F22F62"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Wei, J., Wang, X., Schuurmans, D., Bosma, M., Xia, F., Chi, E., ... &amp; Zhou, D. (2022). Chain-of-thought prompting elicits reasoning in large language models. </w:t>
      </w:r>
      <w:r w:rsidRPr="00452260">
        <w:rPr>
          <w:rFonts w:ascii="Times New Roman" w:eastAsia="Times New Roman" w:hAnsi="Times New Roman" w:cs="Times New Roman"/>
          <w:i/>
          <w:iCs/>
          <w:kern w:val="0"/>
          <w14:ligatures w14:val="none"/>
        </w:rPr>
        <w:t>Advances in Neural Information Processing Systems</w:t>
      </w:r>
      <w:r w:rsidRPr="00452260">
        <w:rPr>
          <w:rFonts w:ascii="Times New Roman" w:eastAsia="Times New Roman" w:hAnsi="Times New Roman" w:cs="Times New Roman"/>
          <w:kern w:val="0"/>
          <w14:ligatures w14:val="none"/>
        </w:rPr>
        <w:t>, 35, 24824-24837.</w:t>
      </w:r>
    </w:p>
    <w:p w14:paraId="6010A308"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WikiAlgoTrade. (2025). Algorithmic trading -- Ethical Implications and Fairness. </w:t>
      </w:r>
      <w:r w:rsidRPr="00452260">
        <w:rPr>
          <w:rFonts w:ascii="Times New Roman" w:eastAsia="Times New Roman" w:hAnsi="Times New Roman" w:cs="Times New Roman"/>
          <w:i/>
          <w:iCs/>
          <w:kern w:val="0"/>
          <w14:ligatures w14:val="none"/>
        </w:rPr>
        <w:t>Wikipedia</w:t>
      </w:r>
      <w:r w:rsidRPr="00452260">
        <w:rPr>
          <w:rFonts w:ascii="Times New Roman" w:eastAsia="Times New Roman" w:hAnsi="Times New Roman" w:cs="Times New Roman"/>
          <w:kern w:val="0"/>
          <w14:ligatures w14:val="none"/>
        </w:rPr>
        <w:t>, accessed June 2025.</w:t>
      </w:r>
    </w:p>
    <w:p w14:paraId="794B6157"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Xiao, Y., Li, H., &amp; Zhang, R. (2024). TradingAgents: Multi-Agents LLM Financial Trading Framework. </w:t>
      </w:r>
      <w:r w:rsidRPr="00452260">
        <w:rPr>
          <w:rFonts w:ascii="Times New Roman" w:eastAsia="Times New Roman" w:hAnsi="Times New Roman" w:cs="Times New Roman"/>
          <w:i/>
          <w:iCs/>
          <w:kern w:val="0"/>
          <w14:ligatures w14:val="none"/>
        </w:rPr>
        <w:t>arXiv preprint arXiv:2412.03456</w:t>
      </w:r>
      <w:r w:rsidRPr="00452260">
        <w:rPr>
          <w:rFonts w:ascii="Times New Roman" w:eastAsia="Times New Roman" w:hAnsi="Times New Roman" w:cs="Times New Roman"/>
          <w:kern w:val="0"/>
          <w14:ligatures w14:val="none"/>
        </w:rPr>
        <w:t>.</w:t>
      </w:r>
    </w:p>
    <w:p w14:paraId="5BE234F9"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Zhang, L., Xu, D., &amp; Gao, Y. (2024). Survey on Strategic Reasoning with Large Language Models. </w:t>
      </w:r>
      <w:r w:rsidRPr="00452260">
        <w:rPr>
          <w:rFonts w:ascii="Times New Roman" w:eastAsia="Times New Roman" w:hAnsi="Times New Roman" w:cs="Times New Roman"/>
          <w:i/>
          <w:iCs/>
          <w:kern w:val="0"/>
          <w14:ligatures w14:val="none"/>
        </w:rPr>
        <w:t>arXiv preprint arXiv:2404.02367</w:t>
      </w:r>
      <w:r w:rsidRPr="00452260">
        <w:rPr>
          <w:rFonts w:ascii="Times New Roman" w:eastAsia="Times New Roman" w:hAnsi="Times New Roman" w:cs="Times New Roman"/>
          <w:kern w:val="0"/>
          <w14:ligatures w14:val="none"/>
        </w:rPr>
        <w:t>.</w:t>
      </w:r>
    </w:p>
    <w:p w14:paraId="101723BB"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Zhang, Y., Li, Y., Cui, L., Cai, D., Liu, L., Fu, T., ... &amp; Shi, S. (2024). Siren's song in the AI ocean: A survey on hallucination in large language models. </w:t>
      </w:r>
      <w:r w:rsidRPr="00452260">
        <w:rPr>
          <w:rFonts w:ascii="Times New Roman" w:eastAsia="Times New Roman" w:hAnsi="Times New Roman" w:cs="Times New Roman"/>
          <w:i/>
          <w:iCs/>
          <w:kern w:val="0"/>
          <w14:ligatures w14:val="none"/>
        </w:rPr>
        <w:t>arXiv preprint arXiv:2309.01219</w:t>
      </w:r>
      <w:r w:rsidRPr="00452260">
        <w:rPr>
          <w:rFonts w:ascii="Times New Roman" w:eastAsia="Times New Roman" w:hAnsi="Times New Roman" w:cs="Times New Roman"/>
          <w:kern w:val="0"/>
          <w14:ligatures w14:val="none"/>
        </w:rPr>
        <w:t>.</w:t>
      </w:r>
    </w:p>
    <w:p w14:paraId="62C2664B"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Zhao, W. X., Zhou, K., Li, J., Tang, T., Wang, X., Hou, Y., ... &amp; Wen, J. R. (2023). A survey of large language models. </w:t>
      </w:r>
      <w:r w:rsidRPr="00452260">
        <w:rPr>
          <w:rFonts w:ascii="Times New Roman" w:eastAsia="Times New Roman" w:hAnsi="Times New Roman" w:cs="Times New Roman"/>
          <w:i/>
          <w:iCs/>
          <w:kern w:val="0"/>
          <w14:ligatures w14:val="none"/>
        </w:rPr>
        <w:t>arXiv preprint arXiv:2303.18223</w:t>
      </w:r>
      <w:r w:rsidRPr="00452260">
        <w:rPr>
          <w:rFonts w:ascii="Times New Roman" w:eastAsia="Times New Roman" w:hAnsi="Times New Roman" w:cs="Times New Roman"/>
          <w:kern w:val="0"/>
          <w14:ligatures w14:val="none"/>
        </w:rPr>
        <w:t>.</w:t>
      </w:r>
    </w:p>
    <w:p w14:paraId="56DB2F46" w14:textId="77777777" w:rsidR="00452260" w:rsidRPr="00452260" w:rsidRDefault="00452260" w:rsidP="00452260">
      <w:pPr>
        <w:spacing w:before="100" w:beforeAutospacing="1" w:after="100" w:afterAutospacing="1" w:line="240" w:lineRule="auto"/>
        <w:rPr>
          <w:rFonts w:ascii="Times New Roman" w:eastAsia="Times New Roman" w:hAnsi="Times New Roman" w:cs="Times New Roman"/>
          <w:kern w:val="0"/>
          <w14:ligatures w14:val="none"/>
        </w:rPr>
      </w:pPr>
      <w:r w:rsidRPr="00452260">
        <w:rPr>
          <w:rFonts w:ascii="Times New Roman" w:eastAsia="Times New Roman" w:hAnsi="Times New Roman" w:cs="Times New Roman"/>
          <w:kern w:val="0"/>
          <w14:ligatures w14:val="none"/>
        </w:rPr>
        <w:t xml:space="preserve">Zhi, Y., Zhang, X., &amp; others. (2025). Exposing Product Bias in LLM Investment Recommendation. </w:t>
      </w:r>
      <w:r w:rsidRPr="00452260">
        <w:rPr>
          <w:rFonts w:ascii="Times New Roman" w:eastAsia="Times New Roman" w:hAnsi="Times New Roman" w:cs="Times New Roman"/>
          <w:i/>
          <w:iCs/>
          <w:kern w:val="0"/>
          <w14:ligatures w14:val="none"/>
        </w:rPr>
        <w:t>arXiv preprint</w:t>
      </w:r>
      <w:r w:rsidRPr="00452260">
        <w:rPr>
          <w:rFonts w:ascii="Times New Roman" w:eastAsia="Times New Roman" w:hAnsi="Times New Roman" w:cs="Times New Roman"/>
          <w:kern w:val="0"/>
          <w14:ligatures w14:val="none"/>
        </w:rPr>
        <w:t>, March 2025.</w:t>
      </w:r>
    </w:p>
    <w:p w14:paraId="68BC2DA4" w14:textId="77777777" w:rsidR="00A7122A" w:rsidRPr="00A7122A" w:rsidRDefault="00A7122A" w:rsidP="00A7122A">
      <w:pPr>
        <w:pStyle w:val="NormalWeb"/>
        <w:rPr>
          <w:color w:val="000000"/>
        </w:rPr>
      </w:pPr>
    </w:p>
    <w:sectPr w:rsidR="00A7122A" w:rsidRPr="00A71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31F"/>
    <w:multiLevelType w:val="multilevel"/>
    <w:tmpl w:val="F186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562F0"/>
    <w:multiLevelType w:val="multilevel"/>
    <w:tmpl w:val="CE44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14374"/>
    <w:multiLevelType w:val="multilevel"/>
    <w:tmpl w:val="F57E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D5E82"/>
    <w:multiLevelType w:val="multilevel"/>
    <w:tmpl w:val="C862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77721"/>
    <w:multiLevelType w:val="multilevel"/>
    <w:tmpl w:val="04E4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053FE"/>
    <w:multiLevelType w:val="multilevel"/>
    <w:tmpl w:val="0C3C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A1E37"/>
    <w:multiLevelType w:val="multilevel"/>
    <w:tmpl w:val="D1E27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F56949"/>
    <w:multiLevelType w:val="multilevel"/>
    <w:tmpl w:val="D7C0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A6F3B"/>
    <w:multiLevelType w:val="multilevel"/>
    <w:tmpl w:val="ED8E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657E1"/>
    <w:multiLevelType w:val="multilevel"/>
    <w:tmpl w:val="18583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651682"/>
    <w:multiLevelType w:val="multilevel"/>
    <w:tmpl w:val="60701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E40595"/>
    <w:multiLevelType w:val="multilevel"/>
    <w:tmpl w:val="AB42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B6E1D"/>
    <w:multiLevelType w:val="multilevel"/>
    <w:tmpl w:val="4FA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84029"/>
    <w:multiLevelType w:val="multilevel"/>
    <w:tmpl w:val="4DEA7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3B0F33"/>
    <w:multiLevelType w:val="multilevel"/>
    <w:tmpl w:val="A58E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9C7052"/>
    <w:multiLevelType w:val="multilevel"/>
    <w:tmpl w:val="A9A0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5B3C9D"/>
    <w:multiLevelType w:val="multilevel"/>
    <w:tmpl w:val="3438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70DDD"/>
    <w:multiLevelType w:val="multilevel"/>
    <w:tmpl w:val="1E60B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5E13E0"/>
    <w:multiLevelType w:val="multilevel"/>
    <w:tmpl w:val="7EC0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E6A22"/>
    <w:multiLevelType w:val="multilevel"/>
    <w:tmpl w:val="E090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82D92"/>
    <w:multiLevelType w:val="multilevel"/>
    <w:tmpl w:val="1172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153067"/>
    <w:multiLevelType w:val="multilevel"/>
    <w:tmpl w:val="4C10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353E86"/>
    <w:multiLevelType w:val="multilevel"/>
    <w:tmpl w:val="DDA6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BD0B99"/>
    <w:multiLevelType w:val="multilevel"/>
    <w:tmpl w:val="5DDC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B1C16"/>
    <w:multiLevelType w:val="multilevel"/>
    <w:tmpl w:val="640EC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CE36C5"/>
    <w:multiLevelType w:val="multilevel"/>
    <w:tmpl w:val="A49C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D41694"/>
    <w:multiLevelType w:val="multilevel"/>
    <w:tmpl w:val="CC86C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584515"/>
    <w:multiLevelType w:val="multilevel"/>
    <w:tmpl w:val="11880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4A227B"/>
    <w:multiLevelType w:val="multilevel"/>
    <w:tmpl w:val="EED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B921FF"/>
    <w:multiLevelType w:val="multilevel"/>
    <w:tmpl w:val="E1AC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D6F28"/>
    <w:multiLevelType w:val="multilevel"/>
    <w:tmpl w:val="4458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1113DC"/>
    <w:multiLevelType w:val="multilevel"/>
    <w:tmpl w:val="1C30B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CA6654"/>
    <w:multiLevelType w:val="multilevel"/>
    <w:tmpl w:val="FDCC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EE37C1"/>
    <w:multiLevelType w:val="multilevel"/>
    <w:tmpl w:val="5348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6B685E"/>
    <w:multiLevelType w:val="multilevel"/>
    <w:tmpl w:val="5558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084C7B"/>
    <w:multiLevelType w:val="multilevel"/>
    <w:tmpl w:val="C4BE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710873"/>
    <w:multiLevelType w:val="multilevel"/>
    <w:tmpl w:val="A52C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535C14"/>
    <w:multiLevelType w:val="multilevel"/>
    <w:tmpl w:val="4F84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4E4508"/>
    <w:multiLevelType w:val="multilevel"/>
    <w:tmpl w:val="05A61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F66D6A"/>
    <w:multiLevelType w:val="multilevel"/>
    <w:tmpl w:val="A574E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6C02EF"/>
    <w:multiLevelType w:val="multilevel"/>
    <w:tmpl w:val="602C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630576"/>
    <w:multiLevelType w:val="multilevel"/>
    <w:tmpl w:val="44B09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180906"/>
    <w:multiLevelType w:val="multilevel"/>
    <w:tmpl w:val="BA94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205B30"/>
    <w:multiLevelType w:val="multilevel"/>
    <w:tmpl w:val="28F8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7B748F"/>
    <w:multiLevelType w:val="multilevel"/>
    <w:tmpl w:val="C99A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3D7DC0"/>
    <w:multiLevelType w:val="multilevel"/>
    <w:tmpl w:val="0408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AF09C0"/>
    <w:multiLevelType w:val="multilevel"/>
    <w:tmpl w:val="8A38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DA7B96"/>
    <w:multiLevelType w:val="multilevel"/>
    <w:tmpl w:val="FC88A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5570F0"/>
    <w:multiLevelType w:val="multilevel"/>
    <w:tmpl w:val="137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AA2D8B"/>
    <w:multiLevelType w:val="multilevel"/>
    <w:tmpl w:val="BC301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5505052">
    <w:abstractNumId w:val="40"/>
  </w:num>
  <w:num w:numId="2" w16cid:durableId="1566791202">
    <w:abstractNumId w:val="39"/>
  </w:num>
  <w:num w:numId="3" w16cid:durableId="1337535647">
    <w:abstractNumId w:val="29"/>
  </w:num>
  <w:num w:numId="4" w16cid:durableId="1621373931">
    <w:abstractNumId w:val="49"/>
  </w:num>
  <w:num w:numId="5" w16cid:durableId="1068769449">
    <w:abstractNumId w:val="47"/>
  </w:num>
  <w:num w:numId="6" w16cid:durableId="39257511">
    <w:abstractNumId w:val="45"/>
  </w:num>
  <w:num w:numId="7" w16cid:durableId="47189077">
    <w:abstractNumId w:val="43"/>
  </w:num>
  <w:num w:numId="8" w16cid:durableId="221215328">
    <w:abstractNumId w:val="35"/>
  </w:num>
  <w:num w:numId="9" w16cid:durableId="276370540">
    <w:abstractNumId w:val="0"/>
  </w:num>
  <w:num w:numId="10" w16cid:durableId="1949893861">
    <w:abstractNumId w:val="9"/>
  </w:num>
  <w:num w:numId="11" w16cid:durableId="688333748">
    <w:abstractNumId w:val="41"/>
  </w:num>
  <w:num w:numId="12" w16cid:durableId="828248936">
    <w:abstractNumId w:val="15"/>
  </w:num>
  <w:num w:numId="13" w16cid:durableId="188031957">
    <w:abstractNumId w:val="25"/>
  </w:num>
  <w:num w:numId="14" w16cid:durableId="1920941294">
    <w:abstractNumId w:val="36"/>
  </w:num>
  <w:num w:numId="15" w16cid:durableId="159196604">
    <w:abstractNumId w:val="18"/>
  </w:num>
  <w:num w:numId="16" w16cid:durableId="1323387951">
    <w:abstractNumId w:val="33"/>
  </w:num>
  <w:num w:numId="17" w16cid:durableId="1984776654">
    <w:abstractNumId w:val="44"/>
  </w:num>
  <w:num w:numId="18" w16cid:durableId="706680235">
    <w:abstractNumId w:val="26"/>
  </w:num>
  <w:num w:numId="19" w16cid:durableId="759912495">
    <w:abstractNumId w:val="2"/>
  </w:num>
  <w:num w:numId="20" w16cid:durableId="241529991">
    <w:abstractNumId w:val="31"/>
  </w:num>
  <w:num w:numId="21" w16cid:durableId="1650472404">
    <w:abstractNumId w:val="28"/>
  </w:num>
  <w:num w:numId="22" w16cid:durableId="401752454">
    <w:abstractNumId w:val="21"/>
  </w:num>
  <w:num w:numId="23" w16cid:durableId="2088644131">
    <w:abstractNumId w:val="1"/>
  </w:num>
  <w:num w:numId="24" w16cid:durableId="1772042694">
    <w:abstractNumId w:val="12"/>
  </w:num>
  <w:num w:numId="25" w16cid:durableId="76445588">
    <w:abstractNumId w:val="17"/>
  </w:num>
  <w:num w:numId="26" w16cid:durableId="1432165252">
    <w:abstractNumId w:val="22"/>
  </w:num>
  <w:num w:numId="27" w16cid:durableId="1994095009">
    <w:abstractNumId w:val="30"/>
  </w:num>
  <w:num w:numId="28" w16cid:durableId="1785538269">
    <w:abstractNumId w:val="37"/>
  </w:num>
  <w:num w:numId="29" w16cid:durableId="1994721601">
    <w:abstractNumId w:val="11"/>
  </w:num>
  <w:num w:numId="30" w16cid:durableId="1022439164">
    <w:abstractNumId w:val="23"/>
  </w:num>
  <w:num w:numId="31" w16cid:durableId="1019116790">
    <w:abstractNumId w:val="13"/>
  </w:num>
  <w:num w:numId="32" w16cid:durableId="1094666101">
    <w:abstractNumId w:val="27"/>
  </w:num>
  <w:num w:numId="33" w16cid:durableId="985285592">
    <w:abstractNumId w:val="4"/>
  </w:num>
  <w:num w:numId="34" w16cid:durableId="65690888">
    <w:abstractNumId w:val="48"/>
  </w:num>
  <w:num w:numId="35" w16cid:durableId="2071267013">
    <w:abstractNumId w:val="20"/>
  </w:num>
  <w:num w:numId="36" w16cid:durableId="860969567">
    <w:abstractNumId w:val="34"/>
  </w:num>
  <w:num w:numId="37" w16cid:durableId="918097023">
    <w:abstractNumId w:val="19"/>
  </w:num>
  <w:num w:numId="38" w16cid:durableId="357707426">
    <w:abstractNumId w:val="7"/>
  </w:num>
  <w:num w:numId="39" w16cid:durableId="1248154226">
    <w:abstractNumId w:val="24"/>
  </w:num>
  <w:num w:numId="40" w16cid:durableId="1355959386">
    <w:abstractNumId w:val="10"/>
  </w:num>
  <w:num w:numId="41" w16cid:durableId="1166362728">
    <w:abstractNumId w:val="38"/>
  </w:num>
  <w:num w:numId="42" w16cid:durableId="1667005575">
    <w:abstractNumId w:val="46"/>
  </w:num>
  <w:num w:numId="43" w16cid:durableId="72892587">
    <w:abstractNumId w:val="14"/>
  </w:num>
  <w:num w:numId="44" w16cid:durableId="1204368427">
    <w:abstractNumId w:val="16"/>
  </w:num>
  <w:num w:numId="45" w16cid:durableId="78137141">
    <w:abstractNumId w:val="3"/>
  </w:num>
  <w:num w:numId="46" w16cid:durableId="1576547469">
    <w:abstractNumId w:val="6"/>
  </w:num>
  <w:num w:numId="47" w16cid:durableId="2121606475">
    <w:abstractNumId w:val="32"/>
  </w:num>
  <w:num w:numId="48" w16cid:durableId="1624313937">
    <w:abstractNumId w:val="42"/>
  </w:num>
  <w:num w:numId="49" w16cid:durableId="1029723430">
    <w:abstractNumId w:val="8"/>
  </w:num>
  <w:num w:numId="50" w16cid:durableId="4590372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C00"/>
    <w:rsid w:val="00033FB7"/>
    <w:rsid w:val="00235C00"/>
    <w:rsid w:val="00276835"/>
    <w:rsid w:val="003079B9"/>
    <w:rsid w:val="003201CC"/>
    <w:rsid w:val="0032260A"/>
    <w:rsid w:val="00393E34"/>
    <w:rsid w:val="00452260"/>
    <w:rsid w:val="00604097"/>
    <w:rsid w:val="00653F3B"/>
    <w:rsid w:val="007B618C"/>
    <w:rsid w:val="00802971"/>
    <w:rsid w:val="00865714"/>
    <w:rsid w:val="009975E6"/>
    <w:rsid w:val="00997998"/>
    <w:rsid w:val="00A7122A"/>
    <w:rsid w:val="00B512F1"/>
    <w:rsid w:val="00B9317D"/>
    <w:rsid w:val="00C84B8A"/>
    <w:rsid w:val="00DC76CD"/>
    <w:rsid w:val="00FD140C"/>
    <w:rsid w:val="00FF1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224E6"/>
  <w15:chartTrackingRefBased/>
  <w15:docId w15:val="{56C02ED3-57FB-4048-8169-586C3415B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C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5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5C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5C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C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C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5C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5C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35C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C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C00"/>
    <w:rPr>
      <w:rFonts w:eastAsiaTheme="majorEastAsia" w:cstheme="majorBidi"/>
      <w:color w:val="272727" w:themeColor="text1" w:themeTint="D8"/>
    </w:rPr>
  </w:style>
  <w:style w:type="paragraph" w:styleId="Title">
    <w:name w:val="Title"/>
    <w:basedOn w:val="Normal"/>
    <w:next w:val="Normal"/>
    <w:link w:val="TitleChar"/>
    <w:uiPriority w:val="10"/>
    <w:qFormat/>
    <w:rsid w:val="00235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C00"/>
    <w:pPr>
      <w:spacing w:before="160"/>
      <w:jc w:val="center"/>
    </w:pPr>
    <w:rPr>
      <w:i/>
      <w:iCs/>
      <w:color w:val="404040" w:themeColor="text1" w:themeTint="BF"/>
    </w:rPr>
  </w:style>
  <w:style w:type="character" w:customStyle="1" w:styleId="QuoteChar">
    <w:name w:val="Quote Char"/>
    <w:basedOn w:val="DefaultParagraphFont"/>
    <w:link w:val="Quote"/>
    <w:uiPriority w:val="29"/>
    <w:rsid w:val="00235C00"/>
    <w:rPr>
      <w:i/>
      <w:iCs/>
      <w:color w:val="404040" w:themeColor="text1" w:themeTint="BF"/>
    </w:rPr>
  </w:style>
  <w:style w:type="paragraph" w:styleId="ListParagraph">
    <w:name w:val="List Paragraph"/>
    <w:basedOn w:val="Normal"/>
    <w:uiPriority w:val="34"/>
    <w:qFormat/>
    <w:rsid w:val="00235C00"/>
    <w:pPr>
      <w:ind w:left="720"/>
      <w:contextualSpacing/>
    </w:pPr>
  </w:style>
  <w:style w:type="character" w:styleId="IntenseEmphasis">
    <w:name w:val="Intense Emphasis"/>
    <w:basedOn w:val="DefaultParagraphFont"/>
    <w:uiPriority w:val="21"/>
    <w:qFormat/>
    <w:rsid w:val="00235C00"/>
    <w:rPr>
      <w:i/>
      <w:iCs/>
      <w:color w:val="0F4761" w:themeColor="accent1" w:themeShade="BF"/>
    </w:rPr>
  </w:style>
  <w:style w:type="paragraph" w:styleId="IntenseQuote">
    <w:name w:val="Intense Quote"/>
    <w:basedOn w:val="Normal"/>
    <w:next w:val="Normal"/>
    <w:link w:val="IntenseQuoteChar"/>
    <w:uiPriority w:val="30"/>
    <w:qFormat/>
    <w:rsid w:val="00235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C00"/>
    <w:rPr>
      <w:i/>
      <w:iCs/>
      <w:color w:val="0F4761" w:themeColor="accent1" w:themeShade="BF"/>
    </w:rPr>
  </w:style>
  <w:style w:type="character" w:styleId="IntenseReference">
    <w:name w:val="Intense Reference"/>
    <w:basedOn w:val="DefaultParagraphFont"/>
    <w:uiPriority w:val="32"/>
    <w:qFormat/>
    <w:rsid w:val="00235C00"/>
    <w:rPr>
      <w:b/>
      <w:bCs/>
      <w:smallCaps/>
      <w:color w:val="0F4761" w:themeColor="accent1" w:themeShade="BF"/>
      <w:spacing w:val="5"/>
    </w:rPr>
  </w:style>
  <w:style w:type="paragraph" w:styleId="NormalWeb">
    <w:name w:val="Normal (Web)"/>
    <w:basedOn w:val="Normal"/>
    <w:uiPriority w:val="99"/>
    <w:unhideWhenUsed/>
    <w:rsid w:val="00235C0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35C00"/>
  </w:style>
  <w:style w:type="character" w:styleId="Emphasis">
    <w:name w:val="Emphasis"/>
    <w:basedOn w:val="DefaultParagraphFont"/>
    <w:uiPriority w:val="20"/>
    <w:qFormat/>
    <w:rsid w:val="00235C00"/>
    <w:rPr>
      <w:i/>
      <w:iCs/>
    </w:rPr>
  </w:style>
  <w:style w:type="character" w:styleId="Strong">
    <w:name w:val="Strong"/>
    <w:basedOn w:val="DefaultParagraphFont"/>
    <w:uiPriority w:val="22"/>
    <w:qFormat/>
    <w:rsid w:val="00235C00"/>
    <w:rPr>
      <w:b/>
      <w:bCs/>
    </w:rPr>
  </w:style>
  <w:style w:type="paragraph" w:customStyle="1" w:styleId="p1">
    <w:name w:val="p1"/>
    <w:basedOn w:val="Normal"/>
    <w:rsid w:val="00DC76C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C76CD"/>
  </w:style>
  <w:style w:type="paragraph" w:customStyle="1" w:styleId="p2">
    <w:name w:val="p2"/>
    <w:basedOn w:val="Normal"/>
    <w:rsid w:val="00DC76C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DC76C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DC76CD"/>
  </w:style>
  <w:style w:type="character" w:customStyle="1" w:styleId="s3">
    <w:name w:val="s3"/>
    <w:basedOn w:val="DefaultParagraphFont"/>
    <w:rsid w:val="00033FB7"/>
  </w:style>
  <w:style w:type="character" w:customStyle="1" w:styleId="s4">
    <w:name w:val="s4"/>
    <w:basedOn w:val="DefaultParagraphFont"/>
    <w:rsid w:val="00033FB7"/>
  </w:style>
  <w:style w:type="paragraph" w:customStyle="1" w:styleId="whitespace-normal">
    <w:name w:val="whitespace-normal"/>
    <w:basedOn w:val="Normal"/>
    <w:rsid w:val="00FF16C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9979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9799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97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97998"/>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115594">
      <w:bodyDiv w:val="1"/>
      <w:marLeft w:val="0"/>
      <w:marRight w:val="0"/>
      <w:marTop w:val="0"/>
      <w:marBottom w:val="0"/>
      <w:divBdr>
        <w:top w:val="none" w:sz="0" w:space="0" w:color="auto"/>
        <w:left w:val="none" w:sz="0" w:space="0" w:color="auto"/>
        <w:bottom w:val="none" w:sz="0" w:space="0" w:color="auto"/>
        <w:right w:val="none" w:sz="0" w:space="0" w:color="auto"/>
      </w:divBdr>
    </w:div>
    <w:div w:id="250358931">
      <w:bodyDiv w:val="1"/>
      <w:marLeft w:val="0"/>
      <w:marRight w:val="0"/>
      <w:marTop w:val="0"/>
      <w:marBottom w:val="0"/>
      <w:divBdr>
        <w:top w:val="none" w:sz="0" w:space="0" w:color="auto"/>
        <w:left w:val="none" w:sz="0" w:space="0" w:color="auto"/>
        <w:bottom w:val="none" w:sz="0" w:space="0" w:color="auto"/>
        <w:right w:val="none" w:sz="0" w:space="0" w:color="auto"/>
      </w:divBdr>
      <w:divsChild>
        <w:div w:id="1288704170">
          <w:blockQuote w:val="1"/>
          <w:marLeft w:val="225"/>
          <w:marRight w:val="0"/>
          <w:marTop w:val="0"/>
          <w:marBottom w:val="0"/>
          <w:divBdr>
            <w:top w:val="none" w:sz="0" w:space="0" w:color="auto"/>
            <w:left w:val="none" w:sz="0" w:space="0" w:color="auto"/>
            <w:bottom w:val="none" w:sz="0" w:space="0" w:color="auto"/>
            <w:right w:val="none" w:sz="0" w:space="0" w:color="auto"/>
          </w:divBdr>
        </w:div>
        <w:div w:id="1217088593">
          <w:blockQuote w:val="1"/>
          <w:marLeft w:val="225"/>
          <w:marRight w:val="0"/>
          <w:marTop w:val="0"/>
          <w:marBottom w:val="0"/>
          <w:divBdr>
            <w:top w:val="none" w:sz="0" w:space="0" w:color="auto"/>
            <w:left w:val="none" w:sz="0" w:space="0" w:color="auto"/>
            <w:bottom w:val="none" w:sz="0" w:space="0" w:color="auto"/>
            <w:right w:val="none" w:sz="0" w:space="0" w:color="auto"/>
          </w:divBdr>
        </w:div>
        <w:div w:id="164394533">
          <w:blockQuote w:val="1"/>
          <w:marLeft w:val="225"/>
          <w:marRight w:val="0"/>
          <w:marTop w:val="0"/>
          <w:marBottom w:val="0"/>
          <w:divBdr>
            <w:top w:val="none" w:sz="0" w:space="0" w:color="auto"/>
            <w:left w:val="none" w:sz="0" w:space="0" w:color="auto"/>
            <w:bottom w:val="none" w:sz="0" w:space="0" w:color="auto"/>
            <w:right w:val="none" w:sz="0" w:space="0" w:color="auto"/>
          </w:divBdr>
        </w:div>
        <w:div w:id="39886516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59065984">
      <w:bodyDiv w:val="1"/>
      <w:marLeft w:val="0"/>
      <w:marRight w:val="0"/>
      <w:marTop w:val="0"/>
      <w:marBottom w:val="0"/>
      <w:divBdr>
        <w:top w:val="none" w:sz="0" w:space="0" w:color="auto"/>
        <w:left w:val="none" w:sz="0" w:space="0" w:color="auto"/>
        <w:bottom w:val="none" w:sz="0" w:space="0" w:color="auto"/>
        <w:right w:val="none" w:sz="0" w:space="0" w:color="auto"/>
      </w:divBdr>
    </w:div>
    <w:div w:id="345445079">
      <w:bodyDiv w:val="1"/>
      <w:marLeft w:val="0"/>
      <w:marRight w:val="0"/>
      <w:marTop w:val="0"/>
      <w:marBottom w:val="0"/>
      <w:divBdr>
        <w:top w:val="none" w:sz="0" w:space="0" w:color="auto"/>
        <w:left w:val="none" w:sz="0" w:space="0" w:color="auto"/>
        <w:bottom w:val="none" w:sz="0" w:space="0" w:color="auto"/>
        <w:right w:val="none" w:sz="0" w:space="0" w:color="auto"/>
      </w:divBdr>
    </w:div>
    <w:div w:id="411778296">
      <w:bodyDiv w:val="1"/>
      <w:marLeft w:val="0"/>
      <w:marRight w:val="0"/>
      <w:marTop w:val="0"/>
      <w:marBottom w:val="0"/>
      <w:divBdr>
        <w:top w:val="none" w:sz="0" w:space="0" w:color="auto"/>
        <w:left w:val="none" w:sz="0" w:space="0" w:color="auto"/>
        <w:bottom w:val="none" w:sz="0" w:space="0" w:color="auto"/>
        <w:right w:val="none" w:sz="0" w:space="0" w:color="auto"/>
      </w:divBdr>
    </w:div>
    <w:div w:id="754548331">
      <w:bodyDiv w:val="1"/>
      <w:marLeft w:val="0"/>
      <w:marRight w:val="0"/>
      <w:marTop w:val="0"/>
      <w:marBottom w:val="0"/>
      <w:divBdr>
        <w:top w:val="none" w:sz="0" w:space="0" w:color="auto"/>
        <w:left w:val="none" w:sz="0" w:space="0" w:color="auto"/>
        <w:bottom w:val="none" w:sz="0" w:space="0" w:color="auto"/>
        <w:right w:val="none" w:sz="0" w:space="0" w:color="auto"/>
      </w:divBdr>
    </w:div>
    <w:div w:id="965157578">
      <w:bodyDiv w:val="1"/>
      <w:marLeft w:val="0"/>
      <w:marRight w:val="0"/>
      <w:marTop w:val="0"/>
      <w:marBottom w:val="0"/>
      <w:divBdr>
        <w:top w:val="none" w:sz="0" w:space="0" w:color="auto"/>
        <w:left w:val="none" w:sz="0" w:space="0" w:color="auto"/>
        <w:bottom w:val="none" w:sz="0" w:space="0" w:color="auto"/>
        <w:right w:val="none" w:sz="0" w:space="0" w:color="auto"/>
      </w:divBdr>
      <w:divsChild>
        <w:div w:id="1460222877">
          <w:marLeft w:val="0"/>
          <w:marRight w:val="0"/>
          <w:marTop w:val="0"/>
          <w:marBottom w:val="0"/>
          <w:divBdr>
            <w:top w:val="none" w:sz="0" w:space="0" w:color="auto"/>
            <w:left w:val="none" w:sz="0" w:space="0" w:color="auto"/>
            <w:bottom w:val="none" w:sz="0" w:space="0" w:color="auto"/>
            <w:right w:val="none" w:sz="0" w:space="0" w:color="auto"/>
          </w:divBdr>
          <w:divsChild>
            <w:div w:id="417874270">
              <w:marLeft w:val="0"/>
              <w:marRight w:val="0"/>
              <w:marTop w:val="0"/>
              <w:marBottom w:val="0"/>
              <w:divBdr>
                <w:top w:val="none" w:sz="0" w:space="0" w:color="auto"/>
                <w:left w:val="none" w:sz="0" w:space="0" w:color="auto"/>
                <w:bottom w:val="none" w:sz="0" w:space="0" w:color="auto"/>
                <w:right w:val="none" w:sz="0" w:space="0" w:color="auto"/>
              </w:divBdr>
            </w:div>
          </w:divsChild>
        </w:div>
        <w:div w:id="502164402">
          <w:marLeft w:val="0"/>
          <w:marRight w:val="0"/>
          <w:marTop w:val="0"/>
          <w:marBottom w:val="0"/>
          <w:divBdr>
            <w:top w:val="none" w:sz="0" w:space="0" w:color="auto"/>
            <w:left w:val="none" w:sz="0" w:space="0" w:color="auto"/>
            <w:bottom w:val="none" w:sz="0" w:space="0" w:color="auto"/>
            <w:right w:val="none" w:sz="0" w:space="0" w:color="auto"/>
          </w:divBdr>
          <w:divsChild>
            <w:div w:id="120239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535946">
      <w:bodyDiv w:val="1"/>
      <w:marLeft w:val="0"/>
      <w:marRight w:val="0"/>
      <w:marTop w:val="0"/>
      <w:marBottom w:val="0"/>
      <w:divBdr>
        <w:top w:val="none" w:sz="0" w:space="0" w:color="auto"/>
        <w:left w:val="none" w:sz="0" w:space="0" w:color="auto"/>
        <w:bottom w:val="none" w:sz="0" w:space="0" w:color="auto"/>
        <w:right w:val="none" w:sz="0" w:space="0" w:color="auto"/>
      </w:divBdr>
    </w:div>
    <w:div w:id="1036351245">
      <w:bodyDiv w:val="1"/>
      <w:marLeft w:val="0"/>
      <w:marRight w:val="0"/>
      <w:marTop w:val="0"/>
      <w:marBottom w:val="0"/>
      <w:divBdr>
        <w:top w:val="none" w:sz="0" w:space="0" w:color="auto"/>
        <w:left w:val="none" w:sz="0" w:space="0" w:color="auto"/>
        <w:bottom w:val="none" w:sz="0" w:space="0" w:color="auto"/>
        <w:right w:val="none" w:sz="0" w:space="0" w:color="auto"/>
      </w:divBdr>
    </w:div>
    <w:div w:id="1039206167">
      <w:bodyDiv w:val="1"/>
      <w:marLeft w:val="0"/>
      <w:marRight w:val="0"/>
      <w:marTop w:val="0"/>
      <w:marBottom w:val="0"/>
      <w:divBdr>
        <w:top w:val="none" w:sz="0" w:space="0" w:color="auto"/>
        <w:left w:val="none" w:sz="0" w:space="0" w:color="auto"/>
        <w:bottom w:val="none" w:sz="0" w:space="0" w:color="auto"/>
        <w:right w:val="none" w:sz="0" w:space="0" w:color="auto"/>
      </w:divBdr>
      <w:divsChild>
        <w:div w:id="143818215">
          <w:marLeft w:val="0"/>
          <w:marRight w:val="0"/>
          <w:marTop w:val="0"/>
          <w:marBottom w:val="0"/>
          <w:divBdr>
            <w:top w:val="none" w:sz="0" w:space="0" w:color="auto"/>
            <w:left w:val="none" w:sz="0" w:space="0" w:color="auto"/>
            <w:bottom w:val="none" w:sz="0" w:space="0" w:color="auto"/>
            <w:right w:val="none" w:sz="0" w:space="0" w:color="auto"/>
          </w:divBdr>
        </w:div>
      </w:divsChild>
    </w:div>
    <w:div w:id="1081100696">
      <w:bodyDiv w:val="1"/>
      <w:marLeft w:val="0"/>
      <w:marRight w:val="0"/>
      <w:marTop w:val="0"/>
      <w:marBottom w:val="0"/>
      <w:divBdr>
        <w:top w:val="none" w:sz="0" w:space="0" w:color="auto"/>
        <w:left w:val="none" w:sz="0" w:space="0" w:color="auto"/>
        <w:bottom w:val="none" w:sz="0" w:space="0" w:color="auto"/>
        <w:right w:val="none" w:sz="0" w:space="0" w:color="auto"/>
      </w:divBdr>
      <w:divsChild>
        <w:div w:id="283852879">
          <w:marLeft w:val="0"/>
          <w:marRight w:val="0"/>
          <w:marTop w:val="0"/>
          <w:marBottom w:val="0"/>
          <w:divBdr>
            <w:top w:val="none" w:sz="0" w:space="0" w:color="auto"/>
            <w:left w:val="none" w:sz="0" w:space="0" w:color="auto"/>
            <w:bottom w:val="none" w:sz="0" w:space="0" w:color="auto"/>
            <w:right w:val="none" w:sz="0" w:space="0" w:color="auto"/>
          </w:divBdr>
          <w:divsChild>
            <w:div w:id="5967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89424">
      <w:bodyDiv w:val="1"/>
      <w:marLeft w:val="0"/>
      <w:marRight w:val="0"/>
      <w:marTop w:val="0"/>
      <w:marBottom w:val="0"/>
      <w:divBdr>
        <w:top w:val="none" w:sz="0" w:space="0" w:color="auto"/>
        <w:left w:val="none" w:sz="0" w:space="0" w:color="auto"/>
        <w:bottom w:val="none" w:sz="0" w:space="0" w:color="auto"/>
        <w:right w:val="none" w:sz="0" w:space="0" w:color="auto"/>
      </w:divBdr>
    </w:div>
    <w:div w:id="1389065766">
      <w:bodyDiv w:val="1"/>
      <w:marLeft w:val="0"/>
      <w:marRight w:val="0"/>
      <w:marTop w:val="0"/>
      <w:marBottom w:val="0"/>
      <w:divBdr>
        <w:top w:val="none" w:sz="0" w:space="0" w:color="auto"/>
        <w:left w:val="none" w:sz="0" w:space="0" w:color="auto"/>
        <w:bottom w:val="none" w:sz="0" w:space="0" w:color="auto"/>
        <w:right w:val="none" w:sz="0" w:space="0" w:color="auto"/>
      </w:divBdr>
    </w:div>
    <w:div w:id="1522279887">
      <w:bodyDiv w:val="1"/>
      <w:marLeft w:val="0"/>
      <w:marRight w:val="0"/>
      <w:marTop w:val="0"/>
      <w:marBottom w:val="0"/>
      <w:divBdr>
        <w:top w:val="none" w:sz="0" w:space="0" w:color="auto"/>
        <w:left w:val="none" w:sz="0" w:space="0" w:color="auto"/>
        <w:bottom w:val="none" w:sz="0" w:space="0" w:color="auto"/>
        <w:right w:val="none" w:sz="0" w:space="0" w:color="auto"/>
      </w:divBdr>
      <w:divsChild>
        <w:div w:id="1785881274">
          <w:marLeft w:val="0"/>
          <w:marRight w:val="0"/>
          <w:marTop w:val="0"/>
          <w:marBottom w:val="0"/>
          <w:divBdr>
            <w:top w:val="none" w:sz="0" w:space="0" w:color="auto"/>
            <w:left w:val="none" w:sz="0" w:space="0" w:color="auto"/>
            <w:bottom w:val="none" w:sz="0" w:space="0" w:color="auto"/>
            <w:right w:val="none" w:sz="0" w:space="0" w:color="auto"/>
          </w:divBdr>
          <w:divsChild>
            <w:div w:id="1696685672">
              <w:marLeft w:val="0"/>
              <w:marRight w:val="0"/>
              <w:marTop w:val="0"/>
              <w:marBottom w:val="0"/>
              <w:divBdr>
                <w:top w:val="none" w:sz="0" w:space="0" w:color="auto"/>
                <w:left w:val="none" w:sz="0" w:space="0" w:color="auto"/>
                <w:bottom w:val="none" w:sz="0" w:space="0" w:color="auto"/>
                <w:right w:val="none" w:sz="0" w:space="0" w:color="auto"/>
              </w:divBdr>
            </w:div>
          </w:divsChild>
        </w:div>
        <w:div w:id="308678041">
          <w:marLeft w:val="0"/>
          <w:marRight w:val="0"/>
          <w:marTop w:val="0"/>
          <w:marBottom w:val="0"/>
          <w:divBdr>
            <w:top w:val="none" w:sz="0" w:space="0" w:color="auto"/>
            <w:left w:val="none" w:sz="0" w:space="0" w:color="auto"/>
            <w:bottom w:val="none" w:sz="0" w:space="0" w:color="auto"/>
            <w:right w:val="none" w:sz="0" w:space="0" w:color="auto"/>
          </w:divBdr>
          <w:divsChild>
            <w:div w:id="85357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9400">
      <w:bodyDiv w:val="1"/>
      <w:marLeft w:val="0"/>
      <w:marRight w:val="0"/>
      <w:marTop w:val="0"/>
      <w:marBottom w:val="0"/>
      <w:divBdr>
        <w:top w:val="none" w:sz="0" w:space="0" w:color="auto"/>
        <w:left w:val="none" w:sz="0" w:space="0" w:color="auto"/>
        <w:bottom w:val="none" w:sz="0" w:space="0" w:color="auto"/>
        <w:right w:val="none" w:sz="0" w:space="0" w:color="auto"/>
      </w:divBdr>
      <w:divsChild>
        <w:div w:id="19403338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71787002">
      <w:bodyDiv w:val="1"/>
      <w:marLeft w:val="0"/>
      <w:marRight w:val="0"/>
      <w:marTop w:val="0"/>
      <w:marBottom w:val="0"/>
      <w:divBdr>
        <w:top w:val="none" w:sz="0" w:space="0" w:color="auto"/>
        <w:left w:val="none" w:sz="0" w:space="0" w:color="auto"/>
        <w:bottom w:val="none" w:sz="0" w:space="0" w:color="auto"/>
        <w:right w:val="none" w:sz="0" w:space="0" w:color="auto"/>
      </w:divBdr>
    </w:div>
    <w:div w:id="1880123867">
      <w:bodyDiv w:val="1"/>
      <w:marLeft w:val="0"/>
      <w:marRight w:val="0"/>
      <w:marTop w:val="0"/>
      <w:marBottom w:val="0"/>
      <w:divBdr>
        <w:top w:val="none" w:sz="0" w:space="0" w:color="auto"/>
        <w:left w:val="none" w:sz="0" w:space="0" w:color="auto"/>
        <w:bottom w:val="none" w:sz="0" w:space="0" w:color="auto"/>
        <w:right w:val="none" w:sz="0" w:space="0" w:color="auto"/>
      </w:divBdr>
    </w:div>
    <w:div w:id="1939288992">
      <w:bodyDiv w:val="1"/>
      <w:marLeft w:val="0"/>
      <w:marRight w:val="0"/>
      <w:marTop w:val="0"/>
      <w:marBottom w:val="0"/>
      <w:divBdr>
        <w:top w:val="none" w:sz="0" w:space="0" w:color="auto"/>
        <w:left w:val="none" w:sz="0" w:space="0" w:color="auto"/>
        <w:bottom w:val="none" w:sz="0" w:space="0" w:color="auto"/>
        <w:right w:val="none" w:sz="0" w:space="0" w:color="auto"/>
      </w:divBdr>
    </w:div>
    <w:div w:id="209423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20</Pages>
  <Words>8750</Words>
  <Characters>49876</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Hasija, Sunny</dc:creator>
  <cp:keywords/>
  <dc:description/>
  <cp:lastModifiedBy>Hasija, Sunny</cp:lastModifiedBy>
  <cp:revision>9</cp:revision>
  <dcterms:created xsi:type="dcterms:W3CDTF">2025-06-20T15:56:00Z</dcterms:created>
  <dcterms:modified xsi:type="dcterms:W3CDTF">2025-06-21T02:35:00Z</dcterms:modified>
</cp:coreProperties>
</file>