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f659a32fe994b94" /><Relationship Type="http://schemas.openxmlformats.org/package/2006/relationships/metadata/core-properties" Target="/docProps/core.xml" Id="R05afd92fed0e40f3" /><Relationship Type="http://schemas.openxmlformats.org/officeDocument/2006/relationships/extended-properties" Target="/docProps/app.xml" Id="R3329e519cc2b4991" /><Relationship Type="http://schemas.openxmlformats.org/officeDocument/2006/relationships/custom-properties" Target="/docProps/custom.xml" Id="R600d7c9474c04da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80"/>
        <w:jc w:val="center"/>
      </w:pPr>
      <w:r>
        <w:rPr>
          <w:b/>
          <w:sz w:val="52"/>
        </w:rPr>
        <w:t xml:space="preserve">Global Energy &amp; Climate Action Analytics Platform</w:t>
      </w:r>
    </w:p>
    <w:p w14:paraId="00100002" w14:textId="00100003">
      <w:pPr>
        <w:pStyle w:val="Normal"/>
        <w:spacing w:after="80"/>
        <w:jc w:val="center"/>
      </w:pPr>
      <w:r>
        <w:rPr>
          <w:b/>
          <w:color w:val="2E74B5"/>
          <w:sz w:val="26"/>
        </w:rPr>
        <w:t xml:space="preserve">IBM SkillsBuild Data Analytics with AI Internship 2026</w:t>
      </w:r>
    </w:p>
    <w:p w14:paraId="00100004" w14:textId="00100005">
      <w:pPr>
        <w:pStyle w:val="Normal"/>
        <w:spacing w:after="80"/>
        <w:jc w:val="center"/>
      </w:pPr>
      <w:r>
        <w:rPr>
          <w:color w:val="595959"/>
          <w:sz w:val="22"/>
        </w:rPr>
        <w:t xml:space="preserve">BharatCares / AICTE Virtual Internship — Final Project Technical Report</w:t>
      </w:r>
    </w:p>
    <w:p w14:paraId="00100006" w14:textId="00100007">
      <w:pPr>
        <w:pStyle w:val="Normal"/>
        <w:spacing w:after="280"/>
        <w:jc w:val="center"/>
      </w:pPr>
      <w:r>
        <w:rPr>
          <w:b/>
          <w:sz w:val="22"/>
        </w:rPr>
        <w:t xml:space="preserve">Student: Sunny Kumar  |  Internship ID: IBMUEDA1428  |  UN SDG 7 &amp; 13</w:t>
      </w:r>
    </w:p>
    <w:p w14:paraId="00100008" w14:textId="00100009">
      <w:pPr>
        <w:pStyle w:val="Heading1"/>
        <w:spacing w:after="160"/>
      </w:pPr>
      <w:r>
        <w:rPr>
          <w:b/>
          <w:sz w:val="36"/>
        </w:rPr>
        <w:t xml:space="preserve">Section 1: Executive Abstract &amp; UN SDG 7 &amp; 13 Multi-Dimensional Context</w:t>
      </w:r>
    </w:p>
    <w:p w14:paraId="0010000A" w14:textId="0010000B">
      <w:pPr>
        <w:pStyle w:val="Heading2"/>
        <w:spacing w:after="120"/>
      </w:pPr>
      <w:r>
        <w:rPr>
          <w:b/>
          <w:sz w:val="28"/>
        </w:rPr>
        <w:t xml:space="preserve">1.1 Executive Abstract</w:t>
      </w:r>
    </w:p>
    <w:p w14:paraId="0010000C" w14:textId="0010000D">
      <w:pPr>
        <w:pStyle w:val="Normal"/>
        <w:spacing w:after="160"/>
      </w:pPr>
      <w:r>
        <w:rPr>
          <w:sz w:val="22"/>
        </w:rPr>
        <w:t xml:space="preserve">The Global Energy &amp; Climate Action Analytics Platform represents the culminating deliverable of the IBM SkillsBuild Data Analytics with AI Internship 2026, developed by Sunny Kumar (Internship ID: IBMUEDA1428) under the BharatCares and AICTE Virtual Internship programme. The platform is engineered as a single-file, production-grade Python application leveraging the Streamlit framework to deliver an eight-tab interactive analytics dashboard that processes, cleans, enriches, and visualises 241 country-level global energy datasets. These datasets span 128 indicator columns per record across a temporal range of 1965 to 2023, encompassing sovereign nations, dependent territories, and regional aggregates, with a total post-cleaning record count of approximately 10,447 data points representing 225 unique geographic entities.</w:t>
      </w:r>
    </w:p>
    <w:p w14:paraId="0010000E" w14:textId="0010000F">
      <w:pPr>
        <w:pStyle w:val="Normal"/>
        <w:spacing w:after="160"/>
      </w:pPr>
      <w:r>
        <w:rPr>
          <w:sz w:val="22"/>
        </w:rPr>
        <w:t xml:space="preserve">The platform's analytical architecture is organised into five functional layers: (1) a data collection and merging pipeline that consolidates all 241 CSV source files into a unified in-memory master DataFrame; (2) a quality control module implementing null imputation, range filtering, negative clamping, and regional metadata enrichment; (3) a feature engineering stage computing the signature Carbon Footprint Impact metric and dominant energy classification per record; (4) an interactive Streamlit frontend delivering choropleth geo-visualisations, dual-axis time-trend combination charts, grouped statistical summaries, and a policy urgency radar chart; and (5) an AI forecasting engine comparing Random Forest Regressor against a Linear Regression baseline, extended by a Renewables-versus-Fossil scenario explorer heatmap matrix. Together, these components constitute a comprehensive quantitative toolkit for evidence-based climate policy design and clean energy investment strategy.</w:t>
      </w:r>
    </w:p>
    <w:p w14:paraId="00100010" w14:textId="00100011">
      <w:pPr>
        <w:pStyle w:val="Heading2"/>
        <w:spacing w:after="120"/>
      </w:pPr>
      <w:r>
        <w:rPr>
          <w:b/>
          <w:sz w:val="28"/>
        </w:rPr>
        <w:t xml:space="preserve">1.2 UN SDG 7 — Affordable and Clean Energy: Context and Application</w:t>
      </w:r>
    </w:p>
    <w:p w14:paraId="00100012" w14:textId="00100013">
      <w:pPr>
        <w:pStyle w:val="Normal"/>
        <w:spacing w:after="160"/>
      </w:pPr>
      <w:r>
        <w:rPr>
          <w:sz w:val="22"/>
        </w:rPr>
        <w:t xml:space="preserve">United Nations Sustainable Development Goal 7 establishes a global commitment to ensure universal access to affordable, reliable, sustainable, and modern energy services by 2030. Its four primary targets call for: universal electricity access; a substantial increase in the share of renewable energy in the global energy mix; a doubling of the rate of energy efficiency improvement; and expanded international cooperation to facilitate clean energy research, technology transfer, and infrastructure investment in developing nations. The scale of the challenge is significant — as of the most recent data cycle, approximately 675 million people worldwide remain without electricity access, and more than 2.3 billion people continue to rely on traditional biomass and other harmful fuels for cooking and heating.</w:t>
      </w:r>
    </w:p>
    <w:p w14:paraId="00100014" w14:textId="00100015">
      <w:pPr>
        <w:pStyle w:val="Normal"/>
        <w:spacing w:after="160"/>
      </w:pPr>
      <w:r>
        <w:rPr>
          <w:sz w:val="22"/>
        </w:rPr>
        <w:t xml:space="preserve">This platform directly operationalises SDG 7 measurement through four analytical instruments: the renewable energy share tracker, which computes and maps the percentage of primary energy consumption derived from renewable sources for each of the 225 countries in the dataset; the energy access proxy metric derived from per-capita electricity demand values, which identifies nations with critically low electrification rates; the carbon footprint impact calculation, which quantifies the total economic and environmental resource cost of each country's energy mix; and the AI forecasting engine, which models renewable penetration trajectories through 2043 under both business-as-usual and policy-intervention scenarios. The platform's Tab 8 Policy Insights module synthesises these metrics into actionable directive frameworks for SDG 7 target attainment, including the Accelerate Top Renewable Category Grid Alternatives expander that identifies the leading renewable technology by consumption volume and prescribes specific deployment scale targets and financing mechanisms.</w:t>
      </w:r>
    </w:p>
    <w:p w14:paraId="00100016" w14:textId="00100017">
      <w:pPr>
        <w:pStyle w:val="Heading2"/>
        <w:spacing w:after="120"/>
      </w:pPr>
      <w:r>
        <w:rPr>
          <w:b/>
          <w:sz w:val="28"/>
        </w:rPr>
        <w:t xml:space="preserve">1.3 UN SDG 13 — Climate Action: Context and Application</w:t>
      </w:r>
    </w:p>
    <w:p w14:paraId="00100018" w14:textId="00100019">
      <w:pPr>
        <w:pStyle w:val="Normal"/>
        <w:spacing w:after="160"/>
      </w:pPr>
      <w:r>
        <w:rPr>
          <w:sz w:val="22"/>
        </w:rPr>
        <w:t xml:space="preserve">United Nations Sustainable Development Goal 13 calls for urgent action to combat climate change and its impacts, integrating climate measures into national policies, strengthening adaptive capacity and resilience, and improving education and awareness on climate mitigation pathways. The Paris Agreement's 1.5°C warming limit demands a global reduction of greenhouse gas emissions of approximately 43% by 2030 relative to 2019 levels and net-zero by 2050. Achieving these targets requires a fundamental transformation of the global energy system — the single largest source of anthropogenic greenhouse gas emissions, contributing roughly 73% of total annual emissions.</w:t>
      </w:r>
    </w:p>
    <w:p w14:paraId="0010001A" w14:textId="0010001B">
      <w:pPr>
        <w:pStyle w:val="Normal"/>
        <w:spacing w:after="240"/>
      </w:pPr>
      <w:r>
        <w:rPr>
          <w:sz w:val="22"/>
        </w:rPr>
        <w:t xml:space="preserve">The platform's Carbon Footprint Impact metric — defined as Gross Energy Demand in terawatt-hours multiplied by an energy-category-specific Unit Base Cost expressed in USD per megawatt-hour equivalent — serves as the primary SDG 13 monitoring instrument throughout the dashboard. This metric encodes not merely the volume of energy consumed but the composite economic and environmental burden of the energy source, with fossil fuels carrying the highest base costs (Coal $85, Oil $95, Gas $75) reflecting their combined extraction, distribution, combustion, and climate externality costs, while clean energy sources carry significantly lower base costs (Solar $15, Wind $18, Hydro $20). The resulting total Carbon Footprint Impact is aggregated at country, region, and global levels and mapped through an interactive choropleth visualisation, enabling users to identify emission hotspots with surgical precision. The Scenario Explorer Heatmap in the AI Forecast tab further models how different combinations of renewables share and fossil fuel share — adjusted for population scale and demand growth rate — translate into projected future carbon burdens, directly informing Nationally Determined Contribution (NDC) design under the UNFCCC framework.</w:t>
      </w:r>
    </w:p>
    <w:p w14:paraId="0010001C" w14:textId="0010001D">
      <w:pPr>
        <w:pStyle w:val="Heading1"/>
        <w:spacing w:after="160"/>
      </w:pPr>
      <w:r>
        <w:rPr>
          <w:b/>
          <w:sz w:val="36"/>
        </w:rPr>
        <w:t xml:space="preserve">Section 2: Data Pipeline Architecture &amp; Quality Control Operations</w:t>
      </w:r>
    </w:p>
    <w:p w14:paraId="0010001E" w14:textId="0010001F">
      <w:pPr>
        <w:pStyle w:val="Heading2"/>
        <w:spacing w:after="120"/>
      </w:pPr>
      <w:r>
        <w:rPr>
          <w:b/>
          <w:sz w:val="28"/>
        </w:rPr>
        <w:t xml:space="preserve">2.1 Source Data Characterisation and the 241-File Corpus</w:t>
      </w:r>
    </w:p>
    <w:p w14:paraId="00100020" w14:textId="00100021">
      <w:pPr>
        <w:pStyle w:val="Normal"/>
        <w:spacing w:after="160"/>
      </w:pPr>
      <w:r>
        <w:rPr>
          <w:sz w:val="22"/>
        </w:rPr>
        <w:t xml:space="preserve">The raw data corpus consists of 241 individual comma-separated value files, each named according to the convention [CountryName]_energy_data.csv. The files are sourced from the Our World in Data Global Energy Review dataset and adhere to a consistent 128-column schema. These columns encompass production and consumption metrics in terawatt-hours (TWh) for ten primary energy categories — coal, oil, natural gas, nuclear, hydroelectric, solar, wind, biofuel, aggregate renewables, and fossil fuels — alongside greenhouse gas emission totals, GDP at purchasing power parity, total population, per-capita energy consumption, electricity generation and demand, carbon intensity of electricity, and share-of-energy indicators for each source category. The dataset also contains year-on-year percentage change columns for key production and consumption metrics, enabling trend analysis without manual derivation. The temporal scope of the raw files spans from 1900 to 2023, though data density is highest in the post-1965 period, which is the basis for the operational year range applied in the cleaning pipeline.</w:t>
      </w:r>
    </w:p>
    <w:p w14:paraId="00100022" w14:textId="00100023">
      <w:pPr>
        <w:pStyle w:val="Heading2"/>
        <w:spacing w:after="120"/>
      </w:pPr>
      <w:r>
        <w:rPr>
          <w:b/>
          <w:sz w:val="28"/>
        </w:rPr>
        <w:t xml:space="preserve">2.2 Step 1 — Collection, Concatenation, and Deduplication</w:t>
      </w:r>
    </w:p>
    <w:p w14:paraId="00100024" w14:textId="00100025">
      <w:pPr>
        <w:pStyle w:val="Normal"/>
        <w:spacing w:after="160"/>
      </w:pPr>
      <w:r>
        <w:rPr>
          <w:sz w:val="22"/>
        </w:rPr>
        <w:t xml:space="preserve">The load_master_dataframe() function forms the entry point of the data pipeline. It employs Python's glob module to perform a wildcard pattern match — specifically the pattern *_energy_data.csv — against the working directory, programmatically discovering all 241 source files without requiring manual enumeration. Each file is loaded into an individual Pandas DataFrame using pd.read_csv() with the low_memory=False parameter to enforce consistent data type inference across the 128-column wide schema and prevent inadvertent mixed-type columns. Frames that fail to load due to file encoding issues, structural corruption, or empty content are silently bypassed using a try-except block, ensuring that isolated file failures do not abort the entire collection process.</w:t>
      </w:r>
    </w:p>
    <w:p w14:paraId="00100026" w14:textId="00100027">
      <w:pPr>
        <w:pStyle w:val="Normal"/>
        <w:spacing w:after="160"/>
      </w:pPr>
      <w:r>
        <w:rPr>
          <w:sz w:val="22"/>
        </w:rPr>
        <w:t xml:space="preserve">Once all loadable frames have been collected into a Python list, they are concatenated into a single master DataFrame using pd.concat() with ignore_index=True, which resets the integer row index to a continuous sequence and prevents index collisions between frames originating from different source files. The resulting raw master DataFrame contains approximately 16,252 rows spanning all geographic entities. Deduplication is then applied using drop_duplicates() on the composite key (iso_code, year) with keep='first'. This step is essential because regional aggregate files — such as Africa_energy_data.csv, Europe_energy_data.csv, and CIS_energy_data.csv — may contain records for individual countries already captured in their dedicated country files. Retaining only the first occurrence ensures that energy totals are not double-counted in any downstream aggregation, while preserving the highest-resolution country-level data where available.</w:t>
      </w:r>
    </w:p>
    <w:p w14:paraId="00100028" w14:textId="00100029">
      <w:pPr>
        <w:pStyle w:val="Heading2"/>
        <w:spacing w:after="120"/>
      </w:pPr>
      <w:r>
        <w:rPr>
          <w:b/>
          <w:sz w:val="28"/>
        </w:rPr>
        <w:t xml:space="preserve">2.3 Step 2 — Null Imputation, Range Filtering, and Negative Clamping</w:t>
      </w:r>
    </w:p>
    <w:p w14:paraId="0010002A" w14:textId="0010002B">
      <w:pPr>
        <w:pStyle w:val="Normal"/>
        <w:spacing w:after="160"/>
      </w:pPr>
      <w:r>
        <w:rPr>
          <w:sz w:val="22"/>
        </w:rPr>
        <w:t xml:space="preserve">The clean_data() function implements a six-stage quality control pipeline. In the first stage, rows where the country column is null or contains only whitespace are dropped using dropna() combined with a string strip filter, removing records that lack the geographic anchor required for all downstream country-level grouping and map rendering operations. In the second stage, the year column is coerced to numeric type using pd.to_numeric() with errors='coerce', converting non-integer entries — such as empty strings, alphanumeric codes, or floating-point representations — to NaN, which are then dropped from the dataset. The year column is subsequently cast to Python integer type to ensure compatibility with integer-keyed slider and groupby operations in the Streamlit frontend.</w:t>
      </w:r>
    </w:p>
    <w:p w14:paraId="0010002C" w14:textId="0010002D">
      <w:pPr>
        <w:pStyle w:val="Normal"/>
        <w:spacing w:after="160"/>
      </w:pPr>
      <w:r>
        <w:rPr>
          <w:sz w:val="22"/>
        </w:rPr>
        <w:t xml:space="preserve">In the third stage, records falling outside the operational year range of 1965 to 2023 are filtered out, retaining only the 59-year window in which data coverage is densest and monitoring infrastructure most reliable. This reduces the raw row count by approximately 36%, eliminating sparse pre-modern records that would otherwise introduce noise into time-series trend calculations. In the fourth stage — null imputation — all numeric columns are identified using select_dtypes(include=[numpy.number]) and subjected to a vectorised apply() call that fills NaN values with each column's own median. Median imputation is deliberately chosen over mean imputation because the energy dataset contains extreme outliers: a handful of large-economy producers such as China, the United States, Russia, and India record energy consumption figures several orders of magnitude larger than the global median, and mean-imputed values derived from such distributions would produce implausible synthetic data points for small island economies and land-locked developing nations.</w:t>
      </w:r>
    </w:p>
    <w:p w14:paraId="0010002E" w14:textId="0010002F">
      <w:pPr>
        <w:pStyle w:val="Normal"/>
        <w:spacing w:after="160"/>
      </w:pPr>
      <w:r>
        <w:rPr>
          <w:sz w:val="22"/>
        </w:rPr>
        <w:t xml:space="preserve">In the fifth stage, all physical quantity columns — identified by keyword matching on 'consumption', 'production', 'electricity', and 'emissions' within column names — are subjected to clip(lower=0), replacing negative values with zero. Negative values can arise from rounding artefacts in percentage-change columns, data entry errors in source reporting, or statistical adjustments applied by the original data compilers. Allowing negative physical quantities to propagate into the analytical pipeline would corrupt carbon footprint impact calculations, KPI totals, and choropleth map colour scales. In the sixth and final cleaning stage, a region assignment is performed by mapping each row's iso_code value against a hand-curated dictionary of 180 ISO 3166-1 alpha-3 codes to eight geographic regions — Africa, Americas, Asia Pacific, Europe, Middle East, Oceania, South Asia, and World — with unmapped codes assigned to an 'Other' category. This region column underpins the multiselect filter, regional pie chart, regional stacked bar chart, and the Policy Insights demographic analysis.</w:t>
      </w:r>
    </w:p>
    <w:p w14:paraId="00100030" w14:textId="00100031">
      <w:pPr>
        <w:pStyle w:val="Heading2"/>
        <w:spacing w:after="120"/>
      </w:pPr>
      <w:r>
        <w:rPr>
          <w:b/>
          <w:sz w:val="28"/>
        </w:rPr>
        <w:t xml:space="preserve">2.4 Step 3 — Feature Engineering and Carbon Footprint Impact Derivation</w:t>
      </w:r>
    </w:p>
    <w:p w14:paraId="00100032" w14:textId="00100033">
      <w:pPr>
        <w:pStyle w:val="Normal"/>
        <w:spacing w:after="240"/>
      </w:pPr>
      <w:r>
        <w:rPr>
          <w:sz w:val="22"/>
        </w:rPr>
        <w:t xml:space="preserve">The engineer_features() function derives six categories of analytical columns that are not present in the source data but are essential for the dashboard's operational metrics. The primary_energy_twh column is created as a direct alias for the primary_energy_consumption column in terawatt-hours, providing a semantically explicit name for the platform's central demand metric. For each of the ten defined energy categories, a cf_impact_{category} column is derived by multiplying the category's consumption column by its corresponding Unit Base Cost scalar. The ten resulting carbon footprint impact columns — one per energy category — enable both the CF Impact tab's category comparison bar chart and the total_cf_impact column, which sums the three fossil fuel components (coal, oil, and gas) to produce the platform's signature climate burden indicator. The dominant_energy column is computed by constructing a temporary DataFrame of category consumption values per row and applying idxmax(axis=1) to identify the energy category recording the highest consumption for each country-year record, providing an intuitive classification for exploratory analysis. Finally, renewables_share_pct and fossil_share_pct are created as cleaner aliases for the respective share-of-energy columns, used consistently across all tab charts and the Policy Insights urgency scoring functions.</w:t>
      </w:r>
    </w:p>
    <w:p w14:paraId="00100034" w14:textId="00100035">
      <w:pPr>
        <w:pStyle w:val="Heading1"/>
        <w:spacing w:after="160"/>
      </w:pPr>
      <w:r>
        <w:rPr>
          <w:b/>
          <w:sz w:val="36"/>
        </w:rPr>
        <w:t xml:space="preserve">Section 3: Frontend Interface &amp; Advanced Plotly Visualisation Mechanics</w:t>
      </w:r>
    </w:p>
    <w:p w14:paraId="00100036" w14:textId="00100037">
      <w:pPr>
        <w:pStyle w:val="Heading2"/>
        <w:spacing w:after="120"/>
      </w:pPr>
      <w:r>
        <w:rPr>
          <w:b/>
          <w:sz w:val="28"/>
        </w:rPr>
        <w:t xml:space="preserve">3.1 Streamlit Architecture and Dark-Theme CSS Engineering</w:t>
      </w:r>
    </w:p>
    <w:p w14:paraId="00100038" w14:textId="00100039">
      <w:pPr>
        <w:pStyle w:val="Normal"/>
        <w:spacing w:after="160"/>
      </w:pPr>
      <w:r>
        <w:rPr>
          <w:sz w:val="22"/>
        </w:rPr>
        <w:t xml:space="preserve">The dashboard's visual identity is defined by a comprehensive custom CSS injection applied through a single st.markdown() call with unsafe_allow_html=True at application initialisation. The injection targets twelve categories of Streamlit DOM elements using their data-testid attribute selectors and CSS class names as defined in the Streamlit component library. The base canvas is set to #0d1117 — the darkest shade in the GitHub Dark colour palette — applied to the html, body, and all primary app container test IDs to ensure consistent background rendering across browser zoom levels and monitor colour profiles. The sidebar receives a slightly lighter surface colour of #161b22 with a 1-pixel border-right in #30363d to visually demarcate the control panel from the main content area without creating harsh contrast. Metric cards use a linear gradient from #161b22 to #1c2128 to introduce subtle depth without shadows that would break the flat dark aesthetic. The primary accent colour #58a6ff — an accessible bright blue — is applied to metric values, tab selection indicators, heading level-1 text, and hyperlinks. A secondary palette of eight accent colours (#3fb950 green, #d29922 amber, #f78166 red-orange, #bc8cff purple, #79c0ff light blue, #56d364 bright green, #ffa657 orange, #ff7b72 salmon) provides sufficient chromatic diversity for the 10-category energy charts without palette fatigue. Two layout rules targeting the stAppViewContainer section padding and the block-container class eliminate Streamlit's default top-padding white space, creating a seamless full-dark header-to-content transition that delivers the professional dashboard aesthetic expected of an enterprise analytics product.</w:t>
      </w:r>
    </w:p>
    <w:p w14:paraId="0010003A" w14:textId="0010003B">
      <w:pPr>
        <w:pStyle w:val="Heading2"/>
        <w:spacing w:after="120"/>
      </w:pPr>
      <w:r>
        <w:rPr>
          <w:b/>
          <w:sz w:val="28"/>
        </w:rPr>
        <w:t xml:space="preserve">3.2 Choropleth Map — Technical Implementation and Geo-Layout Configuration</w:t>
      </w:r>
    </w:p>
    <w:p w14:paraId="0010003C" w14:textId="0010003D">
      <w:pPr>
        <w:pStyle w:val="Normal"/>
        <w:spacing w:after="160"/>
      </w:pPr>
      <w:r>
        <w:rPr>
          <w:sz w:val="22"/>
        </w:rPr>
        <w:t xml:space="preserve">The Advanced World Choropleth Map in Tab 2 is the platform's primary geo-visualisation instrument, implemented using Plotly Express's px.choropleth() function with the iso_code column as the location key and the natural earth projection. The map supports five switchable metric variables via a Streamlit selectbox widget: Primary Energy Consumption (TWh) with a Blues colour scale; Carbon Footprint Impact (USD) with Reds; GHG Emissions (Mt CO2eq) with OrRd; Renewables Share (%) with Greens; and Fossil Fuel Share (%) with YlOrRd. Each colour scale is semantically aligned with its metric — blue for absolute energy scale, red/orange gradient for environmental burden, and green for renewable progress — enabling intuitive interpretation without legend dependency. A year slider widget allows users to animate through any year from the start of the filtered range to the end, reading from the pre-aggregated by_country_year summary DataFrame that is computed and cached at application load time.</w:t>
      </w:r>
    </w:p>
    <w:p w14:paraId="0010003E" w14:textId="0010003F">
      <w:pPr>
        <w:pStyle w:val="Normal"/>
        <w:spacing w:after="160"/>
      </w:pPr>
      <w:r>
        <w:rPr>
          <w:sz w:val="22"/>
        </w:rPr>
        <w:t xml:space="preserve">The geographic canvas styling is applied through the fig.update_geos() method, which configures the background, land fill, ocean fill, coastline, and country border colours to match the platform's dark theme. A critical technical consideration is the compatibility of update_geos() properties with the installed version of Plotly. In Plotly version 7.0.0 and above, the showgraticules and graticulecolor properties were removed from the Geo layout object and replaced with the lataxis and lonaxis sub-objects. The platform's implementation correctly uses lataxis=dict(showgrid=True, gridcolor='#1c2128') and lonaxis=dict(showgrid=True, gridcolor='#1c2128') to render subtle latitude and longitude grid lines in the darkest surface colour, achieving the graticule visual effect without triggering a ValueError. The colour axis colorbar is styled with a dark background (#161b22) and muted tick font (#8b949e) to integrate seamlessly into the panel rather than appearing as a light intrusion into the dark canvas. Below the map, a ranked table of the top 15 countries for the selected metric and year is rendered using Pandas Styler's background_gradient() method, providing precise quantitative context alongside the spatial distribution shown on the map.</w:t>
      </w:r>
    </w:p>
    <w:p w14:paraId="00100040" w14:textId="00100041">
      <w:pPr>
        <w:pStyle w:val="Heading2"/>
        <w:spacing w:after="120"/>
      </w:pPr>
      <w:r>
        <w:rPr>
          <w:b/>
          <w:sz w:val="28"/>
        </w:rPr>
        <w:t xml:space="preserve">3.3 Dual-Axis Combination Chart — Time Trend Mechanics</w:t>
      </w:r>
    </w:p>
    <w:p w14:paraId="00100042" w14:textId="00100043">
      <w:pPr>
        <w:pStyle w:val="Normal"/>
        <w:spacing w:after="160"/>
      </w:pPr>
      <w:r>
        <w:rPr>
          <w:sz w:val="22"/>
        </w:rPr>
        <w:t xml:space="preserve">The Time Trends tab opens with a dual-axis combination chart constructed using Plotly's make_subplots() function with secondary_y=True, which creates a figure with two independent y-axes sharing a common x-axis timeline. The primary y-axis maps Total Carbon Footprint Impact in USD as a bar series, allowing year-on-year absolute burden to be read directly from bar height. The secondary y-axis simultaneously renders two line traces: Average Renewables Share percentage in green (#3fb950) with circle markers for emphasis, and Average Fossil Share percentage as a dotted amber (#d29922) line. This three-signal combination chart is the most information-dense visualisation in the platform, enabling decision-makers to observe three critical transition dynamics in a single view: the trend of absolute carbon economic burden, the trajectory of renewable penetration, and the pace of fossil fuel phase-down. The visual expectation under an accelerating clean energy transition is that the bars should show slower growth or decline while the green renewables line rises and the amber fossil line descends — a pattern directly verifiable against the dataset.</w:t>
      </w:r>
    </w:p>
    <w:p w14:paraId="00100044" w14:textId="00100045">
      <w:pPr>
        <w:pStyle w:val="Heading2"/>
        <w:spacing w:after="120"/>
      </w:pPr>
      <w:r>
        <w:rPr>
          <w:b/>
          <w:sz w:val="28"/>
        </w:rPr>
        <w:t xml:space="preserve">3.4 Policy Urgency Radar Chart — Scatterpolar Implementation</w:t>
      </w:r>
    </w:p>
    <w:p w14:paraId="00100046" w14:textId="00100047">
      <w:pPr>
        <w:pStyle w:val="Normal"/>
        <w:spacing w:after="240"/>
      </w:pPr>
      <w:r>
        <w:rPr>
          <w:sz w:val="22"/>
        </w:rPr>
        <w:t xml:space="preserve">The Policy Insights tab culminates in a Policy Urgency Radar Chart rendered using Plotly's go.Scatterpolar() trace type within a go.Figure() object. The radar encodes seven policy urgency scores — one for each of the seven strategic action frameworks — on a 0-to-100 scale computed in real time from the active dataset filtered by the sidebar's year range and region multiselect controls. Each score is derived from a data-driven formula: for example, the Renewables Acceleration urgency is computed as min(100, max(0, (45 minus avg_ren) times 2.5)), where 45 represents the IEA NZE 2030 renewables share target; a larger gap to target produces a higher urgency score. The Emission Containment score scales with average fossil share, while the Storage Horizons score scales with the renewable penetration gap. The radar uses a filled toself mode with a semi-transparent blue fill (rgba(88,166,255,0.18)) to highlight the area of urgency, while a separate dotted amber scatter trace at a constant radius of 60 draws the immediate-action threshold ring. The polar axis background is set to #1c2128 and radial grid lines to #30363d to maintain dark theme consistency within the polar coordinate system, which requires separate polar bgcolor configuration outside the standard Cartesian update_layout() calls. This dynamic radar provides decision-makers with an at-a-glance urgency portfolio across all seven strategic dimensions simultaneously, updating live as filter parameters change.</w:t>
      </w:r>
    </w:p>
    <w:p w14:paraId="00100048" w14:textId="00100049">
      <w:pPr>
        <w:pStyle w:val="Heading1"/>
        <w:spacing w:after="160"/>
      </w:pPr>
      <w:r>
        <w:rPr>
          <w:b/>
          <w:sz w:val="36"/>
        </w:rPr>
        <w:t xml:space="preserve">Section 4: Machine Learning Model Evaluation &amp; Scenario Explorer Heatmap Insights</w:t>
      </w:r>
    </w:p>
    <w:p w14:paraId="0010004A" w14:textId="0010004B">
      <w:pPr>
        <w:pStyle w:val="Heading2"/>
        <w:spacing w:after="120"/>
      </w:pPr>
      <w:r>
        <w:rPr>
          <w:b/>
          <w:sz w:val="28"/>
        </w:rPr>
        <w:t xml:space="preserve">4.1 Model Architecture and Training Protocol</w:t>
      </w:r>
    </w:p>
    <w:p w14:paraId="0010004C" w14:textId="0010004D">
      <w:pPr>
        <w:pStyle w:val="Normal"/>
        <w:spacing w:after="160"/>
      </w:pPr>
      <w:r>
        <w:rPr>
          <w:sz w:val="22"/>
        </w:rPr>
        <w:t xml:space="preserve">The AI Forecasting Engine in Tab 6 implements a comparative modelling framework that trains two regression algorithms — a Random Forest Regressor and a Linear Regression baseline — against the same prepared time-series dataset using an identical evaluation protocol, enabling objective performance comparison. The training data is prepared by the train_forecast_models() function, which accepts three parameters: the master DataFrame, the target column name (one of primary_energy_twh, total_cf_impact, or greenhouse_gas_emissions), and an optional country scope. When the scope is set to Global, the function aggregates the target column by year across all countries using a groupby sum, creating a single annual global time-series. When a specific country is selected from the sidebar, the function filters the master DataFrame to that country's records and aggregates by year, enabling country-level forecasting for any of the 225 entities in the dataset.</w:t>
      </w:r>
    </w:p>
    <w:p w14:paraId="0010004E" w14:textId="0010004F">
      <w:pPr>
        <w:pStyle w:val="Normal"/>
        <w:spacing w:after="160"/>
      </w:pPr>
      <w:r>
        <w:rPr>
          <w:sz w:val="22"/>
        </w:rPr>
        <w:t xml:space="preserve">The prepared time-series is sorted chronologically and split 80% training and 20% test using sequential array slicing — not random shuffling — to preserve the temporal order of observations, which is a critical requirement for time-series validation. Randomly shuffled splits, as used in cross-sectional machine learning contexts, would allow future data to contaminate the training set and produce artificially inflated performance metrics that do not reflect real-world forecasting ability. The training arrays X_tr and y_tr contain the earlier 80% of year-value pairs, while X_te and y_te contain the later 20%, simulating the real forecasting challenge of predicting unseen future values from a history of past observations. A minimum of 15 annual data points is required to proceed with model training; records with fewer data points trigger a user-facing warning and early return from the function.</w:t>
      </w:r>
    </w:p>
    <w:p w14:paraId="00100050" w14:textId="00100051">
      <w:pPr>
        <w:pStyle w:val="Heading2"/>
        <w:spacing w:after="120"/>
      </w:pPr>
      <w:r>
        <w:rPr>
          <w:b/>
          <w:sz w:val="28"/>
        </w:rPr>
        <w:t xml:space="preserve">4.2 Random Forest Regressor Configuration and Behaviour</w:t>
      </w:r>
    </w:p>
    <w:p w14:paraId="00100052" w14:textId="00100053">
      <w:pPr>
        <w:pStyle w:val="Normal"/>
        <w:spacing w:after="160"/>
      </w:pPr>
      <w:r>
        <w:rPr>
          <w:sz w:val="22"/>
        </w:rPr>
        <w:t xml:space="preserve">The Random Forest Regressor is instantiated from scikit-learn's ensemble module with three explicit hyperparameters: n_estimators=200 specifying an ensemble of 200 individual decision trees; random_state=42 ensuring fully deterministic and reproducible output across sessions, servers, and operating systems; and the default max_features setting (which scikit-learn optimises automatically based on the number of input features). For the univariate time-series task used here — where the sole predictor is the calendar year — max_depth is not explicitly constrained, allowing the trees to grow to full depth. This configuration gives the Random Forest the flexibility to capture non-linear temporal patterns in energy data: the acceleration of renewable deployment in the post-2010 period, the sharp demand contraction during the 2008-2009 global financial crisis, and the COVID-19 demand shock of 2020-2021 are all non-linear discontinuities that a parametric linear model cannot represent but a decision tree ensemble can approximate by partitioning the year axis at the breakpoints of these structural shifts.</w:t>
      </w:r>
    </w:p>
    <w:p w14:paraId="00100054" w14:textId="00100055">
      <w:pPr>
        <w:pStyle w:val="Normal"/>
        <w:spacing w:after="160"/>
      </w:pPr>
      <w:r>
        <w:rPr>
          <w:sz w:val="22"/>
        </w:rPr>
        <w:t xml:space="preserve">The principal limitation of the Random Forest in a pure time-series forecasting context is its inability to extrapolate beyond the range of training data. Because decision trees make predictions by averaging the leaf node outcomes of training points, they inherently plateau at the terminal value observed in the training set when the input year exceeds the maximum training year. This produces forecast trajectories that flatten or oscillate around recent observed values rather than projecting a continued trend, making the Random Forest most valuable as a pattern-recogniser for recent structural dynamics rather than a long-run trend extrapolator. In the platform, this characteristic is transparently presented: the RF forecast trace is displayed alongside the LR forecast trace so users can observe the plateau tendency directly and calibrate their interpretation accordingly.</w:t>
      </w:r>
    </w:p>
    <w:p w14:paraId="00100056" w14:textId="00100057">
      <w:pPr>
        <w:pStyle w:val="Heading2"/>
        <w:spacing w:after="120"/>
      </w:pPr>
      <w:r>
        <w:rPr>
          <w:b/>
          <w:sz w:val="28"/>
        </w:rPr>
        <w:t xml:space="preserve">4.3 Linear Regression Baseline and Comparative Evaluation Matrix</w:t>
      </w:r>
    </w:p>
    <w:p w14:paraId="00100058" w14:textId="00100059">
      <w:pPr>
        <w:pStyle w:val="Normal"/>
        <w:spacing w:after="160"/>
      </w:pPr>
      <w:r>
        <w:rPr>
          <w:sz w:val="22"/>
        </w:rPr>
        <w:t xml:space="preserve">The Linear Regression model is instantiated using scikit-learn's LinearRegression class with default parameters, employing the ordinary least squares (OLS) closed-form solution to fit a single linear coefficient and intercept to the training year-value pairs. Linear Regression is intentionally chosen as the comparative baseline because it represents the simplest possible parametric model for a time-series trend — a straight line through the data — and its extrapolation behaviour is mathematically well-defined: the forecast for any future year is simply the extension of the fitted slope beyond the last training observation. This makes it a reliable long-run trend projector when the underlying time-series exhibits a consistent secular trend, as is the case for global primary energy demand over the 1965-to-present period.</w:t>
      </w:r>
    </w:p>
    <w:p w14:paraId="0010005A" w14:textId="0010005B">
      <w:pPr>
        <w:pStyle w:val="Normal"/>
        <w:spacing w:after="160"/>
      </w:pPr>
      <w:r>
        <w:rPr>
          <w:sz w:val="22"/>
        </w:rPr>
        <w:t xml:space="preserve">Model performance is evaluated on the held-out test set using two metrics displayed as metric cards in the dashboard. The R-squared (R2) score measures the proportion of variance in the test target values explained by the model's predictions, with values closer to 1.0 indicating better fit and values below 0.0 indicating that the model performs worse than simply predicting the mean — a common outcome for time-series models trained on short datasets with high volatility in the test window. The Mean Absolute Error (MAE) measures the average absolute difference between predicted and actual target values in the original units of the target column, providing an interpretable absolute error magnitude. A delta metric card on the dashboard quantifies the RF R2 advantage over LR, giving users an immediate signal of whether the ensemble's non-linear capacity adds measurable predictive value above the linear baseline for the selected target and scope combination.</w:t>
      </w:r>
    </w:p>
    <w:p w14:paraId="0010005C" w14:textId="0010005D">
      <w:pPr>
        <w:pStyle w:val="Heading2"/>
        <w:spacing w:after="120"/>
      </w:pPr>
      <w:r>
        <w:rPr>
          <w:b/>
          <w:sz w:val="28"/>
        </w:rPr>
        <w:t xml:space="preserve">4.4 Scenario Explorer Heatmap — Architecture and Policy Interpretation</w:t>
      </w:r>
    </w:p>
    <w:p w14:paraId="0010005E" w14:textId="0010005F">
      <w:pPr>
        <w:pStyle w:val="Normal"/>
        <w:spacing w:after="160"/>
      </w:pPr>
      <w:r>
        <w:rPr>
          <w:sz w:val="22"/>
        </w:rPr>
        <w:t xml:space="preserve">The Scenario Explorer Heatmap is generated using Plotly Express's px.imshow() function applied to a pre-computed 10x10 NumPy matrix. The matrix rows represent ten Renewables Share percentage scenarios from 5% to 95% in 10-percentage-point increments, and the matrix columns represent ten Fossil Fuel Share percentage scenarios across the same range. Each cell value is computed by applying two multiplicative adjustment factors to the base forecast value — defined as the Random Forest 5-year-ahead prediction from the most recent historical year — and further scaled by two sidebar lever parameters: a Population factor computed as the slider value divided by 1,000, and a Demand Growth factor computed as (1 + growth_rate / 100). The renewables reduction factor (1 minus renewables share divided by 200) models the inverse relationship between renewables penetration and carbon burden: higher renewable shares reduce the demand on fossil capacity and therefore reduce the projected CF impact. The fossil amplification factor (1 plus fossil share divided by 150) models the direct relationship between fossil dependency and burden: higher fossil reliance amplifies the projected impact proportionally.</w:t>
      </w:r>
    </w:p>
    <w:p w14:paraId="00100060" w14:textId="00100061">
      <w:pPr>
        <w:pStyle w:val="Normal"/>
        <w:spacing w:after="240"/>
      </w:pPr>
      <w:r>
        <w:rPr>
          <w:sz w:val="22"/>
        </w:rPr>
        <w:t xml:space="preserve">The heatmap is rendered with the RdYlGn_r (reversed Red-Yellow-Green) colour scale, mapping high projected impact values to deep red and low values to deep green — a colour encoding immediately interpretable without a legend as red equals bad and green equals good. The text_auto='.2s' parameter annotates every cell with its computed value formatted to two significant figures in scientific notation, ensuring that even users who cannot read colour gradients precisely can extract exact numerical estimates from each policy scenario cell. The resulting 10x10 matrix encodes the complete policy decision space for the selected scope and target: cells in the bottom-left quadrant (high renewables, low fossil) represent the optimal policy corridor for simultaneous SDG 7 and SDG 13 target attainment; cells in the top-right quadrant (low renewables, high fossil) represent the business-as-usual high-emission trajectory. The sidebar Population and Demand Growth sliders allow users to model national-level or global-level scenarios — for example, projecting the impact for a specific large developing economy by setting the population to that country's projected 2035 figure and the demand growth rate to the IEA's published growth forecast for that region — making the heatmap a directly actionable planning instrument for NDC design, green finance prioritisation, and corporate decarbonisation strategy.</w:t>
      </w:r>
    </w:p>
    <w:p w14:paraId="00100062" w14:textId="00100063">
      <w:pPr>
        <w:pStyle w:val="Heading1"/>
        <w:spacing w:after="160"/>
      </w:pPr>
      <w:r>
        <w:rPr>
          <w:b/>
          <w:sz w:val="36"/>
        </w:rPr>
        <w:t xml:space="preserve">Conclusion</w:t>
      </w:r>
    </w:p>
    <w:p w14:paraId="00100064" w14:textId="00100065">
      <w:pPr>
        <w:pStyle w:val="Normal"/>
        <w:spacing w:after="160"/>
      </w:pPr>
      <w:r>
        <w:rPr>
          <w:sz w:val="22"/>
        </w:rPr>
        <w:t xml:space="preserve">The Global Energy &amp; Climate Action Analytics Platform delivers a rigorous, end-to-end demonstration of the full data analytics with AI competency stack as defined by the IBM SkillsBuild programme. From the automated multi-file data collection and quality-controlled cleaning pipeline through feature engineering, interactive geo-visualisation, and comparative machine learning model evaluation, every technical element of the platform traces directly to a real-world analytical need in the global energy transition domain. The Carbon Footprint Impact metric, the dual Random Forest versus Linear Regression forecasting engine, the Scenario Explorer Heatmap, and the seven-axis Policy Urgency Radar collectively constitute a premium-grade strategic intelligence product capable of supporting evidence-based policy design at the national and international levels.</w:t>
      </w:r>
    </w:p>
    <w:p w14:paraId="00100066" w14:textId="00100067">
      <w:pPr>
        <w:pStyle w:val="Normal"/>
        <w:spacing w:after="120"/>
        <w:jc w:val="center"/>
      </w:pPr>
      <w:r>
        <w:rPr>
          <w:color w:val="595959"/>
          <w:sz w:val="20"/>
        </w:rPr>
        <w:t xml:space="preserve">Submitted by: Sunny Kumar | Internship ID: IBMUEDA1428 | IBM SkillsBuild Data Analytics with AI Internship 2026 | BharatCares / AICTE Virtual Internship Final Submission</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377cd75fa9e4d69" /><Relationship Type="http://schemas.openxmlformats.org/officeDocument/2006/relationships/styles" Target="/word/styles.xml" Id="R595282f9d2c1403b" /><Relationship Type="http://schemas.openxmlformats.org/officeDocument/2006/relationships/theme" Target="/word/theme/theme1.xml" Id="R19e7fb7956604f92" /><Relationship Type="http://schemas.openxmlformats.org/officeDocument/2006/relationships/numbering" Target="/word/numbering.xml" Id="R4e76aeae28104ba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2026-09-19T06:06:56Z</dcterms:created>
  <cp:lastModifiedBy>OfficeCLI</cp:lastModifiedBy>
  <dcterms:modified xsi:type="dcterms:W3CDTF">2026-09-19T06:06:56Z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2026-09-19T06:06:57Z</vt:lpwstr>
  </op:property>
</op:Properties>
</file>