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100" w:right="0" w:firstLine="0"/>
        <w:jc w:val="left"/>
        <w:rPr>
          <w:rFonts w:ascii="PMingLiU" w:eastAsia="PMingLiU" w:hint="eastAsia"/>
          <w:sz w:val="34"/>
        </w:rPr>
      </w:pPr>
      <w:r>
        <w:rPr>
          <w:rFonts w:ascii="PMingLiU" w:eastAsia="PMingLiU" w:hint="eastAsia"/>
          <w:spacing w:val="13"/>
          <w:w w:val="105"/>
          <w:sz w:val="34"/>
        </w:rPr>
        <w:t>赛</w:t>
      </w:r>
      <w:r>
        <w:rPr>
          <w:rFonts w:ascii="PMingLiU" w:eastAsia="PMingLiU" w:hint="eastAsia"/>
          <w:spacing w:val="13"/>
          <w:w w:val="105"/>
          <w:sz w:val="32"/>
        </w:rPr>
        <w:t>题</w:t>
      </w:r>
      <w:r>
        <w:rPr>
          <w:rFonts w:ascii="PMingLiU" w:eastAsia="PMingLiU" w:hint="eastAsia"/>
          <w:spacing w:val="13"/>
          <w:w w:val="105"/>
          <w:sz w:val="34"/>
        </w:rPr>
        <w:t>及数</w:t>
      </w:r>
      <w:r>
        <w:rPr>
          <w:rFonts w:ascii="PMingLiU" w:eastAsia="PMingLiU" w:hint="eastAsia"/>
          <w:spacing w:val="13"/>
          <w:w w:val="105"/>
          <w:sz w:val="33"/>
        </w:rPr>
        <w:t>据</w:t>
      </w:r>
      <w:r>
        <w:rPr>
          <w:rFonts w:ascii="PMingLiU" w:eastAsia="PMingLiU" w:hint="eastAsia"/>
          <w:w w:val="105"/>
          <w:sz w:val="34"/>
        </w:rPr>
        <w:t>集</w:t>
      </w:r>
    </w:p>
    <w:p>
      <w:pPr>
        <w:pStyle w:val="BodyText"/>
        <w:spacing w:line="292" w:lineRule="auto" w:before="225"/>
        <w:ind w:right="208"/>
      </w:pPr>
      <w:r>
        <w:rPr>
          <w:color w:val="333333"/>
        </w:rPr>
        <w:t>基于企业发票虚开事实行为特征，根据历史案发数据标识，使用模型算法提取虚开发票特征，解决识别发票虚开的难题。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</w:pPr>
      <w:r>
        <w:rPr>
          <w:spacing w:val="11"/>
          <w:w w:val="105"/>
        </w:rPr>
        <w:t>虚开发票特征提示</w:t>
      </w:r>
    </w:p>
    <w:p>
      <w:pPr>
        <w:pStyle w:val="BodyText"/>
        <w:spacing w:before="234"/>
      </w:pPr>
      <w:r>
        <w:rPr>
          <w:rFonts w:ascii="Arial" w:eastAsia="Arial"/>
          <w:color w:val="333333"/>
        </w:rPr>
        <w:t>1</w:t>
      </w:r>
      <w:r>
        <w:rPr>
          <w:color w:val="333333"/>
        </w:rPr>
        <w:t>、公司每月开票顶额开具，多次增量增版，短时间内开具增值税发票金额突增。</w:t>
      </w:r>
    </w:p>
    <w:p>
      <w:pPr>
        <w:pStyle w:val="BodyText"/>
        <w:spacing w:line="292" w:lineRule="auto"/>
        <w:ind w:right="314"/>
      </w:pPr>
      <w:r>
        <w:rPr>
          <w:rFonts w:ascii="Arial" w:eastAsia="Arial"/>
          <w:color w:val="333333"/>
        </w:rPr>
        <w:t>2</w:t>
      </w:r>
      <w:r>
        <w:rPr>
          <w:color w:val="333333"/>
        </w:rPr>
        <w:t>、短期内多户企业登记法人为同一人，法人手机号等地址信息类同，法人、财务等交叉担任，法人户</w:t>
      </w:r>
      <w:r>
        <w:rPr>
          <w:color w:val="333333"/>
          <w:spacing w:val="-3"/>
        </w:rPr>
        <w:t>籍非本地、法人设立异常集中、法人存在非正常企业 。</w:t>
      </w:r>
    </w:p>
    <w:p>
      <w:pPr>
        <w:pStyle w:val="BodyText"/>
        <w:spacing w:line="292" w:lineRule="auto" w:before="0"/>
        <w:ind w:right="248"/>
      </w:pPr>
      <w:r>
        <w:rPr>
          <w:rFonts w:ascii="Arial" w:eastAsia="Arial"/>
          <w:color w:val="333333"/>
        </w:rPr>
        <w:t>3</w:t>
      </w:r>
      <w:r>
        <w:rPr>
          <w:color w:val="333333"/>
        </w:rPr>
        <w:t>、资金或存货周转次数平均每月超过多次，进项和销项数据异常（有进无销或有销无进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购销背离、购销品名不一致）。</w:t>
      </w:r>
    </w:p>
    <w:p>
      <w:pPr>
        <w:pStyle w:val="BodyText"/>
        <w:spacing w:before="1"/>
      </w:pPr>
      <w:r>
        <w:rPr>
          <w:rFonts w:ascii="Arial" w:eastAsia="Arial"/>
          <w:color w:val="333333"/>
        </w:rPr>
        <w:t>4</w:t>
      </w:r>
      <w:r>
        <w:rPr>
          <w:color w:val="333333"/>
        </w:rPr>
        <w:t>、成立时间短，短期内大量开票。</w:t>
      </w:r>
    </w:p>
    <w:p>
      <w:pPr>
        <w:pStyle w:val="BodyText"/>
        <w:spacing w:before="67"/>
      </w:pPr>
      <w:r>
        <w:rPr>
          <w:rFonts w:ascii="Arial" w:eastAsia="Arial"/>
          <w:color w:val="333333"/>
        </w:rPr>
        <w:t>5</w:t>
      </w:r>
      <w:r>
        <w:rPr>
          <w:color w:val="333333"/>
        </w:rPr>
        <w:t>、公司所属行业属于虚开高危行业，或者公司注册地址存在异常。</w:t>
      </w:r>
    </w:p>
    <w:p>
      <w:pPr>
        <w:pStyle w:val="BodyText"/>
      </w:pPr>
      <w:r>
        <w:rPr>
          <w:rFonts w:ascii="Arial" w:eastAsia="Arial"/>
          <w:color w:val="333333"/>
        </w:rPr>
        <w:t>6</w:t>
      </w:r>
      <w:r>
        <w:rPr>
          <w:color w:val="333333"/>
        </w:rPr>
        <w:t>、是否申报报税、是否存在入库税款。</w:t>
      </w:r>
    </w:p>
    <w:p>
      <w:pPr>
        <w:pStyle w:val="BodyText"/>
      </w:pPr>
      <w:r>
        <w:rPr>
          <w:rFonts w:ascii="Arial" w:eastAsia="Arial"/>
          <w:color w:val="333333"/>
        </w:rPr>
        <w:t>7</w:t>
      </w:r>
      <w:r>
        <w:rPr>
          <w:color w:val="333333"/>
        </w:rPr>
        <w:t>、企业名称不符合日常命名规范（语义识别）。</w:t>
      </w:r>
    </w:p>
    <w:p>
      <w:pPr>
        <w:pStyle w:val="BodyText"/>
        <w:spacing w:before="4"/>
        <w:ind w:left="0"/>
        <w:rPr>
          <w:sz w:val="30"/>
        </w:rPr>
      </w:pPr>
    </w:p>
    <w:p>
      <w:pPr>
        <w:spacing w:before="0"/>
        <w:ind w:left="100" w:right="0" w:firstLine="0"/>
        <w:jc w:val="left"/>
        <w:rPr>
          <w:rFonts w:ascii="PMingLiU" w:eastAsia="PMingLiU" w:hint="eastAsia"/>
          <w:sz w:val="33"/>
        </w:rPr>
      </w:pPr>
      <w:r>
        <w:rPr>
          <w:rFonts w:ascii="PMingLiU" w:eastAsia="PMingLiU" w:hint="eastAsia"/>
          <w:spacing w:val="13"/>
          <w:w w:val="110"/>
          <w:sz w:val="34"/>
        </w:rPr>
        <w:t>数</w:t>
      </w:r>
      <w:r>
        <w:rPr>
          <w:rFonts w:ascii="PMingLiU" w:eastAsia="PMingLiU" w:hint="eastAsia"/>
          <w:w w:val="110"/>
          <w:sz w:val="33"/>
        </w:rPr>
        <w:t>据</w:t>
      </w:r>
    </w:p>
    <w:p>
      <w:pPr>
        <w:pStyle w:val="BodyText"/>
        <w:spacing w:line="292" w:lineRule="auto" w:before="225"/>
        <w:ind w:right="208"/>
      </w:pPr>
      <w:r>
        <w:rPr>
          <w:color w:val="333333"/>
        </w:rPr>
        <w:t>比赛数据（脱敏后）抽取的是一段时间范围内，企业基本信息、企业开票数据，参赛选手根据特征字段信息进行建模，预测存在发票虚开的企业数据情况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</w:pPr>
      <w:r>
        <w:rPr>
          <w:rFonts w:ascii="Arial" w:eastAsia="Arial"/>
          <w:color w:val="333333"/>
        </w:rPr>
        <w:t>1</w:t>
      </w:r>
      <w:r>
        <w:rPr>
          <w:color w:val="333333"/>
        </w:rPr>
        <w:t>、训练集：</w:t>
      </w:r>
      <w:r>
        <w:rPr>
          <w:rFonts w:ascii="Arial" w:eastAsia="Arial"/>
          <w:color w:val="333333"/>
        </w:rPr>
        <w:t>5000</w:t>
      </w:r>
      <w:r>
        <w:rPr>
          <w:color w:val="333333"/>
        </w:rPr>
        <w:t>条企业数据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每行数据代表一个训练样本，各字段之间由逗号分隔，企业纳税人识别号</w:t>
      </w:r>
    </w:p>
    <w:p>
      <w:pPr>
        <w:pStyle w:val="BodyText"/>
      </w:pPr>
      <w:r>
        <w:rPr>
          <w:color w:val="333333"/>
        </w:rPr>
        <w:t>（</w:t>
      </w:r>
      <w:r>
        <w:rPr>
          <w:rFonts w:ascii="Arial" w:eastAsia="Arial"/>
          <w:color w:val="333333"/>
        </w:rPr>
        <w:t>NSRSBH</w:t>
      </w:r>
      <w:r>
        <w:rPr>
          <w:color w:val="333333"/>
        </w:rPr>
        <w:t>）为唯一识别主键</w:t>
      </w:r>
    </w:p>
    <w:p>
      <w:pPr>
        <w:pStyle w:val="BodyText"/>
        <w:spacing w:line="292" w:lineRule="auto"/>
        <w:ind w:right="356"/>
      </w:pPr>
      <w:r>
        <w:rPr>
          <w:rFonts w:ascii="Arial" w:eastAsia="Arial"/>
          <w:color w:val="333333"/>
        </w:rPr>
        <w:t>2</w:t>
      </w:r>
      <w:r>
        <w:rPr>
          <w:color w:val="333333"/>
        </w:rPr>
        <w:t>、测试集</w:t>
      </w:r>
      <w:r>
        <w:rPr>
          <w:rFonts w:ascii="Arial" w:eastAsia="Arial"/>
          <w:color w:val="333333"/>
        </w:rPr>
        <w:t>:200</w:t>
      </w:r>
      <w:r>
        <w:rPr>
          <w:color w:val="333333"/>
        </w:rPr>
        <w:t>条虚开发票企业数据标识，每行数据代表一个测试样本，格式为</w:t>
      </w:r>
      <w:r>
        <w:rPr>
          <w:rFonts w:ascii="Arial" w:eastAsia="Arial"/>
          <w:color w:val="333333"/>
        </w:rPr>
        <w:t>"NSRSBH,</w:t>
      </w:r>
      <w:r>
        <w:rPr>
          <w:rFonts w:ascii="Arial" w:eastAsia="Arial"/>
          <w:color w:val="333333"/>
          <w:spacing w:val="-6"/>
        </w:rPr>
        <w:t> </w:t>
      </w:r>
      <w:r>
        <w:rPr>
          <w:rFonts w:ascii="Arial" w:eastAsia="Arial"/>
          <w:color w:val="333333"/>
        </w:rPr>
        <w:t>result"</w:t>
      </w:r>
      <w:r>
        <w:rPr>
          <w:color w:val="333333"/>
        </w:rPr>
        <w:t>，代表纳税人识别号和预测结果。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120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5"/>
      </w:tblGrid>
      <w:tr>
        <w:trPr>
          <w:trHeight w:val="550" w:hRule="atLeast"/>
        </w:trPr>
        <w:tc>
          <w:tcPr>
            <w:tcW w:w="10885" w:type="dxa"/>
          </w:tcPr>
          <w:p>
            <w:pPr>
              <w:pStyle w:val="TableParagraph"/>
              <w:spacing w:before="128"/>
              <w:ind w:left="4801" w:right="4801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05"/>
                <w:sz w:val="22"/>
              </w:rPr>
              <w:t>训练</w:t>
            </w:r>
            <w:r>
              <w:rPr>
                <w:rFonts w:ascii="PMingLiU" w:eastAsia="PMingLiU" w:hint="eastAsia"/>
                <w:spacing w:val="14"/>
                <w:w w:val="105"/>
                <w:sz w:val="23"/>
              </w:rPr>
              <w:t>集</w:t>
            </w:r>
            <w:r>
              <w:rPr>
                <w:rFonts w:ascii="PMingLiU" w:eastAsia="PMingLiU" w:hint="eastAsia"/>
                <w:spacing w:val="7"/>
                <w:w w:val="105"/>
                <w:sz w:val="22"/>
              </w:rPr>
              <w:t>名称</w:t>
            </w:r>
          </w:p>
        </w:tc>
      </w:tr>
      <w:tr>
        <w:trPr>
          <w:trHeight w:val="550" w:hRule="atLeast"/>
        </w:trPr>
        <w:tc>
          <w:tcPr>
            <w:tcW w:w="10885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企业基本信息</w:t>
            </w:r>
          </w:p>
        </w:tc>
      </w:tr>
      <w:tr>
        <w:trPr>
          <w:trHeight w:val="550" w:hRule="atLeast"/>
        </w:trPr>
        <w:tc>
          <w:tcPr>
            <w:tcW w:w="10885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企业开票信息</w:t>
            </w:r>
          </w:p>
        </w:tc>
      </w:tr>
      <w:tr>
        <w:trPr>
          <w:trHeight w:val="550" w:hRule="atLeast"/>
        </w:trPr>
        <w:tc>
          <w:tcPr>
            <w:tcW w:w="10885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企业纳税情况</w:t>
            </w:r>
          </w:p>
        </w:tc>
      </w:tr>
    </w:tbl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spacing w:before="0"/>
      </w:pPr>
      <w:r>
        <w:rPr>
          <w:rFonts w:ascii="Arial" w:eastAsia="Arial"/>
          <w:color w:val="333333"/>
        </w:rPr>
        <w:t>4</w:t>
      </w:r>
      <w:r>
        <w:rPr>
          <w:color w:val="333333"/>
        </w:rPr>
        <w:t>、各字段数据描述如下：</w:t>
      </w:r>
    </w:p>
    <w:p>
      <w:pPr>
        <w:pStyle w:val="BodyText"/>
        <w:spacing w:before="10"/>
        <w:ind w:left="0"/>
        <w:rPr>
          <w:sz w:val="26"/>
        </w:rPr>
      </w:pPr>
    </w:p>
    <w:p>
      <w:pPr>
        <w:spacing w:before="0"/>
        <w:ind w:left="100" w:right="0" w:firstLine="0"/>
        <w:jc w:val="left"/>
        <w:rPr>
          <w:rFonts w:ascii="PMingLiU" w:eastAsia="PMingLiU" w:hint="eastAsia"/>
          <w:sz w:val="27"/>
        </w:rPr>
      </w:pPr>
      <w:r>
        <w:rPr>
          <w:rFonts w:ascii="PMingLiU" w:eastAsia="PMingLiU" w:hint="eastAsia"/>
          <w:spacing w:val="13"/>
          <w:w w:val="105"/>
          <w:sz w:val="28"/>
        </w:rPr>
        <w:t>企业</w:t>
      </w:r>
      <w:r>
        <w:rPr>
          <w:rFonts w:ascii="PMingLiU" w:eastAsia="PMingLiU" w:hint="eastAsia"/>
          <w:spacing w:val="13"/>
          <w:w w:val="105"/>
          <w:sz w:val="27"/>
        </w:rPr>
        <w:t>基</w:t>
      </w:r>
      <w:r>
        <w:rPr>
          <w:rFonts w:ascii="PMingLiU" w:eastAsia="PMingLiU" w:hint="eastAsia"/>
          <w:spacing w:val="13"/>
          <w:w w:val="105"/>
          <w:sz w:val="28"/>
        </w:rPr>
        <w:t>本信</w:t>
      </w:r>
      <w:r>
        <w:rPr>
          <w:rFonts w:ascii="PMingLiU" w:eastAsia="PMingLiU" w:hint="eastAsia"/>
          <w:w w:val="105"/>
          <w:sz w:val="27"/>
        </w:rPr>
        <w:t>息</w:t>
      </w:r>
    </w:p>
    <w:p>
      <w:pPr>
        <w:pStyle w:val="BodyText"/>
        <w:spacing w:before="7" w:after="1"/>
        <w:ind w:left="0"/>
        <w:rPr>
          <w:rFonts w:ascii="PMingLiU"/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2"/>
        <w:gridCol w:w="2808"/>
        <w:gridCol w:w="6006"/>
      </w:tblGrid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spacing w:before="128"/>
              <w:ind w:left="762" w:right="762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05"/>
                <w:sz w:val="23"/>
              </w:rPr>
              <w:t>字</w:t>
            </w:r>
            <w:r>
              <w:rPr>
                <w:rFonts w:ascii="PMingLiU" w:eastAsia="PMingLiU" w:hint="eastAsia"/>
                <w:w w:val="105"/>
                <w:sz w:val="22"/>
              </w:rPr>
              <w:t>段</w:t>
            </w:r>
          </w:p>
        </w:tc>
        <w:tc>
          <w:tcPr>
            <w:tcW w:w="2808" w:type="dxa"/>
          </w:tcPr>
          <w:p>
            <w:pPr>
              <w:pStyle w:val="TableParagraph"/>
              <w:spacing w:before="128"/>
              <w:ind w:left="635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10"/>
                <w:sz w:val="23"/>
              </w:rPr>
              <w:t>字</w:t>
            </w:r>
            <w:r>
              <w:rPr>
                <w:rFonts w:ascii="PMingLiU" w:eastAsia="PMingLiU" w:hint="eastAsia"/>
                <w:spacing w:val="11"/>
                <w:w w:val="110"/>
                <w:sz w:val="22"/>
              </w:rPr>
              <w:t>段中文说明</w:t>
            </w:r>
          </w:p>
        </w:tc>
        <w:tc>
          <w:tcPr>
            <w:tcW w:w="6006" w:type="dxa"/>
          </w:tcPr>
          <w:p>
            <w:pPr>
              <w:pStyle w:val="TableParagraph"/>
              <w:spacing w:before="138"/>
              <w:ind w:left="2724" w:right="2724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7"/>
                <w:w w:val="110"/>
                <w:sz w:val="22"/>
              </w:rPr>
              <w:t>示例</w:t>
            </w:r>
          </w:p>
        </w:tc>
      </w:tr>
    </w:tbl>
    <w:p>
      <w:pPr>
        <w:spacing w:after="0"/>
        <w:jc w:val="center"/>
        <w:rPr>
          <w:rFonts w:ascii="PMingLiU" w:eastAsia="PMingLiU" w:hint="eastAsia"/>
          <w:sz w:val="22"/>
        </w:rPr>
        <w:sectPr>
          <w:type w:val="continuous"/>
          <w:pgSz w:w="12240" w:h="15840"/>
          <w:pgMar w:top="860" w:bottom="280" w:left="580" w:right="540"/>
        </w:sectPr>
      </w:pPr>
    </w:p>
    <w:tbl>
      <w:tblPr>
        <w:tblW w:w="0" w:type="auto"/>
        <w:jc w:val="left"/>
        <w:tblInd w:w="120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2"/>
        <w:gridCol w:w="2808"/>
        <w:gridCol w:w="6006"/>
      </w:tblGrid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spacing w:before="128"/>
              <w:ind w:left="762" w:right="762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05"/>
                <w:sz w:val="23"/>
              </w:rPr>
              <w:t>字</w:t>
            </w:r>
            <w:r>
              <w:rPr>
                <w:rFonts w:ascii="PMingLiU" w:eastAsia="PMingLiU" w:hint="eastAsia"/>
                <w:w w:val="105"/>
                <w:sz w:val="22"/>
              </w:rPr>
              <w:t>段</w:t>
            </w:r>
          </w:p>
        </w:tc>
        <w:tc>
          <w:tcPr>
            <w:tcW w:w="2808" w:type="dxa"/>
          </w:tcPr>
          <w:p>
            <w:pPr>
              <w:pStyle w:val="TableParagraph"/>
              <w:spacing w:before="128"/>
              <w:ind w:left="635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10"/>
                <w:sz w:val="23"/>
              </w:rPr>
              <w:t>字</w:t>
            </w:r>
            <w:r>
              <w:rPr>
                <w:rFonts w:ascii="PMingLiU" w:eastAsia="PMingLiU" w:hint="eastAsia"/>
                <w:spacing w:val="11"/>
                <w:w w:val="110"/>
                <w:sz w:val="22"/>
              </w:rPr>
              <w:t>段中文说明</w:t>
            </w:r>
          </w:p>
        </w:tc>
        <w:tc>
          <w:tcPr>
            <w:tcW w:w="6006" w:type="dxa"/>
          </w:tcPr>
          <w:p>
            <w:pPr>
              <w:pStyle w:val="TableParagraph"/>
              <w:spacing w:before="138"/>
              <w:ind w:left="2724" w:right="2724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7"/>
                <w:w w:val="110"/>
                <w:sz w:val="22"/>
              </w:rPr>
              <w:t>示例</w:t>
            </w:r>
          </w:p>
        </w:tc>
      </w:tr>
      <w:tr>
        <w:trPr>
          <w:trHeight w:val="925" w:hRule="atLeast"/>
        </w:trPr>
        <w:tc>
          <w:tcPr>
            <w:tcW w:w="2072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NSRSBH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主键</w:t>
            </w:r>
            <w:r>
              <w:rPr>
                <w:color w:val="333333"/>
                <w:sz w:val="24"/>
              </w:rPr>
              <w:t>:</w:t>
            </w:r>
            <w:r>
              <w:rPr>
                <w:rFonts w:ascii="宋体" w:eastAsia="宋体" w:hint="eastAsia"/>
                <w:color w:val="333333"/>
                <w:sz w:val="24"/>
              </w:rPr>
              <w:t>纳税人识别号</w:t>
            </w:r>
          </w:p>
          <w:p>
            <w:pPr>
              <w:pStyle w:val="TableParagraph"/>
              <w:spacing w:before="67"/>
              <w:rPr>
                <w:sz w:val="24"/>
              </w:rPr>
            </w:pPr>
            <w:r>
              <w:rPr>
                <w:color w:val="333333"/>
                <w:sz w:val="24"/>
              </w:rPr>
              <w:t>(md5</w:t>
            </w:r>
            <w:r>
              <w:rPr>
                <w:rFonts w:ascii="宋体" w:eastAsia="宋体" w:hint="eastAsia"/>
                <w:color w:val="333333"/>
                <w:sz w:val="24"/>
              </w:rPr>
              <w:t>加密</w:t>
            </w:r>
            <w:r>
              <w:rPr>
                <w:color w:val="333333"/>
                <w:sz w:val="24"/>
              </w:rPr>
              <w:t>)</w:t>
            </w:r>
          </w:p>
        </w:tc>
        <w:tc>
          <w:tcPr>
            <w:tcW w:w="6006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de7fb199806bacebe5fe190b79a08d0b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ZCDZ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注册地址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芜湖市镜湖区九华中路２９６号－１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SCJYDZ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生产经营地址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芜湖市镜湖区九华中路</w:t>
            </w:r>
            <w:r>
              <w:rPr>
                <w:color w:val="333333"/>
                <w:sz w:val="24"/>
              </w:rPr>
              <w:t>296</w:t>
            </w:r>
            <w:r>
              <w:rPr>
                <w:rFonts w:ascii="宋体" w:eastAsia="宋体" w:hint="eastAsia"/>
                <w:color w:val="333333"/>
                <w:sz w:val="24"/>
              </w:rPr>
              <w:t>号</w:t>
            </w:r>
            <w:r>
              <w:rPr>
                <w:color w:val="333333"/>
                <w:sz w:val="24"/>
              </w:rPr>
              <w:t>-1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FDDBRXM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法定代表人姓名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丁爱道</w:t>
            </w:r>
          </w:p>
        </w:tc>
      </w:tr>
      <w:tr>
        <w:trPr>
          <w:trHeight w:val="925" w:hRule="atLeast"/>
        </w:trPr>
        <w:tc>
          <w:tcPr>
            <w:tcW w:w="2072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FDDBRSFZHM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法定代表人身份证号码</w:t>
            </w:r>
          </w:p>
          <w:p>
            <w:pPr>
              <w:pStyle w:val="TableParagraph"/>
              <w:spacing w:before="82"/>
              <w:rPr>
                <w:sz w:val="24"/>
              </w:rPr>
            </w:pPr>
            <w:r>
              <w:rPr>
                <w:color w:val="333333"/>
                <w:sz w:val="24"/>
              </w:rPr>
              <w:t>(md5)</w:t>
            </w:r>
          </w:p>
        </w:tc>
        <w:tc>
          <w:tcPr>
            <w:tcW w:w="6006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4d8a6b88135623dea87377923428d6c9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DJRQ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登记日期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41297</w:t>
            </w:r>
          </w:p>
        </w:tc>
      </w:tr>
      <w:tr>
        <w:trPr>
          <w:trHeight w:val="2051" w:hRule="atLeast"/>
        </w:trPr>
        <w:tc>
          <w:tcPr>
            <w:tcW w:w="2072" w:type="dxa"/>
          </w:tcPr>
          <w:p>
            <w:pPr>
              <w:pStyle w:val="TableParagraph"/>
              <w:spacing w:before="0"/>
              <w:ind w:left="0"/>
              <w:rPr>
                <w:rFonts w:ascii="PMingLiU"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PMingLiU"/>
                <w:sz w:val="37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JYFW</w:t>
            </w:r>
          </w:p>
        </w:tc>
        <w:tc>
          <w:tcPr>
            <w:tcW w:w="2808" w:type="dxa"/>
          </w:tcPr>
          <w:p>
            <w:pPr>
              <w:pStyle w:val="TableParagraph"/>
              <w:spacing w:before="0"/>
              <w:ind w:left="0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PMingLiU"/>
                <w:sz w:val="24"/>
              </w:rPr>
            </w:pPr>
          </w:p>
          <w:p>
            <w:pPr>
              <w:pStyle w:val="TableParagraph"/>
              <w:spacing w:before="197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经营范围</w:t>
            </w:r>
          </w:p>
        </w:tc>
        <w:tc>
          <w:tcPr>
            <w:tcW w:w="6006" w:type="dxa"/>
          </w:tcPr>
          <w:p>
            <w:pPr>
              <w:pStyle w:val="TableParagraph"/>
              <w:spacing w:line="292" w:lineRule="auto" w:before="118"/>
              <w:ind w:left="199" w:right="73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投资咨询服务（证券、期货除外），劳务派遣，</w:t>
            </w:r>
            <w:r>
              <w:rPr>
                <w:rFonts w:ascii="宋体" w:eastAsia="宋体" w:hint="eastAsia"/>
                <w:color w:val="333333"/>
                <w:spacing w:val="-117"/>
                <w:sz w:val="24"/>
              </w:rPr>
              <w:t> </w:t>
            </w:r>
            <w:r>
              <w:rPr>
                <w:rFonts w:ascii="宋体" w:eastAsia="宋体" w:hint="eastAsia"/>
                <w:color w:val="333333"/>
                <w:sz w:val="24"/>
              </w:rPr>
              <w:t>房屋、汽车中介服务，家政服务，</w:t>
            </w:r>
          </w:p>
          <w:p>
            <w:pPr>
              <w:pStyle w:val="TableParagraph"/>
              <w:spacing w:line="292" w:lineRule="auto" w:before="0"/>
              <w:ind w:left="199" w:right="98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建筑物清洁及维护；景观照明、中央空调、</w:t>
            </w:r>
            <w:r>
              <w:rPr>
                <w:rFonts w:ascii="宋体" w:eastAsia="宋体" w:hint="eastAsia"/>
                <w:color w:val="333333"/>
                <w:spacing w:val="1"/>
                <w:sz w:val="24"/>
              </w:rPr>
              <w:t> </w:t>
            </w:r>
            <w:r>
              <w:rPr>
                <w:rFonts w:ascii="宋体" w:eastAsia="宋体" w:hint="eastAsia"/>
                <w:color w:val="333333"/>
                <w:spacing w:val="-1"/>
                <w:sz w:val="24"/>
              </w:rPr>
              <w:t>排烟管道设计、安装、维护、清洁；物业管理</w:t>
            </w:r>
          </w:p>
          <w:p>
            <w:pPr>
              <w:pStyle w:val="TableParagraph"/>
              <w:spacing w:before="0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（凭资质证经营）；石材铺设、翻新、养护。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SJZB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实缴资本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color w:val="333333"/>
                <w:sz w:val="24"/>
              </w:rPr>
              <w:t>50</w:t>
            </w:r>
            <w:r>
              <w:rPr>
                <w:rFonts w:ascii="宋体" w:eastAsia="宋体" w:hint="eastAsia"/>
                <w:color w:val="333333"/>
                <w:sz w:val="24"/>
              </w:rPr>
              <w:t>万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ZCZB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注册资本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100000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TZZE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投资总额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w w:val="100"/>
                <w:sz w:val="24"/>
              </w:rPr>
              <w:t>0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CYRS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从业人数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w w:val="100"/>
                <w:sz w:val="24"/>
              </w:rPr>
              <w:t>2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KYSLRQ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开业设立日期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2017-11-25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ZCDLXDH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注册地联系电话</w:t>
            </w:r>
            <w:r>
              <w:rPr>
                <w:color w:val="333333"/>
                <w:sz w:val="24"/>
              </w:rPr>
              <w:t>(md5)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5df0552d2eb095cd504f7a06ae8e543d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BSRXM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办税人姓名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张俊生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BSRYDDH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办税人移动电话</w:t>
            </w:r>
            <w:r>
              <w:rPr>
                <w:color w:val="333333"/>
                <w:sz w:val="24"/>
              </w:rPr>
              <w:t>(md5)</w:t>
            </w:r>
          </w:p>
        </w:tc>
        <w:tc>
          <w:tcPr>
            <w:tcW w:w="6006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5df0552d2eb095cd504f7a06ae8e543d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CWFZRXM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财务负责人姓名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张俊生</w:t>
            </w:r>
          </w:p>
        </w:tc>
      </w:tr>
      <w:tr>
        <w:trPr>
          <w:trHeight w:val="925" w:hRule="atLeast"/>
        </w:trPr>
        <w:tc>
          <w:tcPr>
            <w:tcW w:w="2072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CWFZRYDDH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财务负责人移动电话</w:t>
            </w:r>
          </w:p>
          <w:p>
            <w:pPr>
              <w:pStyle w:val="TableParagraph"/>
              <w:spacing w:before="82"/>
              <w:rPr>
                <w:sz w:val="24"/>
              </w:rPr>
            </w:pPr>
            <w:r>
              <w:rPr>
                <w:color w:val="333333"/>
                <w:sz w:val="24"/>
              </w:rPr>
              <w:t>(md5)</w:t>
            </w:r>
          </w:p>
        </w:tc>
        <w:tc>
          <w:tcPr>
            <w:tcW w:w="6006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5df0552d2eb095cd504f7a06ae8e543d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HYDL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行业大类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零售业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HYZL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行业中类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综合零售</w:t>
            </w:r>
          </w:p>
        </w:tc>
      </w:tr>
      <w:tr>
        <w:trPr>
          <w:trHeight w:val="550" w:hRule="atLeast"/>
        </w:trPr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HY</w:t>
            </w:r>
          </w:p>
        </w:tc>
        <w:tc>
          <w:tcPr>
            <w:tcW w:w="280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行业</w:t>
            </w:r>
          </w:p>
        </w:tc>
        <w:tc>
          <w:tcPr>
            <w:tcW w:w="6006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其他综合零售</w:t>
            </w:r>
          </w:p>
        </w:tc>
      </w:tr>
    </w:tbl>
    <w:p>
      <w:pPr>
        <w:spacing w:after="0"/>
        <w:rPr>
          <w:rFonts w:ascii="宋体" w:eastAsia="宋体" w:hint="eastAsia"/>
          <w:sz w:val="24"/>
        </w:rPr>
        <w:sectPr>
          <w:pgSz w:w="12240" w:h="15840"/>
          <w:pgMar w:top="560" w:bottom="280" w:left="580" w:right="540"/>
        </w:sectPr>
      </w:pPr>
    </w:p>
    <w:p>
      <w:pPr>
        <w:pStyle w:val="Heading1"/>
        <w:spacing w:before="45"/>
        <w:rPr>
          <w:sz w:val="27"/>
        </w:rPr>
      </w:pPr>
      <w:r>
        <w:rPr>
          <w:spacing w:val="13"/>
          <w:w w:val="105"/>
        </w:rPr>
        <w:t>企业开票信</w:t>
      </w:r>
      <w:r>
        <w:rPr>
          <w:w w:val="105"/>
          <w:sz w:val="27"/>
        </w:rPr>
        <w:t>息</w:t>
      </w:r>
    </w:p>
    <w:p>
      <w:pPr>
        <w:pStyle w:val="BodyText"/>
        <w:spacing w:before="8"/>
        <w:ind w:left="0"/>
        <w:rPr>
          <w:rFonts w:ascii="PMingLiU"/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4038"/>
        <w:gridCol w:w="5224"/>
      </w:tblGrid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spacing w:before="128"/>
              <w:ind w:left="537" w:right="536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05"/>
                <w:sz w:val="23"/>
              </w:rPr>
              <w:t>字</w:t>
            </w:r>
            <w:r>
              <w:rPr>
                <w:rFonts w:ascii="PMingLiU" w:eastAsia="PMingLiU" w:hint="eastAsia"/>
                <w:w w:val="105"/>
                <w:sz w:val="22"/>
              </w:rPr>
              <w:t>段</w:t>
            </w:r>
          </w:p>
        </w:tc>
        <w:tc>
          <w:tcPr>
            <w:tcW w:w="4038" w:type="dxa"/>
          </w:tcPr>
          <w:p>
            <w:pPr>
              <w:pStyle w:val="TableParagraph"/>
              <w:spacing w:before="128"/>
              <w:ind w:left="1251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10"/>
                <w:sz w:val="23"/>
              </w:rPr>
              <w:t>字</w:t>
            </w:r>
            <w:r>
              <w:rPr>
                <w:rFonts w:ascii="PMingLiU" w:eastAsia="PMingLiU" w:hint="eastAsia"/>
                <w:spacing w:val="11"/>
                <w:w w:val="110"/>
                <w:sz w:val="22"/>
              </w:rPr>
              <w:t>段中文说明</w:t>
            </w:r>
          </w:p>
        </w:tc>
        <w:tc>
          <w:tcPr>
            <w:tcW w:w="5224" w:type="dxa"/>
          </w:tcPr>
          <w:p>
            <w:pPr>
              <w:pStyle w:val="TableParagraph"/>
              <w:spacing w:before="138"/>
              <w:ind w:left="2334" w:right="2331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7"/>
                <w:w w:val="110"/>
                <w:sz w:val="22"/>
              </w:rPr>
              <w:t>示例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NSRSBH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主键</w:t>
            </w:r>
            <w:r>
              <w:rPr>
                <w:color w:val="333333"/>
                <w:sz w:val="24"/>
              </w:rPr>
              <w:t>:</w:t>
            </w:r>
            <w:r>
              <w:rPr>
                <w:rFonts w:ascii="宋体" w:eastAsia="宋体" w:hint="eastAsia"/>
                <w:color w:val="333333"/>
                <w:sz w:val="24"/>
              </w:rPr>
              <w:t>纳税人识别号</w:t>
            </w:r>
            <w:r>
              <w:rPr>
                <w:color w:val="333333"/>
                <w:sz w:val="24"/>
              </w:rPr>
              <w:t>(md5</w:t>
            </w:r>
            <w:r>
              <w:rPr>
                <w:rFonts w:ascii="宋体" w:eastAsia="宋体" w:hint="eastAsia"/>
                <w:color w:val="333333"/>
                <w:sz w:val="24"/>
              </w:rPr>
              <w:t>加密</w:t>
            </w:r>
            <w:r>
              <w:rPr>
                <w:color w:val="333333"/>
                <w:sz w:val="24"/>
              </w:rPr>
              <w:t>)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sz w:val="24"/>
              </w:rPr>
              <w:t>de7fb199806bacebe5fe190b79a08d0b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YF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月份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sz w:val="24"/>
              </w:rPr>
              <w:t>2017-12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YJXZE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月开票进项总额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sz w:val="24"/>
              </w:rPr>
              <w:t>30000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YJXCS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月开票进项次数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sz w:val="24"/>
              </w:rPr>
              <w:t>10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YXXZE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月开票销项总额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sz w:val="24"/>
              </w:rPr>
              <w:t>20000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YXXCS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月开票销项次数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w w:val="100"/>
                <w:sz w:val="24"/>
              </w:rPr>
              <w:t>5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KPZD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开票额度</w:t>
            </w:r>
          </w:p>
        </w:tc>
        <w:tc>
          <w:tcPr>
            <w:tcW w:w="5224" w:type="dxa"/>
          </w:tcPr>
          <w:p>
            <w:pPr>
              <w:pStyle w:val="TableParagraph"/>
              <w:ind w:left="201"/>
              <w:rPr>
                <w:sz w:val="24"/>
              </w:rPr>
            </w:pPr>
            <w:r>
              <w:rPr>
                <w:color w:val="333333"/>
                <w:sz w:val="24"/>
              </w:rPr>
              <w:t>30000</w:t>
            </w: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GMQD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购买商品汇总清单</w:t>
            </w:r>
          </w:p>
        </w:tc>
        <w:tc>
          <w:tcPr>
            <w:tcW w:w="52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62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XSQD</w:t>
            </w:r>
          </w:p>
        </w:tc>
        <w:tc>
          <w:tcPr>
            <w:tcW w:w="4038" w:type="dxa"/>
          </w:tcPr>
          <w:p>
            <w:pPr>
              <w:pStyle w:val="TableParagraph"/>
              <w:spacing w:before="118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销售商品汇总清单</w:t>
            </w:r>
          </w:p>
        </w:tc>
        <w:tc>
          <w:tcPr>
            <w:tcW w:w="52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1"/>
        <w:ind w:left="0"/>
        <w:rPr>
          <w:rFonts w:ascii="PMingLiU"/>
          <w:sz w:val="21"/>
        </w:rPr>
      </w:pPr>
    </w:p>
    <w:p>
      <w:pPr>
        <w:spacing w:before="1"/>
        <w:ind w:left="100" w:right="0" w:firstLine="0"/>
        <w:jc w:val="left"/>
        <w:rPr>
          <w:rFonts w:ascii="PMingLiU" w:eastAsia="PMingLiU" w:hint="eastAsia"/>
          <w:sz w:val="27"/>
        </w:rPr>
      </w:pPr>
      <w:r>
        <w:rPr>
          <w:rFonts w:ascii="PMingLiU" w:eastAsia="PMingLiU" w:hint="eastAsia"/>
          <w:spacing w:val="13"/>
          <w:w w:val="105"/>
          <w:sz w:val="28"/>
        </w:rPr>
        <w:t>税务</w:t>
      </w:r>
      <w:r>
        <w:rPr>
          <w:rFonts w:ascii="PMingLiU" w:eastAsia="PMingLiU" w:hint="eastAsia"/>
          <w:spacing w:val="13"/>
          <w:w w:val="105"/>
          <w:sz w:val="27"/>
        </w:rPr>
        <w:t>登</w:t>
      </w:r>
      <w:r>
        <w:rPr>
          <w:rFonts w:ascii="PMingLiU" w:eastAsia="PMingLiU" w:hint="eastAsia"/>
          <w:spacing w:val="13"/>
          <w:w w:val="105"/>
          <w:sz w:val="28"/>
        </w:rPr>
        <w:t>记信</w:t>
      </w:r>
      <w:r>
        <w:rPr>
          <w:rFonts w:ascii="PMingLiU" w:eastAsia="PMingLiU" w:hint="eastAsia"/>
          <w:w w:val="105"/>
          <w:sz w:val="27"/>
        </w:rPr>
        <w:t>息</w:t>
      </w:r>
    </w:p>
    <w:p>
      <w:pPr>
        <w:pStyle w:val="BodyText"/>
        <w:spacing w:before="7"/>
        <w:ind w:left="0"/>
        <w:rPr>
          <w:rFonts w:ascii="PMingLiU"/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3378"/>
        <w:gridCol w:w="4534"/>
      </w:tblGrid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spacing w:before="128"/>
              <w:ind w:left="1213" w:right="1213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05"/>
                <w:sz w:val="23"/>
              </w:rPr>
              <w:t>字</w:t>
            </w:r>
            <w:r>
              <w:rPr>
                <w:rFonts w:ascii="PMingLiU" w:eastAsia="PMingLiU" w:hint="eastAsia"/>
                <w:w w:val="105"/>
                <w:sz w:val="22"/>
              </w:rPr>
              <w:t>段</w:t>
            </w:r>
          </w:p>
        </w:tc>
        <w:tc>
          <w:tcPr>
            <w:tcW w:w="3378" w:type="dxa"/>
          </w:tcPr>
          <w:p>
            <w:pPr>
              <w:pStyle w:val="TableParagraph"/>
              <w:spacing w:before="128"/>
              <w:ind w:left="920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14"/>
                <w:w w:val="110"/>
                <w:sz w:val="23"/>
              </w:rPr>
              <w:t>字</w:t>
            </w:r>
            <w:r>
              <w:rPr>
                <w:rFonts w:ascii="PMingLiU" w:eastAsia="PMingLiU" w:hint="eastAsia"/>
                <w:spacing w:val="11"/>
                <w:w w:val="110"/>
                <w:sz w:val="22"/>
              </w:rPr>
              <w:t>段中文说明</w:t>
            </w:r>
          </w:p>
        </w:tc>
        <w:tc>
          <w:tcPr>
            <w:tcW w:w="4534" w:type="dxa"/>
          </w:tcPr>
          <w:p>
            <w:pPr>
              <w:pStyle w:val="TableParagraph"/>
              <w:spacing w:before="138"/>
              <w:ind w:left="1988" w:right="1988"/>
              <w:jc w:val="center"/>
              <w:rPr>
                <w:rFonts w:ascii="PMingLiU" w:eastAsia="PMingLiU" w:hint="eastAsia"/>
                <w:sz w:val="22"/>
              </w:rPr>
            </w:pPr>
            <w:r>
              <w:rPr>
                <w:rFonts w:ascii="PMingLiU" w:eastAsia="PMingLiU" w:hint="eastAsia"/>
                <w:spacing w:val="7"/>
                <w:w w:val="110"/>
                <w:sz w:val="22"/>
              </w:rPr>
              <w:t>示例</w:t>
            </w:r>
          </w:p>
        </w:tc>
      </w:tr>
      <w:tr>
        <w:trPr>
          <w:trHeight w:val="925" w:hRule="atLeast"/>
        </w:trPr>
        <w:tc>
          <w:tcPr>
            <w:tcW w:w="2973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NSRSBH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主键</w:t>
            </w:r>
            <w:r>
              <w:rPr>
                <w:color w:val="333333"/>
                <w:sz w:val="24"/>
              </w:rPr>
              <w:t>:</w:t>
            </w:r>
            <w:r>
              <w:rPr>
                <w:rFonts w:ascii="宋体" w:eastAsia="宋体" w:hint="eastAsia"/>
                <w:color w:val="333333"/>
                <w:sz w:val="24"/>
              </w:rPr>
              <w:t>纳税人识别号</w:t>
            </w:r>
          </w:p>
          <w:p>
            <w:pPr>
              <w:pStyle w:val="TableParagraph"/>
              <w:spacing w:before="67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(md5</w:t>
            </w:r>
            <w:r>
              <w:rPr>
                <w:rFonts w:ascii="宋体" w:eastAsia="宋体" w:hint="eastAsia"/>
                <w:color w:val="333333"/>
                <w:sz w:val="24"/>
              </w:rPr>
              <w:t>加密</w:t>
            </w:r>
            <w:r>
              <w:rPr>
                <w:color w:val="333333"/>
                <w:sz w:val="24"/>
              </w:rPr>
              <w:t>)</w:t>
            </w:r>
          </w:p>
        </w:tc>
        <w:tc>
          <w:tcPr>
            <w:tcW w:w="4534" w:type="dxa"/>
          </w:tcPr>
          <w:p>
            <w:pPr>
              <w:pStyle w:val="TableParagraph"/>
              <w:spacing w:before="5"/>
              <w:ind w:left="0"/>
              <w:rPr>
                <w:rFonts w:ascii="PMingLiU"/>
                <w:sz w:val="22"/>
              </w:rPr>
            </w:pPr>
          </w:p>
          <w:p>
            <w:pPr>
              <w:pStyle w:val="TableParagraph"/>
              <w:spacing w:before="0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de7fb199806bacebe5fe190b79a08d0b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START_DATE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起始时间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2015/9/1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END_DATE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终止时间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2015/9/30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TAX_CATEGORIES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税种</w:t>
            </w:r>
          </w:p>
        </w:tc>
        <w:tc>
          <w:tcPr>
            <w:tcW w:w="4534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个人所得税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TAX_ITEMS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税目</w:t>
            </w:r>
          </w:p>
        </w:tc>
        <w:tc>
          <w:tcPr>
            <w:tcW w:w="4534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增值税附征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TAXATION_BASIS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计税依据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6607.3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TAX_RATE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税率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0.2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DEDUCTION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扣除数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555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TAX_AMOUNT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税额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766.46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OPEN_INVOICE_DATE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开票日期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2015/10/14</w:t>
            </w:r>
          </w:p>
        </w:tc>
      </w:tr>
      <w:tr>
        <w:trPr>
          <w:trHeight w:val="550" w:hRule="atLeast"/>
        </w:trPr>
        <w:tc>
          <w:tcPr>
            <w:tcW w:w="29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>STORAGE_DATE</w:t>
            </w:r>
          </w:p>
        </w:tc>
        <w:tc>
          <w:tcPr>
            <w:tcW w:w="3378" w:type="dxa"/>
          </w:tcPr>
          <w:p>
            <w:pPr>
              <w:pStyle w:val="TableParagraph"/>
              <w:spacing w:before="118"/>
              <w:ind w:left="199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color w:val="333333"/>
                <w:sz w:val="24"/>
              </w:rPr>
              <w:t>入库日期</w:t>
            </w:r>
          </w:p>
        </w:tc>
        <w:tc>
          <w:tcPr>
            <w:tcW w:w="4534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color w:val="333333"/>
                <w:sz w:val="24"/>
              </w:rPr>
              <w:t>2015/10/15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20" w:bottom="280" w:left="580" w:right="540"/>
        </w:sectPr>
      </w:pPr>
    </w:p>
    <w:p>
      <w:pPr>
        <w:spacing w:before="50"/>
        <w:ind w:left="100" w:right="0" w:firstLine="0"/>
        <w:jc w:val="left"/>
        <w:rPr>
          <w:rFonts w:ascii="PMingLiU" w:eastAsia="PMingLiU" w:hint="eastAsia"/>
          <w:sz w:val="33"/>
        </w:rPr>
      </w:pPr>
      <w:r>
        <w:rPr>
          <w:rFonts w:ascii="PMingLiU" w:eastAsia="PMingLiU" w:hint="eastAsia"/>
          <w:spacing w:val="13"/>
          <w:w w:val="105"/>
          <w:sz w:val="34"/>
        </w:rPr>
        <w:t>评分标</w:t>
      </w:r>
      <w:r>
        <w:rPr>
          <w:rFonts w:ascii="PMingLiU" w:eastAsia="PMingLiU" w:hint="eastAsia"/>
          <w:w w:val="105"/>
          <w:sz w:val="33"/>
        </w:rPr>
        <w:t>准</w:t>
      </w:r>
    </w:p>
    <w:p>
      <w:pPr>
        <w:spacing w:before="259"/>
        <w:ind w:left="100" w:right="0" w:firstLine="0"/>
        <w:jc w:val="left"/>
        <w:rPr>
          <w:rFonts w:ascii="PMingLiU" w:eastAsia="PMingLiU" w:hint="eastAsia"/>
          <w:sz w:val="28"/>
        </w:rPr>
      </w:pPr>
      <w:r>
        <w:rPr>
          <w:rFonts w:ascii="PMingLiU" w:eastAsia="PMingLiU" w:hint="eastAsia"/>
          <w:spacing w:val="13"/>
          <w:w w:val="105"/>
          <w:sz w:val="28"/>
        </w:rPr>
        <w:t>算法得分</w:t>
      </w:r>
      <w:r>
        <w:rPr>
          <w:rFonts w:ascii="Arial" w:eastAsia="Arial"/>
          <w:b/>
          <w:w w:val="105"/>
          <w:sz w:val="30"/>
        </w:rPr>
        <w:t>100</w:t>
      </w:r>
      <w:r>
        <w:rPr>
          <w:rFonts w:ascii="PMingLiU" w:eastAsia="PMingLiU" w:hint="eastAsia"/>
          <w:w w:val="105"/>
          <w:sz w:val="28"/>
        </w:rPr>
        <w:t>分</w:t>
      </w:r>
    </w:p>
    <w:p>
      <w:pPr>
        <w:pStyle w:val="BodyText"/>
        <w:spacing w:before="234"/>
      </w:pPr>
      <w:r>
        <w:rPr>
          <w:color w:val="333333"/>
        </w:rPr>
        <w:t>评分通过</w:t>
      </w:r>
      <w:r>
        <w:rPr>
          <w:rFonts w:ascii="Arial" w:eastAsia="Arial"/>
          <w:color w:val="333333"/>
        </w:rPr>
        <w:t>logarithmic</w:t>
      </w:r>
      <w:r>
        <w:rPr>
          <w:rFonts w:ascii="Arial" w:eastAsia="Arial"/>
          <w:color w:val="333333"/>
          <w:spacing w:val="7"/>
        </w:rPr>
        <w:t> </w:t>
      </w:r>
      <w:r>
        <w:rPr>
          <w:rFonts w:ascii="Arial" w:eastAsia="Arial"/>
          <w:color w:val="333333"/>
        </w:rPr>
        <w:t>loss</w:t>
      </w:r>
      <w:r>
        <w:rPr>
          <w:color w:val="333333"/>
        </w:rPr>
        <w:t>（记为</w:t>
      </w:r>
      <w:r>
        <w:rPr>
          <w:rFonts w:ascii="Arial" w:eastAsia="Arial"/>
          <w:color w:val="333333"/>
        </w:rPr>
        <w:t>logloss</w:t>
      </w:r>
      <w:r>
        <w:rPr>
          <w:color w:val="333333"/>
        </w:rPr>
        <w:t>）评估模型效果，</w:t>
      </w:r>
      <w:r>
        <w:rPr>
          <w:rFonts w:ascii="Arial" w:eastAsia="Arial"/>
          <w:color w:val="333333"/>
        </w:rPr>
        <w:t>logloss</w:t>
      </w:r>
      <w:r>
        <w:rPr>
          <w:color w:val="333333"/>
        </w:rPr>
        <w:t>越小越好。</w:t>
      </w:r>
    </w:p>
    <w:p>
      <w:pPr>
        <w:pStyle w:val="BodyText"/>
        <w:spacing w:before="7"/>
        <w:ind w:left="0"/>
        <w:rPr>
          <w:sz w:val="14"/>
        </w:rPr>
      </w:pPr>
    </w:p>
    <w:p>
      <w:pPr>
        <w:tabs>
          <w:tab w:pos="5114" w:val="left" w:leader="none"/>
        </w:tabs>
        <w:spacing w:line="148" w:lineRule="exact" w:before="73"/>
        <w:ind w:left="4068" w:right="0" w:firstLine="0"/>
        <w:jc w:val="left"/>
        <w:rPr>
          <w:rFonts w:ascii="Georgia"/>
          <w:i/>
          <w:sz w:val="20"/>
        </w:rPr>
      </w:pPr>
      <w:r>
        <w:rPr>
          <w:rFonts w:ascii="Lucida Sans Unicode"/>
          <w:color w:val="333333"/>
          <w:position w:val="-16"/>
          <w:sz w:val="29"/>
        </w:rPr>
        <w:t>1</w:t>
        <w:tab/>
      </w:r>
      <w:r>
        <w:rPr>
          <w:rFonts w:ascii="Georgia"/>
          <w:i/>
          <w:color w:val="333333"/>
          <w:sz w:val="20"/>
        </w:rPr>
        <w:t>N</w:t>
      </w:r>
    </w:p>
    <w:p>
      <w:pPr>
        <w:spacing w:line="69" w:lineRule="auto" w:before="154"/>
        <w:ind w:left="0" w:right="40" w:firstLine="0"/>
        <w:jc w:val="center"/>
        <w:rPr>
          <w:rFonts w:ascii="Georgia" w:hAnsi="Georgia"/>
          <w:i/>
          <w:sz w:val="29"/>
        </w:rPr>
      </w:pPr>
      <w:r>
        <w:rPr/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2510183</wp:posOffset>
            </wp:positionH>
            <wp:positionV relativeFrom="paragraph">
              <wp:posOffset>203366</wp:posOffset>
            </wp:positionV>
            <wp:extent cx="981956" cy="953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956" cy="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color w:val="333333"/>
          <w:w w:val="95"/>
          <w:sz w:val="29"/>
        </w:rPr>
        <w:t>Score</w:t>
      </w:r>
      <w:r>
        <w:rPr>
          <w:rFonts w:ascii="Georgia" w:hAnsi="Georgia"/>
          <w:i/>
          <w:color w:val="333333"/>
          <w:spacing w:val="24"/>
          <w:w w:val="95"/>
          <w:sz w:val="29"/>
        </w:rPr>
        <w:t> </w:t>
      </w:r>
      <w:r>
        <w:rPr>
          <w:rFonts w:ascii="Lucida Sans Unicode" w:hAnsi="Lucida Sans Unicode"/>
          <w:color w:val="333333"/>
          <w:w w:val="95"/>
          <w:sz w:val="29"/>
        </w:rPr>
        <w:t>=</w:t>
      </w:r>
      <w:r>
        <w:rPr>
          <w:rFonts w:ascii="Lucida Sans Unicode" w:hAnsi="Lucida Sans Unicode"/>
          <w:color w:val="333333"/>
          <w:spacing w:val="7"/>
          <w:w w:val="95"/>
          <w:sz w:val="29"/>
        </w:rPr>
        <w:t> </w:t>
      </w:r>
      <w:r>
        <w:rPr>
          <w:rFonts w:ascii="Lucida Sans Unicode" w:hAnsi="Lucida Sans Unicode"/>
          <w:color w:val="333333"/>
          <w:w w:val="95"/>
          <w:sz w:val="29"/>
        </w:rPr>
        <w:t>−</w:t>
      </w:r>
      <w:r>
        <w:rPr>
          <w:rFonts w:ascii="Lucida Sans Unicode" w:hAnsi="Lucida Sans Unicode"/>
          <w:color w:val="333333"/>
          <w:spacing w:val="-46"/>
          <w:w w:val="95"/>
          <w:sz w:val="29"/>
        </w:rPr>
        <w:t> </w:t>
      </w:r>
      <w:r>
        <w:rPr>
          <w:rFonts w:ascii="Georgia" w:hAnsi="Georgia"/>
          <w:i/>
          <w:color w:val="333333"/>
          <w:w w:val="95"/>
          <w:position w:val="-20"/>
          <w:sz w:val="29"/>
        </w:rPr>
        <w:t>sum</w:t>
      </w:r>
      <w:r>
        <w:rPr>
          <w:rFonts w:ascii="Lucida Sans Unicode" w:hAnsi="Lucida Sans Unicode"/>
          <w:color w:val="333333"/>
          <w:w w:val="95"/>
          <w:position w:val="-20"/>
          <w:sz w:val="29"/>
        </w:rPr>
        <w:t>(</w:t>
      </w:r>
      <w:r>
        <w:rPr>
          <w:rFonts w:ascii="Georgia" w:hAnsi="Georgia"/>
          <w:i/>
          <w:color w:val="333333"/>
          <w:w w:val="95"/>
          <w:position w:val="-20"/>
          <w:sz w:val="29"/>
        </w:rPr>
        <w:t>y</w:t>
      </w:r>
      <w:r>
        <w:rPr>
          <w:rFonts w:ascii="Georgia" w:hAnsi="Georgia"/>
          <w:i/>
          <w:color w:val="333333"/>
          <w:spacing w:val="57"/>
          <w:w w:val="95"/>
          <w:position w:val="-20"/>
          <w:sz w:val="29"/>
        </w:rPr>
        <w:t> </w:t>
      </w:r>
      <w:r>
        <w:rPr>
          <w:rFonts w:ascii="Lucida Sans Unicode" w:hAnsi="Lucida Sans Unicode"/>
          <w:color w:val="333333"/>
          <w:w w:val="95"/>
          <w:position w:val="-20"/>
          <w:sz w:val="29"/>
        </w:rPr>
        <w:t>=</w:t>
      </w:r>
      <w:r>
        <w:rPr>
          <w:rFonts w:ascii="Lucida Sans Unicode" w:hAnsi="Lucida Sans Unicode"/>
          <w:color w:val="333333"/>
          <w:spacing w:val="3"/>
          <w:w w:val="95"/>
          <w:position w:val="-20"/>
          <w:sz w:val="29"/>
        </w:rPr>
        <w:t> </w:t>
      </w:r>
      <w:r>
        <w:rPr>
          <w:rFonts w:ascii="Lucida Sans Unicode" w:hAnsi="Lucida Sans Unicode"/>
          <w:color w:val="333333"/>
          <w:w w:val="95"/>
          <w:position w:val="-20"/>
          <w:sz w:val="29"/>
        </w:rPr>
        <w:t>1)</w:t>
      </w:r>
      <w:r>
        <w:rPr>
          <w:rFonts w:ascii="Lucida Sans Unicode" w:hAnsi="Lucida Sans Unicode"/>
          <w:color w:val="333333"/>
          <w:spacing w:val="9"/>
          <w:w w:val="95"/>
          <w:position w:val="-20"/>
          <w:sz w:val="29"/>
        </w:rPr>
        <w:t> </w:t>
      </w:r>
      <w:r>
        <w:rPr>
          <w:rFonts w:ascii="Arial" w:hAnsi="Arial"/>
          <w:color w:val="333333"/>
          <w:w w:val="95"/>
          <w:sz w:val="29"/>
        </w:rPr>
        <w:t>∑</w:t>
      </w:r>
      <w:r>
        <w:rPr>
          <w:rFonts w:ascii="Arial" w:hAnsi="Arial"/>
          <w:color w:val="333333"/>
          <w:spacing w:val="-22"/>
          <w:w w:val="95"/>
          <w:sz w:val="29"/>
        </w:rPr>
        <w:t> </w:t>
      </w:r>
      <w:r>
        <w:rPr>
          <w:rFonts w:ascii="Lucida Sans Unicode" w:hAnsi="Lucida Sans Unicode"/>
          <w:color w:val="333333"/>
          <w:w w:val="95"/>
          <w:sz w:val="29"/>
        </w:rPr>
        <w:t>(</w:t>
      </w:r>
      <w:r>
        <w:rPr>
          <w:rFonts w:ascii="Georgia" w:hAnsi="Georgia"/>
          <w:i/>
          <w:color w:val="333333"/>
          <w:w w:val="95"/>
          <w:sz w:val="29"/>
        </w:rPr>
        <w:t>y</w:t>
      </w:r>
      <w:r>
        <w:rPr>
          <w:rFonts w:ascii="Georgia" w:hAnsi="Georgia"/>
          <w:i/>
          <w:color w:val="333333"/>
          <w:w w:val="95"/>
          <w:sz w:val="29"/>
          <w:vertAlign w:val="subscript"/>
        </w:rPr>
        <w:t>i</w:t>
      </w:r>
      <w:r>
        <w:rPr>
          <w:rFonts w:ascii="Georgia" w:hAnsi="Georgia"/>
          <w:i/>
          <w:color w:val="333333"/>
          <w:spacing w:val="24"/>
          <w:w w:val="95"/>
          <w:sz w:val="29"/>
          <w:vertAlign w:val="baseline"/>
        </w:rPr>
        <w:t> 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∗</w:t>
      </w:r>
      <w:r>
        <w:rPr>
          <w:rFonts w:ascii="Lucida Sans Unicode" w:hAnsi="Lucida Sans Unicode"/>
          <w:color w:val="333333"/>
          <w:spacing w:val="-15"/>
          <w:w w:val="95"/>
          <w:sz w:val="29"/>
          <w:vertAlign w:val="baseline"/>
        </w:rPr>
        <w:t> </w:t>
      </w:r>
      <w:r>
        <w:rPr>
          <w:rFonts w:ascii="Georgia" w:hAnsi="Georgia"/>
          <w:i/>
          <w:color w:val="333333"/>
          <w:w w:val="95"/>
          <w:sz w:val="29"/>
          <w:vertAlign w:val="baseline"/>
        </w:rPr>
        <w:t>log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(</w:t>
      </w:r>
      <w:r>
        <w:rPr>
          <w:rFonts w:ascii="Georgia" w:hAnsi="Georgia"/>
          <w:i/>
          <w:color w:val="333333"/>
          <w:w w:val="95"/>
          <w:sz w:val="29"/>
          <w:vertAlign w:val="baseline"/>
        </w:rPr>
        <w:t>p</w:t>
      </w:r>
      <w:r>
        <w:rPr>
          <w:rFonts w:ascii="Georgia" w:hAnsi="Georgia"/>
          <w:i/>
          <w:color w:val="333333"/>
          <w:w w:val="95"/>
          <w:sz w:val="29"/>
          <w:vertAlign w:val="subscript"/>
        </w:rPr>
        <w:t>i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))</w:t>
      </w:r>
      <w:r>
        <w:rPr>
          <w:rFonts w:ascii="Lucida Sans Unicode" w:hAnsi="Lucida Sans Unicode"/>
          <w:color w:val="333333"/>
          <w:spacing w:val="-14"/>
          <w:w w:val="95"/>
          <w:sz w:val="29"/>
          <w:vertAlign w:val="baseline"/>
        </w:rPr>
        <w:t> 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∗</w:t>
      </w:r>
      <w:r>
        <w:rPr>
          <w:rFonts w:ascii="Lucida Sans Unicode" w:hAnsi="Lucida Sans Unicode"/>
          <w:color w:val="333333"/>
          <w:spacing w:val="-11"/>
          <w:w w:val="95"/>
          <w:sz w:val="29"/>
          <w:vertAlign w:val="baseline"/>
        </w:rPr>
        <w:t> 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100</w:t>
      </w:r>
      <w:r>
        <w:rPr>
          <w:rFonts w:ascii="Lucida Sans Unicode" w:hAnsi="Lucida Sans Unicode"/>
          <w:color w:val="333333"/>
          <w:spacing w:val="-15"/>
          <w:w w:val="95"/>
          <w:sz w:val="29"/>
          <w:vertAlign w:val="baseline"/>
        </w:rPr>
        <w:t> 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×</w:t>
      </w:r>
      <w:r>
        <w:rPr>
          <w:rFonts w:ascii="Lucida Sans Unicode" w:hAnsi="Lucida Sans Unicode"/>
          <w:color w:val="333333"/>
          <w:spacing w:val="-13"/>
          <w:w w:val="95"/>
          <w:sz w:val="29"/>
          <w:vertAlign w:val="baseline"/>
        </w:rPr>
        <w:t> 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0.9</w:t>
      </w:r>
      <w:r>
        <w:rPr>
          <w:rFonts w:ascii="Lucida Sans Unicode" w:hAnsi="Lucida Sans Unicode"/>
          <w:color w:val="333333"/>
          <w:spacing w:val="-15"/>
          <w:w w:val="95"/>
          <w:sz w:val="29"/>
          <w:vertAlign w:val="baseline"/>
        </w:rPr>
        <w:t> </w:t>
      </w:r>
      <w:r>
        <w:rPr>
          <w:rFonts w:ascii="Lucida Sans Unicode" w:hAnsi="Lucida Sans Unicode"/>
          <w:color w:val="333333"/>
          <w:w w:val="95"/>
          <w:sz w:val="29"/>
          <w:vertAlign w:val="baseline"/>
        </w:rPr>
        <w:t>+</w:t>
      </w:r>
      <w:r>
        <w:rPr>
          <w:rFonts w:ascii="Lucida Sans Unicode" w:hAnsi="Lucida Sans Unicode"/>
          <w:color w:val="333333"/>
          <w:spacing w:val="-13"/>
          <w:w w:val="95"/>
          <w:sz w:val="29"/>
          <w:vertAlign w:val="baseline"/>
        </w:rPr>
        <w:t> </w:t>
      </w:r>
      <w:r>
        <w:rPr>
          <w:rFonts w:ascii="Georgia" w:hAnsi="Georgia"/>
          <w:i/>
          <w:color w:val="333333"/>
          <w:w w:val="95"/>
          <w:sz w:val="29"/>
          <w:vertAlign w:val="baseline"/>
        </w:rPr>
        <w:t>T</w:t>
      </w:r>
      <w:r>
        <w:rPr>
          <w:rFonts w:ascii="Georgia" w:hAnsi="Georgia"/>
          <w:i/>
          <w:color w:val="333333"/>
          <w:w w:val="95"/>
          <w:sz w:val="29"/>
          <w:vertAlign w:val="subscript"/>
        </w:rPr>
        <w:t>r</w:t>
      </w:r>
    </w:p>
    <w:p>
      <w:pPr>
        <w:tabs>
          <w:tab w:pos="860" w:val="left" w:leader="none"/>
        </w:tabs>
        <w:spacing w:line="336" w:lineRule="exact" w:before="0"/>
        <w:ind w:left="0" w:right="1562" w:firstLine="0"/>
        <w:jc w:val="center"/>
        <w:rPr>
          <w:rFonts w:ascii="Lucida Sans Unicode"/>
          <w:sz w:val="20"/>
        </w:rPr>
      </w:pPr>
      <w:r>
        <w:rPr>
          <w:rFonts w:ascii="Georgia"/>
          <w:i/>
          <w:color w:val="333333"/>
          <w:w w:val="110"/>
          <w:position w:val="9"/>
          <w:sz w:val="20"/>
        </w:rPr>
        <w:t>i</w:t>
        <w:tab/>
      </w:r>
      <w:r>
        <w:rPr>
          <w:rFonts w:ascii="Georgia"/>
          <w:i/>
          <w:color w:val="333333"/>
          <w:w w:val="110"/>
          <w:sz w:val="20"/>
        </w:rPr>
        <w:t>i</w:t>
      </w:r>
      <w:r>
        <w:rPr>
          <w:rFonts w:ascii="Lucida Sans Unicode"/>
          <w:color w:val="333333"/>
          <w:w w:val="110"/>
          <w:sz w:val="20"/>
        </w:rPr>
        <w:t>=1</w:t>
      </w:r>
    </w:p>
    <w:p>
      <w:pPr>
        <w:pStyle w:val="BodyText"/>
        <w:spacing w:before="12"/>
        <w:ind w:left="0"/>
        <w:rPr>
          <w:rFonts w:ascii="Lucida Sans Unicode"/>
          <w:sz w:val="8"/>
        </w:rPr>
      </w:pPr>
    </w:p>
    <w:p>
      <w:pPr>
        <w:pStyle w:val="BodyText"/>
        <w:spacing w:line="292" w:lineRule="auto" w:before="77"/>
        <w:ind w:right="942"/>
      </w:pPr>
      <w:r>
        <w:rPr>
          <w:color w:val="333333"/>
          <w:spacing w:val="-1"/>
        </w:rPr>
        <w:t>其中</w:t>
      </w:r>
      <w:r>
        <w:rPr>
          <w:rFonts w:ascii="Arial" w:eastAsia="Arial"/>
          <w:color w:val="333333"/>
          <w:spacing w:val="-1"/>
        </w:rPr>
        <w:t>N</w:t>
      </w:r>
      <w:r>
        <w:rPr>
          <w:color w:val="333333"/>
          <w:spacing w:val="-1"/>
        </w:rPr>
        <w:t>表示测试集样本数量，</w:t>
      </w:r>
      <w:r>
        <w:rPr>
          <w:rFonts w:ascii="Arial" w:eastAsia="Arial"/>
          <w:color w:val="333333"/>
        </w:rPr>
        <w:t>yi</w:t>
      </w:r>
      <w:r>
        <w:rPr>
          <w:color w:val="333333"/>
        </w:rPr>
        <w:t>表示测试集中第</w:t>
      </w:r>
      <w:r>
        <w:rPr>
          <w:rFonts w:ascii="Arial" w:eastAsia="Arial"/>
          <w:color w:val="333333"/>
        </w:rPr>
        <w:t>i</w:t>
      </w:r>
      <w:r>
        <w:rPr>
          <w:color w:val="333333"/>
        </w:rPr>
        <w:t>个样本的真实值，</w:t>
      </w:r>
      <w:r>
        <w:rPr>
          <w:rFonts w:ascii="Arial" w:eastAsia="Arial"/>
          <w:color w:val="333333"/>
        </w:rPr>
        <w:t>pi</w:t>
      </w:r>
      <w:r>
        <w:rPr>
          <w:color w:val="333333"/>
          <w:spacing w:val="-14"/>
        </w:rPr>
        <w:t>表示第 </w:t>
      </w:r>
      <w:r>
        <w:rPr>
          <w:rFonts w:ascii="Arial" w:eastAsia="Arial"/>
          <w:color w:val="333333"/>
        </w:rPr>
        <w:t>i</w:t>
      </w:r>
      <w:r>
        <w:rPr>
          <w:color w:val="333333"/>
        </w:rPr>
        <w:t>个样本的风险概览。</w:t>
      </w:r>
      <w:r>
        <w:rPr>
          <w:rFonts w:ascii="Arial" w:eastAsia="Arial"/>
          <w:color w:val="333333"/>
        </w:rPr>
        <w:t>T </w:t>
      </w:r>
      <w:r>
        <w:rPr>
          <w:color w:val="333333"/>
        </w:rPr>
        <w:t>代表运行运行时间</w:t>
      </w:r>
      <w:r>
        <w:rPr>
          <w:rFonts w:ascii="Arial" w:eastAsia="Arial"/>
          <w:color w:val="333333"/>
        </w:rPr>
        <w:t>,r</w:t>
      </w:r>
      <w:r>
        <w:rPr>
          <w:color w:val="333333"/>
        </w:rPr>
        <w:t>代表运行得分区间系数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分为</w:t>
      </w:r>
      <w:r>
        <w:rPr>
          <w:rFonts w:ascii="Arial" w:eastAsia="Arial"/>
          <w:color w:val="333333"/>
        </w:rPr>
        <w:t>5</w:t>
      </w:r>
      <w:r>
        <w:rPr>
          <w:color w:val="333333"/>
        </w:rPr>
        <w:t>个区间系</w:t>
      </w:r>
    </w:p>
    <w:p>
      <w:pPr>
        <w:pStyle w:val="BodyText"/>
        <w:spacing w:before="1"/>
        <w:rPr>
          <w:rFonts w:ascii="Arial" w:eastAsia="Arial"/>
        </w:rPr>
      </w:pPr>
      <w:r>
        <w:rPr>
          <w:color w:val="333333"/>
        </w:rPr>
        <w:t>数</w:t>
      </w:r>
      <w:r>
        <w:rPr>
          <w:rFonts w:ascii="Arial" w:eastAsia="Arial"/>
          <w:color w:val="333333"/>
        </w:rPr>
        <w:t>:T1(1,T&gt;600s),T2(3,360s&lt;=T&lt;600s),T3(5,120s&lt;=T&lt;360s),T4(7,60s&lt;=T&lt;120s),T5(10,T&lt;60s)</w:t>
      </w:r>
    </w:p>
    <w:p>
      <w:pPr>
        <w:pStyle w:val="BodyText"/>
        <w:spacing w:before="8"/>
        <w:ind w:left="0"/>
        <w:rPr>
          <w:rFonts w:ascii="Arial"/>
          <w:sz w:val="33"/>
        </w:rPr>
      </w:pPr>
    </w:p>
    <w:p>
      <w:pPr>
        <w:spacing w:before="0"/>
        <w:ind w:left="100" w:right="0" w:firstLine="0"/>
        <w:jc w:val="left"/>
        <w:rPr>
          <w:rFonts w:ascii="PMingLiU" w:eastAsia="PMingLiU" w:hint="eastAsia"/>
          <w:sz w:val="33"/>
        </w:rPr>
      </w:pPr>
      <w:r>
        <w:rPr>
          <w:rFonts w:ascii="PMingLiU" w:eastAsia="PMingLiU" w:hint="eastAsia"/>
          <w:spacing w:val="13"/>
          <w:w w:val="110"/>
          <w:sz w:val="33"/>
        </w:rPr>
        <w:t>参</w:t>
      </w:r>
      <w:r>
        <w:rPr>
          <w:rFonts w:ascii="PMingLiU" w:eastAsia="PMingLiU" w:hint="eastAsia"/>
          <w:spacing w:val="13"/>
          <w:w w:val="110"/>
          <w:sz w:val="34"/>
        </w:rPr>
        <w:t>赛步</w:t>
      </w:r>
      <w:r>
        <w:rPr>
          <w:rFonts w:ascii="PMingLiU" w:eastAsia="PMingLiU" w:hint="eastAsia"/>
          <w:w w:val="110"/>
          <w:sz w:val="33"/>
        </w:rPr>
        <w:t>骤</w:t>
      </w:r>
    </w:p>
    <w:p>
      <w:pPr>
        <w:pStyle w:val="BodyText"/>
        <w:spacing w:before="225"/>
      </w:pPr>
      <w:r>
        <w:rPr>
          <w:rFonts w:ascii="Arial" w:eastAsia="Arial"/>
          <w:color w:val="333333"/>
        </w:rPr>
        <w:t>1</w:t>
      </w:r>
      <w:r>
        <w:rPr>
          <w:color w:val="333333"/>
        </w:rPr>
        <w:t>、选手使用</w:t>
      </w:r>
      <w:r>
        <w:rPr>
          <w:rFonts w:ascii="Arial" w:eastAsia="Arial"/>
          <w:color w:val="333333"/>
        </w:rPr>
        <w:t>jupyter</w:t>
      </w:r>
      <w:r>
        <w:rPr>
          <w:color w:val="333333"/>
        </w:rPr>
        <w:t>环境开发进行开发，提交代码集为</w:t>
      </w:r>
      <w:r>
        <w:rPr>
          <w:rFonts w:ascii="Arial" w:eastAsia="Arial"/>
          <w:color w:val="333333"/>
        </w:rPr>
        <w:t>Jupyter</w:t>
      </w:r>
      <w:r>
        <w:rPr>
          <w:rFonts w:ascii="Arial" w:eastAsia="Arial"/>
          <w:color w:val="333333"/>
          <w:spacing w:val="3"/>
        </w:rPr>
        <w:t> </w:t>
      </w:r>
      <w:r>
        <w:rPr>
          <w:rFonts w:ascii="Arial" w:eastAsia="Arial"/>
          <w:color w:val="333333"/>
        </w:rPr>
        <w:t>Notebook</w:t>
      </w:r>
      <w:r>
        <w:rPr>
          <w:color w:val="333333"/>
        </w:rPr>
        <w:t>数据格式</w:t>
      </w:r>
    </w:p>
    <w:p>
      <w:pPr>
        <w:pStyle w:val="BodyText"/>
        <w:spacing w:line="292" w:lineRule="auto"/>
        <w:ind w:right="313"/>
      </w:pPr>
      <w:r>
        <w:rPr>
          <w:rFonts w:ascii="Arial" w:eastAsia="Arial"/>
          <w:color w:val="333333"/>
        </w:rPr>
        <w:t>2</w:t>
      </w:r>
      <w:r>
        <w:rPr>
          <w:color w:val="333333"/>
        </w:rPr>
        <w:t>、选手根据我们提供的</w:t>
      </w:r>
      <w:r>
        <w:rPr>
          <w:rFonts w:ascii="Arial" w:eastAsia="Arial"/>
          <w:color w:val="333333"/>
        </w:rPr>
        <w:t>pip</w:t>
      </w:r>
      <w:r>
        <w:rPr>
          <w:color w:val="333333"/>
        </w:rPr>
        <w:t>安装类库，根据主办方提供的入参格式，本地</w:t>
      </w:r>
      <w:r>
        <w:rPr>
          <w:rFonts w:ascii="Arial" w:eastAsia="Arial"/>
          <w:color w:val="333333"/>
        </w:rPr>
        <w:t>/</w:t>
      </w:r>
      <w:r>
        <w:rPr>
          <w:color w:val="333333"/>
        </w:rPr>
        <w:t>线上调试，得到</w:t>
      </w:r>
      <w:r>
        <w:rPr>
          <w:rFonts w:ascii="Arial" w:eastAsia="Arial"/>
          <w:color w:val="333333"/>
        </w:rPr>
        <w:t>Pandas</w:t>
      </w:r>
      <w:r>
        <w:rPr>
          <w:color w:val="333333"/>
        </w:rPr>
        <w:t>库的</w:t>
      </w:r>
      <w:r>
        <w:rPr>
          <w:rFonts w:ascii="Arial" w:eastAsia="Arial"/>
          <w:color w:val="333333"/>
        </w:rPr>
        <w:t>DataFrame</w:t>
      </w:r>
      <w:r>
        <w:rPr>
          <w:color w:val="333333"/>
        </w:rPr>
        <w:t>的数据结构（训练集）</w:t>
      </w:r>
    </w:p>
    <w:p>
      <w:pPr>
        <w:pStyle w:val="BodyText"/>
        <w:spacing w:before="1"/>
      </w:pPr>
      <w:r>
        <w:rPr>
          <w:rFonts w:ascii="Arial" w:eastAsia="Arial"/>
          <w:color w:val="333333"/>
        </w:rPr>
        <w:t>3</w:t>
      </w:r>
      <w:r>
        <w:rPr>
          <w:color w:val="333333"/>
        </w:rPr>
        <w:t>、根据</w:t>
      </w:r>
      <w:r>
        <w:rPr>
          <w:rFonts w:ascii="Arial" w:eastAsia="Arial"/>
          <w:color w:val="333333"/>
        </w:rPr>
        <w:t>DataFrame</w:t>
      </w:r>
      <w:r>
        <w:rPr>
          <w:color w:val="333333"/>
        </w:rPr>
        <w:t>训练集和主办方提供的测试集数据进行数据模型设计、训练</w:t>
      </w:r>
    </w:p>
    <w:p>
      <w:pPr>
        <w:pStyle w:val="BodyText"/>
        <w:spacing w:line="292" w:lineRule="auto"/>
        <w:ind w:right="1275"/>
      </w:pPr>
      <w:r>
        <w:rPr>
          <w:rFonts w:ascii="Arial" w:eastAsia="Arial"/>
          <w:color w:val="333333"/>
        </w:rPr>
        <w:t>4</w:t>
      </w:r>
      <w:r>
        <w:rPr>
          <w:color w:val="333333"/>
        </w:rPr>
        <w:t>、根据主办方提供的入参格式得到样本集数据，和模型进行训练，得到结果集，提交结果集</w:t>
      </w:r>
      <w:r>
        <w:rPr>
          <w:rFonts w:ascii="Arial" w:eastAsia="Arial"/>
          <w:color w:val="333333"/>
        </w:rPr>
        <w:t>DataFrame</w:t>
      </w:r>
      <w:r>
        <w:rPr>
          <w:color w:val="333333"/>
        </w:rPr>
        <w:t>的数据结构</w:t>
      </w:r>
    </w:p>
    <w:p>
      <w:pPr>
        <w:pStyle w:val="BodyText"/>
        <w:spacing w:before="0"/>
      </w:pPr>
      <w:r>
        <w:rPr>
          <w:rFonts w:ascii="Arial" w:eastAsia="Arial"/>
          <w:color w:val="333333"/>
        </w:rPr>
        <w:t>5</w:t>
      </w:r>
      <w:r>
        <w:rPr>
          <w:color w:val="333333"/>
        </w:rPr>
        <w:t>、根据主办方提供的入参格式在线平台进行结果集评分测算，打榜日期截止</w:t>
      </w:r>
      <w:r>
        <w:rPr>
          <w:rFonts w:ascii="Arial" w:eastAsia="Arial"/>
          <w:color w:val="333333"/>
        </w:rPr>
        <w:t>2019</w:t>
      </w:r>
      <w:r>
        <w:rPr>
          <w:color w:val="333333"/>
        </w:rPr>
        <w:t>年</w:t>
      </w:r>
      <w:r>
        <w:rPr>
          <w:rFonts w:ascii="Arial" w:eastAsia="Arial"/>
          <w:color w:val="333333"/>
        </w:rPr>
        <w:t>12</w:t>
      </w:r>
      <w:r>
        <w:rPr>
          <w:color w:val="333333"/>
        </w:rPr>
        <w:t>月</w:t>
      </w:r>
      <w:r>
        <w:rPr>
          <w:rFonts w:ascii="Arial" w:eastAsia="Arial"/>
          <w:color w:val="333333"/>
        </w:rPr>
        <w:t>13</w:t>
      </w:r>
      <w:r>
        <w:rPr>
          <w:color w:val="333333"/>
        </w:rPr>
        <w:t>日</w:t>
      </w:r>
      <w:r>
        <w:rPr>
          <w:rFonts w:ascii="Arial" w:eastAsia="Arial"/>
          <w:color w:val="333333"/>
        </w:rPr>
        <w:t>12</w:t>
      </w:r>
      <w:r>
        <w:rPr>
          <w:color w:val="333333"/>
        </w:rPr>
        <w:t>时</w:t>
      </w:r>
    </w:p>
    <w:sectPr>
      <w:pgSz w:w="12240" w:h="15840"/>
      <w:pgMar w:top="50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68"/>
      <w:ind w:left="100"/>
    </w:pPr>
    <w:rPr>
      <w:rFonts w:ascii="宋体" w:hAnsi="宋体" w:eastAsia="宋体" w:cs="宋体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PMingLiU" w:hAnsi="PMingLiU" w:eastAsia="PMingLiU" w:cs="PMingLiU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132"/>
      <w:ind w:left="200"/>
    </w:pPr>
    <w:rPr>
      <w:rFonts w:ascii="Arial" w:hAnsi="Arial" w:eastAsia="Arial" w:cs="Arial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2021-04-02T04:07:40Z</dcterms:created>
  <dcterms:modified xsi:type="dcterms:W3CDTF">2021-04-02T04:07:40Z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2021-04-02T00:00:00Z</vt:filetime>
  </property>
</Properties>
</file>