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pBdr>
          <w:bottom w:val="single" w:sz="12" w:space="1" w:color="auto"/>
        </w:pBdr>
        <w:shd w:val="clear" w:color="auto" w:fill="FFFFFF"/>
        <w:spacing w:after="150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CONTRACT AGREEMENT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This contract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is made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on </w:t>
      </w:r>
      <w:r w:rsidR="005F6EA9">
        <w:rPr>
          <w:rFonts w:ascii="Arial" w:eastAsia="Times New Roman" w:hAnsi="Arial" w:cs="Arial"/>
          <w:color w:val="000000"/>
          <w:sz w:val="21"/>
          <w:szCs w:val="21"/>
          <w:u w:val="single"/>
        </w:rPr>
        <w:t>July</w:t>
      </w: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t xml:space="preserve"> </w:t>
      </w:r>
      <w:r w:rsidR="005F6EA9">
        <w:rPr>
          <w:rFonts w:ascii="Arial" w:eastAsia="Times New Roman" w:hAnsi="Arial" w:cs="Arial"/>
          <w:color w:val="000000"/>
          <w:sz w:val="21"/>
          <w:szCs w:val="21"/>
          <w:u w:val="single"/>
        </w:rPr>
        <w:t>1</w:t>
      </w: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t>, 20</w:t>
      </w:r>
      <w:r w:rsidR="005F6EA9">
        <w:rPr>
          <w:rFonts w:ascii="Arial" w:eastAsia="Times New Roman" w:hAnsi="Arial" w:cs="Arial"/>
          <w:color w:val="000000"/>
          <w:sz w:val="21"/>
          <w:szCs w:val="21"/>
          <w:u w:val="single"/>
        </w:rPr>
        <w:t xml:space="preserve">24 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by and between, 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EGATE INC.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with its head office address at 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 xml:space="preserve">Unit E </w:t>
      </w:r>
      <w:proofErr w:type="spell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Nanay</w:t>
      </w:r>
      <w:proofErr w:type="spell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 xml:space="preserve"> Nora Bldg. Cavite Viejo Centennial Road, </w:t>
      </w:r>
      <w:proofErr w:type="spell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Gahak</w:t>
      </w:r>
      <w:proofErr w:type="spell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 xml:space="preserve"> </w:t>
      </w:r>
      <w:proofErr w:type="spell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Kawit</w:t>
      </w:r>
      <w:proofErr w:type="spell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 xml:space="preserve"> Cavite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(hereafter referred to as the “SUPPLIER”) and </w:t>
      </w:r>
      <w:r w:rsidR="005F6EA9" w:rsidRPr="005F6EA9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IRISO ELECTRONICS PHILS. INC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with its head office address at 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CEZ Rosario Cavite, Philippines, 4106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hereinafter referred to as “Customer”.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1. DESCRIPTION OF CONTRACT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  <w:t>Printer Contract and Services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- whereas the Customer agrees to use the </w:t>
      </w: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t>Printer Fixed Rate scheme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, on a monthly   basis as required and needed, whereas, the supplier agrees to provide free maintenance and services for the following item/unit:</w:t>
      </w:r>
    </w:p>
    <w:tbl>
      <w:tblPr>
        <w:tblW w:w="90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5085"/>
        <w:gridCol w:w="1657"/>
      </w:tblGrid>
      <w:tr w:rsidR="00F510E4" w:rsidRPr="00F510E4" w:rsidTr="00F510E4">
        <w:trPr>
          <w:jc w:val="center"/>
        </w:trPr>
        <w:tc>
          <w:tcPr>
            <w:tcW w:w="2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0E4">
              <w:rPr>
                <w:rFonts w:ascii="Arial" w:eastAsia="Times New Roman" w:hAnsi="Arial" w:cs="Arial"/>
                <w:sz w:val="24"/>
                <w:szCs w:val="24"/>
              </w:rPr>
              <w:t>DEPLOYMENT AREA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0E4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1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0E4">
              <w:rPr>
                <w:rFonts w:ascii="Arial" w:eastAsia="Times New Roman" w:hAnsi="Arial" w:cs="Arial"/>
                <w:sz w:val="24"/>
                <w:szCs w:val="24"/>
              </w:rPr>
              <w:t>QUANTITY</w:t>
            </w:r>
          </w:p>
        </w:tc>
      </w:tr>
      <w:tr w:rsidR="00F510E4" w:rsidRPr="00F510E4" w:rsidTr="00F510E4">
        <w:trPr>
          <w:jc w:val="center"/>
        </w:trPr>
        <w:tc>
          <w:tcPr>
            <w:tcW w:w="2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5F6EA9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PPIC Dept.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5F6EA9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Brother DCP 7065DN Monochrome Laser Multi-function Printer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0E4">
              <w:rPr>
                <w:rFonts w:ascii="Arial" w:eastAsia="Times New Roman" w:hAnsi="Arial" w:cs="Arial"/>
                <w:sz w:val="24"/>
                <w:szCs w:val="24"/>
              </w:rPr>
              <w:t>1 unit</w:t>
            </w:r>
          </w:p>
        </w:tc>
      </w:tr>
    </w:tbl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2. GRANT OF SERVICE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Customer, acknowledge the supplier’s practical solution to this concern and willing to enter into a contract agreement that will allow the Supplier to supply the minimum quantity under the terms and conditions mutually agreed by both parties.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3. Contract Term</w:t>
      </w:r>
    </w:p>
    <w:p w:rsidR="00F510E4" w:rsidRDefault="00F510E4" w:rsidP="005F6EA9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Term of contract: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The term of Customer shall begin on the commencement date of </w:t>
      </w:r>
      <w:r w:rsidR="005F6EA9">
        <w:rPr>
          <w:rFonts w:ascii="Arial" w:eastAsia="Times New Roman" w:hAnsi="Arial" w:cs="Arial"/>
          <w:color w:val="000000"/>
          <w:sz w:val="21"/>
          <w:szCs w:val="21"/>
          <w:u w:val="single"/>
        </w:rPr>
        <w:t>July</w:t>
      </w: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t xml:space="preserve"> 1, 20</w:t>
      </w:r>
      <w:r w:rsidR="005F6EA9">
        <w:rPr>
          <w:rFonts w:ascii="Arial" w:eastAsia="Times New Roman" w:hAnsi="Arial" w:cs="Arial"/>
          <w:color w:val="000000"/>
          <w:sz w:val="21"/>
          <w:szCs w:val="21"/>
          <w:u w:val="single"/>
        </w:rPr>
        <w:t>24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a. Commencement Date: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 The “Commencement Date” shall mean the date on which the “SUPPLIER” delivers the printer to “CUSTOMER” designated area or the date Indicated in the Delivery Receipt (DR).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b. Default Period: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 The “Default Period” shall mean the scope validity of the contract or the lock-in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period which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is </w:t>
      </w:r>
      <w:r w:rsidRPr="00F510E4">
        <w:rPr>
          <w:rFonts w:ascii="Arial" w:eastAsia="Times New Roman" w:hAnsi="Arial" w:cs="Arial"/>
          <w:color w:val="000000"/>
          <w:sz w:val="21"/>
          <w:szCs w:val="21"/>
          <w:u w:val="single"/>
        </w:rPr>
        <w:t>Twenty-Four (24) months or two (2) years 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being indicated deployed starting from its commencement date.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C.Provision</w:t>
      </w:r>
      <w:proofErr w:type="spell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1. Fixed Printer Package of the above item/unit on Monthly rental basis. Stated here under the amount of monthly rental without increase during the lock-in period:</w:t>
      </w:r>
    </w:p>
    <w:p w:rsidR="005F6EA9" w:rsidRDefault="005F6EA9" w:rsidP="005F6EA9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F6EA9" w:rsidRPr="00F510E4" w:rsidRDefault="005F6EA9" w:rsidP="005F6EA9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96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833"/>
        <w:gridCol w:w="1530"/>
        <w:gridCol w:w="1620"/>
      </w:tblGrid>
      <w:tr w:rsidR="00F510E4" w:rsidRPr="00F510E4" w:rsidTr="00F510E4">
        <w:tc>
          <w:tcPr>
            <w:tcW w:w="5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QTY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UNIT PRICE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0E4" w:rsidRPr="00F510E4" w:rsidRDefault="00F510E4" w:rsidP="00F510E4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AMOUNT</w:t>
            </w:r>
          </w:p>
        </w:tc>
      </w:tr>
      <w:tr w:rsidR="005F6EA9" w:rsidRPr="00F510E4" w:rsidTr="00F510E4">
        <w:tc>
          <w:tcPr>
            <w:tcW w:w="5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F6EA9">
              <w:rPr>
                <w:rFonts w:ascii="Arial" w:eastAsia="Times New Roman" w:hAnsi="Arial" w:cs="Arial"/>
                <w:sz w:val="21"/>
                <w:szCs w:val="21"/>
              </w:rPr>
              <w:t>Brother DCP 7065DN Monochrome Laser Multi-function Printer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 unit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3,0</w:t>
            </w:r>
            <w:r w:rsidRPr="00F510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3,0</w:t>
            </w:r>
            <w:r w:rsidRPr="00F510E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00.00</w:t>
            </w:r>
          </w:p>
        </w:tc>
      </w:tr>
      <w:tr w:rsidR="005F6EA9" w:rsidRPr="00F510E4" w:rsidTr="005F6EA9">
        <w:tc>
          <w:tcPr>
            <w:tcW w:w="5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</w:tc>
      </w:tr>
      <w:tr w:rsidR="005F6EA9" w:rsidRPr="00F510E4" w:rsidTr="00F510E4">
        <w:tc>
          <w:tcPr>
            <w:tcW w:w="802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Total Amount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6EA9" w:rsidRPr="00F510E4" w:rsidRDefault="005F6EA9" w:rsidP="005F6EA9">
            <w:pPr>
              <w:spacing w:after="15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Php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3,0</w:t>
            </w:r>
            <w:r w:rsidRPr="00F510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00.00</w:t>
            </w:r>
          </w:p>
        </w:tc>
      </w:tr>
    </w:tbl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2. Customer cannot downgrade the package. However, if customer wanted to avail additional printer, this will be under another package for negotiation and if, by the same pricing scheme and package.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3. Supplier will provide person for maintenance and services in a monthly basis or need of customer, in case of malfunction encounter right after the maintenance schedule, Client should file a Ticket complain by using the system provided by the Supplier. All complain/request will be entertain thru supplier system.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NOTE: Phone and Email complaint/request of service are not </w:t>
      </w:r>
      <w:proofErr w:type="gramStart"/>
      <w:r w:rsidRPr="00F510E4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VALID,</w:t>
      </w:r>
      <w:proofErr w:type="gramEnd"/>
      <w:r w:rsidRPr="00F510E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Technician will be deploy upon receipt of Ticket Request thru vendor system.</w:t>
      </w:r>
      <w:r w:rsidRPr="00F510E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4. Empty cartridge/toner/CIS Tank shall be recalled / pull-out upon replenishment.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5. Supplier will be the one to do the services and maintenance for the printers.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6. Supplier is responsible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to initially connect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to customer network. If Customer encounters problem due to their internal network, Supplier is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not  liable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to fix it but supplier can offer their services for the IT functions with their corresponding Service Fee.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d. EXTENSION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a. The parties may extend this Agreement upon such terms and condition as may be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agreed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upon in writing and signed by the parties at the time of any such extension.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 xml:space="preserve">b. Customer shall notify in writing, one (1) month before the end of the contract, his/her intention not to renew said Agreement, otherwise, Contract Agreement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is presumed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automatically renewed.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4. PRE-TERMINATION OF AGREEMENT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Should Customer decide to pre-terminate the Contract Agreement, an advance notice of one month should be submitted in writing indicating the reason for the pre-termination and settle in full all pending invoices. However,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the reason arise due to circumstances that is unacceptable to Customer, all dues deemed settled and supplier property should be </w:t>
      </w:r>
      <w:proofErr w:type="spell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take</w:t>
      </w:r>
      <w:proofErr w:type="spell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as soon as possible.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5. RESTRICTIONS ON USE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a. Customer shall be liable for damages on the printer due to negligence or accident, provided with written report of Investigation process.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>b. Deployed printer 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cannot be relocated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from its original place of installation. Problems arising from such relocation as in change in the configuration and the resulting cost in re-configuring and other repairs shall be borne by the Customer.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6. DAMAGE TO PRINTER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a. If the whole or any part of the Printer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is damaged or destroyed by accident or due to Customer’s wrongful use,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the Customer shall be charged with the actual value of the printer, provided with written report of Investigation Process.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 xml:space="preserve">b. Damage by using poor quality Ink / Cartridge /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Toner which is provided by Customer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shall be charged also, provided with written report of Investigation Process.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c. Using low quality of paper may damage the printer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unit,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Supplier requires to use not less than 70 GSM. If Customer still used low quality of paper and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may cause of damage to Printer, damaged parts shall be charged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> to the Customer provided with written report of Investigation Process.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7. SUPPLY, PARTS, MAINTENANCE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a. Supplier shall provide the Customer with quality printer, the model/type pre-determined prior to signing of this Agreement.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b. Supplier shall perform monthly maintenance work on the unit, with submission of report to Customer thru Vendor System.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c. Supplier shall respond to any service request within the day but not exceeding in 48 </w:t>
      </w:r>
      <w:proofErr w:type="spell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hrs</w:t>
      </w:r>
      <w:proofErr w:type="spell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, In-case there is no available parts Supplier should provide service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unit  and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upon neglect , customers may deduct/reduce cost, that will cover the damage or inconveniences in the end of later.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d. Supplier may supply also required paper requirements but it is excluding on the contract price.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8. AGREEMENT</w:t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>No amendment, change or variance from this Agreement shall be binding on either party unless executed in writing and agreed by both parties.</w:t>
      </w:r>
    </w:p>
    <w:p w:rsidR="00F510E4" w:rsidRDefault="00F510E4" w:rsidP="00F510E4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5F6EA9" w:rsidRDefault="005F6EA9" w:rsidP="00F510E4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5F6EA9" w:rsidRPr="00F510E4" w:rsidRDefault="005F6EA9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ATTESTATION</w:t>
      </w:r>
      <w:proofErr w:type="gram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proofErr w:type="gram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Customer hereby declares that all information provided here are true and correct. As necessity to update declared information shall be informed to </w:t>
      </w:r>
      <w:proofErr w:type="spell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Egate</w:t>
      </w:r>
      <w:proofErr w:type="spell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Inc..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 A revision of contract shall follow.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 xml:space="preserve">We hereby certify that this agreement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has been made in good faith, verified and understood by both PARTIES, as signed below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Customer: </w:t>
      </w:r>
      <w:r w:rsidR="005F6EA9" w:rsidRPr="005F6EA9">
        <w:rPr>
          <w:rFonts w:ascii="Arial" w:eastAsia="Times New Roman" w:hAnsi="Arial" w:cs="Arial"/>
          <w:b/>
          <w:color w:val="000000"/>
          <w:sz w:val="21"/>
          <w:szCs w:val="21"/>
        </w:rPr>
        <w:t>IRISO ELECTRONICS PHILS. INC</w:t>
      </w:r>
      <w:r w:rsidR="005F6EA9"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="005F6EA9"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5F6EA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</w:t>
      </w:r>
      <w:bookmarkStart w:id="0" w:name="_GoBack"/>
      <w:bookmarkEnd w:id="0"/>
      <w:proofErr w:type="spellStart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Conforme</w:t>
      </w:r>
      <w:proofErr w:type="spellEnd"/>
      <w:r w:rsidRPr="00F510E4">
        <w:rPr>
          <w:rFonts w:ascii="Arial" w:eastAsia="Times New Roman" w:hAnsi="Arial" w:cs="Arial"/>
          <w:b/>
          <w:bCs/>
          <w:color w:val="000000"/>
          <w:sz w:val="21"/>
          <w:szCs w:val="21"/>
        </w:rPr>
        <w:t>: EGATE INC.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 xml:space="preserve">_____________________________                                    </w:t>
      </w:r>
      <w:r>
        <w:rPr>
          <w:rFonts w:ascii="Arial" w:eastAsia="Times New Roman" w:hAnsi="Arial" w:cs="Arial"/>
          <w:color w:val="000000"/>
          <w:sz w:val="21"/>
          <w:szCs w:val="21"/>
        </w:rPr>
        <w:t>______________________________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 xml:space="preserve">Authorized Company Representative                                    Authorized Company </w:t>
      </w:r>
      <w:proofErr w:type="gramStart"/>
      <w:r w:rsidRPr="00F510E4">
        <w:rPr>
          <w:rFonts w:ascii="Arial" w:eastAsia="Times New Roman" w:hAnsi="Arial" w:cs="Arial"/>
          <w:color w:val="000000"/>
          <w:sz w:val="21"/>
          <w:szCs w:val="21"/>
        </w:rPr>
        <w:t>Representative</w:t>
      </w:r>
      <w:proofErr w:type="gramEnd"/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>(Please sign over printed name)                                            (Please sign over printed name)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______________________________                                  </w:t>
      </w:r>
      <w:r>
        <w:rPr>
          <w:rFonts w:ascii="Arial" w:eastAsia="Times New Roman" w:hAnsi="Arial" w:cs="Arial"/>
          <w:color w:val="000000"/>
          <w:sz w:val="21"/>
          <w:szCs w:val="21"/>
        </w:rPr>
        <w:t>______________________________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>Position of Representative                                                     Position of Representative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______________________________                                   _____</w:t>
      </w:r>
      <w:r>
        <w:rPr>
          <w:rFonts w:ascii="Arial" w:eastAsia="Times New Roman" w:hAnsi="Arial" w:cs="Arial"/>
          <w:color w:val="000000"/>
          <w:sz w:val="21"/>
          <w:szCs w:val="21"/>
        </w:rPr>
        <w:t>________________________</w:t>
      </w:r>
      <w:r w:rsidRPr="00F510E4">
        <w:rPr>
          <w:rFonts w:ascii="Arial" w:eastAsia="Times New Roman" w:hAnsi="Arial" w:cs="Arial"/>
          <w:color w:val="000000"/>
          <w:sz w:val="21"/>
          <w:szCs w:val="21"/>
        </w:rPr>
        <w:br/>
        <w:t>Date                                                                                        Date </w:t>
      </w:r>
    </w:p>
    <w:p w:rsidR="00F510E4" w:rsidRPr="00F510E4" w:rsidRDefault="00F510E4" w:rsidP="00F510E4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10E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11951" w:rsidRDefault="00211951"/>
    <w:sectPr w:rsidR="00211951" w:rsidSect="00F510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E4"/>
    <w:rsid w:val="00211951"/>
    <w:rsid w:val="005F6EA9"/>
    <w:rsid w:val="00710429"/>
    <w:rsid w:val="00F5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FE14"/>
  <w15:chartTrackingRefBased/>
  <w15:docId w15:val="{E06CE851-AB1D-482F-BA8F-B9C5F22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SAMSUNG2</dc:creator>
  <cp:keywords/>
  <dc:description/>
  <cp:lastModifiedBy>SAMSUNG2</cp:lastModifiedBy>
  <cp:revision>2</cp:revision>
  <dcterms:created xsi:type="dcterms:W3CDTF">2024-07-03T02:53:00Z</dcterms:created>
  <dcterms:modified xsi:type="dcterms:W3CDTF">2024-07-03T02:53:00Z</dcterms:modified>
</cp:coreProperties>
</file>