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205D0" w14:textId="77777777" w:rsidR="004378F1" w:rsidRDefault="00000000">
      <w:pPr>
        <w:spacing w:after="40"/>
        <w:jc w:val="center"/>
        <w:rPr>
          <w:lang w:eastAsia="zh-CN"/>
        </w:rPr>
      </w:pPr>
      <w:r>
        <w:rPr>
          <w:rFonts w:ascii="微软雅黑" w:eastAsia="微软雅黑" w:hAnsi="微软雅黑"/>
          <w:b/>
          <w:color w:val="1F4E79"/>
          <w:sz w:val="36"/>
          <w:lang w:eastAsia="zh-CN"/>
        </w:rPr>
        <w:t>券商研报精华萃取：棕榈油 × 厄尔尼诺</w:t>
      </w:r>
    </w:p>
    <w:p w14:paraId="6295E60F" w14:textId="77777777" w:rsidR="004378F1" w:rsidRDefault="00000000">
      <w:pPr>
        <w:spacing w:after="40"/>
        <w:jc w:val="center"/>
        <w:rPr>
          <w:lang w:eastAsia="zh-CN"/>
        </w:rPr>
      </w:pPr>
      <w:r>
        <w:rPr>
          <w:rFonts w:ascii="微软雅黑" w:eastAsia="微软雅黑" w:hAnsi="微软雅黑"/>
          <w:color w:val="808080"/>
          <w:sz w:val="20"/>
          <w:lang w:eastAsia="zh-CN"/>
        </w:rPr>
        <w:t>交付物 R3 / #4 · 单品种聚焦 Palm Oil（CPO=F） · 整理日期 2026-06-22</w:t>
      </w:r>
    </w:p>
    <w:p w14:paraId="2BA7C410" w14:textId="77777777" w:rsidR="004378F1" w:rsidRDefault="00000000">
      <w:pPr>
        <w:spacing w:after="160"/>
        <w:jc w:val="center"/>
        <w:rPr>
          <w:lang w:eastAsia="zh-CN"/>
        </w:rPr>
      </w:pPr>
      <w:r>
        <w:rPr>
          <w:color w:val="808080"/>
          <w:sz w:val="18"/>
          <w:lang w:eastAsia="zh-CN"/>
        </w:rPr>
        <w:t>说明：以下要点均为对研报原文的转述与提炼，非原文复制粘贴；英文术语首次出现附中文释义。</w:t>
      </w:r>
    </w:p>
    <w:p w14:paraId="5E1961E4" w14:textId="77777777" w:rsidR="004378F1" w:rsidRDefault="00000000">
      <w:pPr>
        <w:spacing w:before="160" w:after="80"/>
      </w:pPr>
      <w:proofErr w:type="spellStart"/>
      <w:r>
        <w:rPr>
          <w:rFonts w:ascii="微软雅黑" w:eastAsia="微软雅黑" w:hAnsi="微软雅黑"/>
          <w:b/>
          <w:color w:val="1F4E79"/>
          <w:sz w:val="26"/>
        </w:rPr>
        <w:t>一、研报清单表</w:t>
      </w:r>
      <w:proofErr w:type="spellEnd"/>
    </w:p>
    <w:tbl>
      <w:tblPr>
        <w:tblStyle w:val="aff1"/>
        <w:tblW w:w="0" w:type="auto"/>
        <w:jc w:val="center"/>
        <w:tblLook w:val="04A0" w:firstRow="1" w:lastRow="0" w:firstColumn="1" w:lastColumn="0" w:noHBand="0" w:noVBand="1"/>
      </w:tblPr>
      <w:tblGrid>
        <w:gridCol w:w="507"/>
        <w:gridCol w:w="3731"/>
        <w:gridCol w:w="1848"/>
        <w:gridCol w:w="1134"/>
        <w:gridCol w:w="1636"/>
      </w:tblGrid>
      <w:tr w:rsidR="004378F1" w14:paraId="301A88D7" w14:textId="77777777">
        <w:trPr>
          <w:jc w:val="center"/>
        </w:trPr>
        <w:tc>
          <w:tcPr>
            <w:tcW w:w="576" w:type="dxa"/>
            <w:shd w:val="clear" w:color="auto" w:fill="1F4E79"/>
          </w:tcPr>
          <w:p w14:paraId="0ECD5DFE" w14:textId="77777777" w:rsidR="004378F1" w:rsidRDefault="00000000">
            <w:pPr>
              <w:spacing w:before="20" w:after="20"/>
            </w:pPr>
            <w:r>
              <w:rPr>
                <w:rFonts w:ascii="微软雅黑" w:eastAsia="微软雅黑" w:hAnsi="微软雅黑"/>
                <w:b/>
                <w:color w:val="FFFFFF"/>
                <w:sz w:val="19"/>
              </w:rPr>
              <w:t>#</w:t>
            </w:r>
          </w:p>
        </w:tc>
        <w:tc>
          <w:tcPr>
            <w:tcW w:w="5760" w:type="dxa"/>
            <w:shd w:val="clear" w:color="auto" w:fill="1F4E79"/>
          </w:tcPr>
          <w:p w14:paraId="779B9DE8" w14:textId="77777777" w:rsidR="004378F1" w:rsidRDefault="00000000">
            <w:pPr>
              <w:spacing w:before="20" w:after="20"/>
            </w:pPr>
            <w:r>
              <w:rPr>
                <w:rFonts w:ascii="微软雅黑" w:eastAsia="微软雅黑" w:hAnsi="微软雅黑"/>
                <w:b/>
                <w:color w:val="FFFFFF"/>
                <w:sz w:val="19"/>
              </w:rPr>
              <w:t>标题</w:t>
            </w:r>
          </w:p>
        </w:tc>
        <w:tc>
          <w:tcPr>
            <w:tcW w:w="2448" w:type="dxa"/>
            <w:shd w:val="clear" w:color="auto" w:fill="1F4E79"/>
          </w:tcPr>
          <w:p w14:paraId="2805B5CF" w14:textId="77777777" w:rsidR="004378F1" w:rsidRDefault="00000000">
            <w:pPr>
              <w:spacing w:before="20" w:after="20"/>
            </w:pPr>
            <w:r>
              <w:rPr>
                <w:rFonts w:ascii="微软雅黑" w:eastAsia="微软雅黑" w:hAnsi="微软雅黑"/>
                <w:b/>
                <w:color w:val="FFFFFF"/>
                <w:sz w:val="19"/>
              </w:rPr>
              <w:t>机构</w:t>
            </w:r>
          </w:p>
        </w:tc>
        <w:tc>
          <w:tcPr>
            <w:tcW w:w="1440" w:type="dxa"/>
            <w:shd w:val="clear" w:color="auto" w:fill="1F4E79"/>
          </w:tcPr>
          <w:p w14:paraId="7E1C88A8" w14:textId="77777777" w:rsidR="004378F1" w:rsidRDefault="00000000">
            <w:pPr>
              <w:spacing w:before="20" w:after="20"/>
            </w:pPr>
            <w:r>
              <w:rPr>
                <w:rFonts w:ascii="微软雅黑" w:eastAsia="微软雅黑" w:hAnsi="微软雅黑"/>
                <w:b/>
                <w:color w:val="FFFFFF"/>
                <w:sz w:val="19"/>
              </w:rPr>
              <w:t>日期</w:t>
            </w:r>
          </w:p>
        </w:tc>
        <w:tc>
          <w:tcPr>
            <w:tcW w:w="2304" w:type="dxa"/>
            <w:shd w:val="clear" w:color="auto" w:fill="1F4E79"/>
          </w:tcPr>
          <w:p w14:paraId="27B399A8" w14:textId="77777777" w:rsidR="004378F1" w:rsidRDefault="00000000">
            <w:pPr>
              <w:spacing w:before="20" w:after="20"/>
            </w:pPr>
            <w:r>
              <w:rPr>
                <w:rFonts w:ascii="微软雅黑" w:eastAsia="微软雅黑" w:hAnsi="微软雅黑"/>
                <w:b/>
                <w:color w:val="FFFFFF"/>
                <w:sz w:val="19"/>
              </w:rPr>
              <w:t>类型 / 链接</w:t>
            </w:r>
          </w:p>
        </w:tc>
      </w:tr>
      <w:tr w:rsidR="004378F1" w14:paraId="0D55C9CB" w14:textId="77777777">
        <w:trPr>
          <w:jc w:val="center"/>
        </w:trPr>
        <w:tc>
          <w:tcPr>
            <w:tcW w:w="576" w:type="dxa"/>
          </w:tcPr>
          <w:p w14:paraId="05006C89" w14:textId="77777777" w:rsidR="004378F1" w:rsidRDefault="00000000">
            <w:pPr>
              <w:spacing w:before="20" w:after="20"/>
            </w:pPr>
            <w:r>
              <w:rPr>
                <w:b/>
                <w:sz w:val="19"/>
              </w:rPr>
              <w:t>①</w:t>
            </w:r>
          </w:p>
        </w:tc>
        <w:tc>
          <w:tcPr>
            <w:tcW w:w="5760" w:type="dxa"/>
          </w:tcPr>
          <w:p w14:paraId="7C5081BB" w14:textId="77777777" w:rsidR="004378F1" w:rsidRDefault="00000000">
            <w:pPr>
              <w:spacing w:before="20" w:after="20"/>
              <w:rPr>
                <w:lang w:eastAsia="zh-CN"/>
              </w:rPr>
            </w:pPr>
            <w:r>
              <w:rPr>
                <w:sz w:val="19"/>
                <w:lang w:eastAsia="zh-CN"/>
              </w:rPr>
              <w:t>棕榈油周度报告：NOAA 周度报告与棕榈油产地降雨跟踪——赤道太平洋海域热量储备已超 2015 年</w:t>
            </w:r>
          </w:p>
        </w:tc>
        <w:tc>
          <w:tcPr>
            <w:tcW w:w="2448" w:type="dxa"/>
          </w:tcPr>
          <w:p w14:paraId="378DEB74" w14:textId="77777777" w:rsidR="004378F1" w:rsidRDefault="00000000">
            <w:pPr>
              <w:spacing w:before="20" w:after="20"/>
              <w:rPr>
                <w:lang w:eastAsia="zh-CN"/>
              </w:rPr>
            </w:pPr>
            <w:r>
              <w:rPr>
                <w:sz w:val="19"/>
                <w:lang w:eastAsia="zh-CN"/>
              </w:rPr>
              <w:t>上海东证期货（东证衍生品研究院）</w:t>
            </w:r>
          </w:p>
        </w:tc>
        <w:tc>
          <w:tcPr>
            <w:tcW w:w="1440" w:type="dxa"/>
          </w:tcPr>
          <w:p w14:paraId="5A8E9908" w14:textId="77777777" w:rsidR="004378F1" w:rsidRDefault="00000000">
            <w:pPr>
              <w:spacing w:before="20" w:after="20"/>
            </w:pPr>
            <w:r>
              <w:rPr>
                <w:sz w:val="19"/>
              </w:rPr>
              <w:t>2026-06-10</w:t>
            </w:r>
          </w:p>
        </w:tc>
        <w:tc>
          <w:tcPr>
            <w:tcW w:w="2304" w:type="dxa"/>
          </w:tcPr>
          <w:p w14:paraId="2B91A438" w14:textId="77777777" w:rsidR="004378F1" w:rsidRDefault="00000000">
            <w:pPr>
              <w:spacing w:before="20" w:after="20"/>
              <w:rPr>
                <w:lang w:eastAsia="zh-CN"/>
              </w:rPr>
            </w:pPr>
            <w:r>
              <w:rPr>
                <w:sz w:val="18"/>
                <w:lang w:eastAsia="zh-CN"/>
              </w:rPr>
              <w:t>棕榈油专题 / 气象监测</w:t>
            </w:r>
            <w:r>
              <w:rPr>
                <w:sz w:val="18"/>
                <w:lang w:eastAsia="zh-CN"/>
              </w:rPr>
              <w:br/>
              <w:t>（微信群分发 PDF，无公开链接）</w:t>
            </w:r>
          </w:p>
        </w:tc>
      </w:tr>
      <w:tr w:rsidR="004378F1" w14:paraId="0151AD8A" w14:textId="77777777">
        <w:trPr>
          <w:jc w:val="center"/>
        </w:trPr>
        <w:tc>
          <w:tcPr>
            <w:tcW w:w="576" w:type="dxa"/>
          </w:tcPr>
          <w:p w14:paraId="2F2B353B" w14:textId="77777777" w:rsidR="004378F1" w:rsidRDefault="00000000">
            <w:pPr>
              <w:spacing w:before="20" w:after="20"/>
            </w:pPr>
            <w:r>
              <w:rPr>
                <w:b/>
                <w:sz w:val="19"/>
              </w:rPr>
              <w:t>②</w:t>
            </w:r>
          </w:p>
        </w:tc>
        <w:tc>
          <w:tcPr>
            <w:tcW w:w="5760" w:type="dxa"/>
          </w:tcPr>
          <w:p w14:paraId="27A5F306" w14:textId="77777777" w:rsidR="004378F1" w:rsidRDefault="00000000">
            <w:pPr>
              <w:spacing w:before="20" w:after="20"/>
              <w:rPr>
                <w:lang w:eastAsia="zh-CN"/>
              </w:rPr>
            </w:pPr>
            <w:r>
              <w:rPr>
                <w:sz w:val="19"/>
                <w:lang w:eastAsia="zh-CN"/>
              </w:rPr>
              <w:t>棕榈油：未来可能有较大幅度的上涨行情（专题报告）</w:t>
            </w:r>
          </w:p>
        </w:tc>
        <w:tc>
          <w:tcPr>
            <w:tcW w:w="2448" w:type="dxa"/>
          </w:tcPr>
          <w:p w14:paraId="2468F7CF" w14:textId="77777777" w:rsidR="004378F1" w:rsidRDefault="00000000">
            <w:pPr>
              <w:spacing w:before="20" w:after="20"/>
              <w:rPr>
                <w:lang w:eastAsia="zh-CN"/>
              </w:rPr>
            </w:pPr>
            <w:r>
              <w:rPr>
                <w:sz w:val="19"/>
                <w:lang w:eastAsia="zh-CN"/>
              </w:rPr>
              <w:t>五矿期货（农产品研究 · 杨泽元）</w:t>
            </w:r>
          </w:p>
        </w:tc>
        <w:tc>
          <w:tcPr>
            <w:tcW w:w="1440" w:type="dxa"/>
          </w:tcPr>
          <w:p w14:paraId="69F796BD" w14:textId="77777777" w:rsidR="004378F1" w:rsidRDefault="00000000">
            <w:pPr>
              <w:spacing w:before="20" w:after="20"/>
            </w:pPr>
            <w:r>
              <w:rPr>
                <w:sz w:val="19"/>
              </w:rPr>
              <w:t>2026-06-22</w:t>
            </w:r>
          </w:p>
        </w:tc>
        <w:tc>
          <w:tcPr>
            <w:tcW w:w="2304" w:type="dxa"/>
          </w:tcPr>
          <w:p w14:paraId="5A5EC8FE" w14:textId="77777777" w:rsidR="004378F1" w:rsidRDefault="00000000">
            <w:pPr>
              <w:spacing w:before="20" w:after="20"/>
              <w:rPr>
                <w:lang w:eastAsia="zh-CN"/>
              </w:rPr>
            </w:pPr>
            <w:r>
              <w:rPr>
                <w:sz w:val="18"/>
                <w:lang w:eastAsia="zh-CN"/>
              </w:rPr>
              <w:t>棕榈油专题 / 天气+价格</w:t>
            </w:r>
            <w:r>
              <w:rPr>
                <w:sz w:val="18"/>
                <w:lang w:eastAsia="zh-CN"/>
              </w:rPr>
              <w:br/>
              <w:t>（微信群分发 PDF，无公开链接）</w:t>
            </w:r>
          </w:p>
        </w:tc>
      </w:tr>
      <w:tr w:rsidR="004378F1" w14:paraId="08D984A3" w14:textId="77777777">
        <w:trPr>
          <w:jc w:val="center"/>
        </w:trPr>
        <w:tc>
          <w:tcPr>
            <w:tcW w:w="576" w:type="dxa"/>
          </w:tcPr>
          <w:p w14:paraId="357B44E0" w14:textId="77777777" w:rsidR="004378F1" w:rsidRDefault="00000000">
            <w:pPr>
              <w:spacing w:before="20" w:after="20"/>
            </w:pPr>
            <w:r>
              <w:rPr>
                <w:b/>
                <w:sz w:val="19"/>
              </w:rPr>
              <w:t>③</w:t>
            </w:r>
          </w:p>
        </w:tc>
        <w:tc>
          <w:tcPr>
            <w:tcW w:w="5760" w:type="dxa"/>
          </w:tcPr>
          <w:p w14:paraId="550E12A0" w14:textId="77777777" w:rsidR="004378F1" w:rsidRDefault="00000000">
            <w:pPr>
              <w:spacing w:before="20" w:after="20"/>
              <w:rPr>
                <w:lang w:eastAsia="zh-CN"/>
              </w:rPr>
            </w:pPr>
            <w:r>
              <w:rPr>
                <w:sz w:val="19"/>
                <w:lang w:eastAsia="zh-CN"/>
              </w:rPr>
              <w:t>2026 年半年度策略报告（油脂）：分歧与共识，油脂势在何方？</w:t>
            </w:r>
          </w:p>
        </w:tc>
        <w:tc>
          <w:tcPr>
            <w:tcW w:w="2448" w:type="dxa"/>
          </w:tcPr>
          <w:p w14:paraId="17ED73D9" w14:textId="77777777" w:rsidR="004378F1" w:rsidRDefault="00000000">
            <w:pPr>
              <w:spacing w:before="20" w:after="20"/>
            </w:pPr>
            <w:proofErr w:type="spellStart"/>
            <w:r>
              <w:rPr>
                <w:sz w:val="19"/>
              </w:rPr>
              <w:t>中信期货（农业组</w:t>
            </w:r>
            <w:proofErr w:type="spellEnd"/>
            <w:r>
              <w:rPr>
                <w:sz w:val="19"/>
              </w:rPr>
              <w:t>）</w:t>
            </w:r>
          </w:p>
        </w:tc>
        <w:tc>
          <w:tcPr>
            <w:tcW w:w="1440" w:type="dxa"/>
          </w:tcPr>
          <w:p w14:paraId="0B81F8A5" w14:textId="77777777" w:rsidR="004378F1" w:rsidRDefault="00000000">
            <w:pPr>
              <w:spacing w:before="20" w:after="20"/>
            </w:pPr>
            <w:r>
              <w:rPr>
                <w:sz w:val="19"/>
              </w:rPr>
              <w:t>2026-06-17</w:t>
            </w:r>
          </w:p>
        </w:tc>
        <w:tc>
          <w:tcPr>
            <w:tcW w:w="2304" w:type="dxa"/>
          </w:tcPr>
          <w:p w14:paraId="142C76E2" w14:textId="77777777" w:rsidR="004378F1" w:rsidRDefault="00000000">
            <w:pPr>
              <w:spacing w:before="20" w:after="20"/>
              <w:rPr>
                <w:lang w:eastAsia="zh-CN"/>
              </w:rPr>
            </w:pPr>
            <w:r>
              <w:rPr>
                <w:sz w:val="18"/>
                <w:lang w:eastAsia="zh-CN"/>
              </w:rPr>
              <w:t>油脂半年策略 / 厄尔尼诺与价格</w:t>
            </w:r>
            <w:r>
              <w:rPr>
                <w:sz w:val="18"/>
                <w:lang w:eastAsia="zh-CN"/>
              </w:rPr>
              <w:br/>
              <w:t>（微信群分发 PDF，无公开链接）</w:t>
            </w:r>
          </w:p>
        </w:tc>
      </w:tr>
      <w:tr w:rsidR="004378F1" w14:paraId="23A882FE" w14:textId="77777777">
        <w:trPr>
          <w:jc w:val="center"/>
        </w:trPr>
        <w:tc>
          <w:tcPr>
            <w:tcW w:w="576" w:type="dxa"/>
          </w:tcPr>
          <w:p w14:paraId="1BC20E19" w14:textId="77777777" w:rsidR="004378F1" w:rsidRDefault="00000000">
            <w:pPr>
              <w:spacing w:before="20" w:after="20"/>
            </w:pPr>
            <w:r>
              <w:rPr>
                <w:b/>
                <w:sz w:val="19"/>
              </w:rPr>
              <w:t>④</w:t>
            </w:r>
          </w:p>
        </w:tc>
        <w:tc>
          <w:tcPr>
            <w:tcW w:w="5760" w:type="dxa"/>
          </w:tcPr>
          <w:p w14:paraId="7EA3A75A" w14:textId="77777777" w:rsidR="004378F1" w:rsidRDefault="00000000">
            <w:pPr>
              <w:spacing w:before="20" w:after="20"/>
              <w:rPr>
                <w:lang w:eastAsia="zh-CN"/>
              </w:rPr>
            </w:pPr>
            <w:r>
              <w:rPr>
                <w:sz w:val="19"/>
                <w:lang w:eastAsia="zh-CN"/>
              </w:rPr>
              <w:t>农业策略日报：天气顾虑需求乐观，棕榈油走势偏强</w:t>
            </w:r>
          </w:p>
        </w:tc>
        <w:tc>
          <w:tcPr>
            <w:tcW w:w="2448" w:type="dxa"/>
          </w:tcPr>
          <w:p w14:paraId="67581277" w14:textId="77777777" w:rsidR="004378F1" w:rsidRDefault="00000000">
            <w:pPr>
              <w:spacing w:before="20" w:after="20"/>
            </w:pPr>
            <w:proofErr w:type="spellStart"/>
            <w:r>
              <w:rPr>
                <w:sz w:val="19"/>
              </w:rPr>
              <w:t>中信期货（农业组</w:t>
            </w:r>
            <w:proofErr w:type="spellEnd"/>
            <w:r>
              <w:rPr>
                <w:sz w:val="19"/>
              </w:rPr>
              <w:t>）</w:t>
            </w:r>
          </w:p>
        </w:tc>
        <w:tc>
          <w:tcPr>
            <w:tcW w:w="1440" w:type="dxa"/>
          </w:tcPr>
          <w:p w14:paraId="38C9594A" w14:textId="77777777" w:rsidR="004378F1" w:rsidRDefault="00000000">
            <w:pPr>
              <w:spacing w:before="20" w:after="20"/>
            </w:pPr>
            <w:r>
              <w:rPr>
                <w:sz w:val="19"/>
              </w:rPr>
              <w:t>2026-04-22</w:t>
            </w:r>
          </w:p>
        </w:tc>
        <w:tc>
          <w:tcPr>
            <w:tcW w:w="2304" w:type="dxa"/>
          </w:tcPr>
          <w:p w14:paraId="1F73419A" w14:textId="77777777" w:rsidR="004378F1" w:rsidRDefault="00000000">
            <w:pPr>
              <w:spacing w:before="20" w:after="20"/>
              <w:rPr>
                <w:lang w:eastAsia="zh-CN"/>
              </w:rPr>
            </w:pPr>
            <w:r>
              <w:rPr>
                <w:sz w:val="18"/>
                <w:lang w:eastAsia="zh-CN"/>
              </w:rPr>
              <w:t>策略日报 / 厄尔尼诺主题起点</w:t>
            </w:r>
            <w:r>
              <w:rPr>
                <w:sz w:val="18"/>
                <w:lang w:eastAsia="zh-CN"/>
              </w:rPr>
              <w:br/>
              <w:t>（微信群分发 PDF，无公开链接）</w:t>
            </w:r>
          </w:p>
        </w:tc>
      </w:tr>
    </w:tbl>
    <w:p w14:paraId="12B62025" w14:textId="77777777" w:rsidR="004378F1" w:rsidRDefault="00000000">
      <w:pPr>
        <w:spacing w:after="160"/>
        <w:rPr>
          <w:lang w:eastAsia="zh-CN"/>
        </w:rPr>
      </w:pPr>
      <w:r>
        <w:rPr>
          <w:color w:val="808080"/>
          <w:sz w:val="18"/>
          <w:lang w:eastAsia="zh-CN"/>
        </w:rPr>
        <w:t>覆盖度自检：棕榈油专题 ≥1（①②均为专题）；天气/厄尔尼诺与农产品价格 ≥2（①②③④四份均涉及）。注：交付标准建议清单 5 份，本次依据现有 4 份材料整理，可补充 1 份天气/价格类研报达 5 份口径。</w:t>
      </w:r>
    </w:p>
    <w:p w14:paraId="6FFBE50F" w14:textId="77777777" w:rsidR="004378F1" w:rsidRDefault="00000000">
      <w:pPr>
        <w:spacing w:before="160" w:after="80"/>
        <w:rPr>
          <w:lang w:eastAsia="zh-CN"/>
        </w:rPr>
      </w:pPr>
      <w:r>
        <w:rPr>
          <w:rFonts w:ascii="微软雅黑" w:eastAsia="微软雅黑" w:hAnsi="微软雅黑"/>
          <w:b/>
          <w:color w:val="1F4E79"/>
          <w:sz w:val="26"/>
          <w:lang w:eastAsia="zh-CN"/>
        </w:rPr>
        <w:t>二、逐份萃取（结论 / 数据指标 / 方法 / 可借鉴点）</w:t>
      </w:r>
    </w:p>
    <w:p w14:paraId="2D8F6471" w14:textId="77777777" w:rsidR="004378F1" w:rsidRDefault="00000000">
      <w:pPr>
        <w:spacing w:before="160" w:after="80"/>
        <w:rPr>
          <w:lang w:eastAsia="zh-CN"/>
        </w:rPr>
      </w:pPr>
      <w:r>
        <w:rPr>
          <w:rFonts w:ascii="微软雅黑" w:eastAsia="微软雅黑" w:hAnsi="微软雅黑"/>
          <w:b/>
          <w:color w:val="2E74B5"/>
          <w:sz w:val="22"/>
          <w:lang w:eastAsia="zh-CN"/>
        </w:rPr>
        <w:t>① 上海东证期货（东证衍生品研究院）《棕榈油周度报告：NOAA 周度报告与棕榈油产地降雨跟踪——赤道太平洋海域热量储备已超 2015 年》（2026-06-10）</w:t>
      </w:r>
    </w:p>
    <w:p w14:paraId="710CFD6B" w14:textId="77777777" w:rsidR="004378F1" w:rsidRDefault="00000000">
      <w:pPr>
        <w:spacing w:after="100"/>
        <w:rPr>
          <w:lang w:eastAsia="zh-CN"/>
        </w:rPr>
      </w:pPr>
      <w:r>
        <w:rPr>
          <w:rFonts w:ascii="微软雅黑" w:eastAsia="微软雅黑" w:hAnsi="微软雅黑"/>
          <w:b/>
          <w:color w:val="1F4E79"/>
          <w:lang w:eastAsia="zh-CN"/>
        </w:rPr>
        <w:t>【结论】</w:t>
      </w:r>
      <w:r>
        <w:rPr>
          <w:lang w:eastAsia="zh-CN"/>
        </w:rPr>
        <w:t>走势评级给出“震荡”。官方状态为 El Niño Watch（厄尔尼诺监测预警），处于 ENSO 中性向厄尔尼诺的转型期；NOAA 5 月将 5–7 月厄尔尼诺被确认概率上调至 80% 以上，年底强/超强厄尔尼诺概率约 67%。核心判断：赤道太平洋上层海洋热量储备已超过 2015 年超强厄尔尼诺峰值，能量基础充足，西风异常全面爆发或在二季度末至三季度引发新一轮下沉开尔文波，带动厄尔尼诺加速发展；6 月初产地已现少雨端倪。</w:t>
      </w:r>
    </w:p>
    <w:p w14:paraId="1A62DED2" w14:textId="77777777" w:rsidR="004378F1" w:rsidRDefault="00000000">
      <w:pPr>
        <w:spacing w:after="100"/>
        <w:rPr>
          <w:lang w:eastAsia="zh-CN"/>
        </w:rPr>
      </w:pPr>
      <w:r>
        <w:rPr>
          <w:rFonts w:ascii="微软雅黑" w:eastAsia="微软雅黑" w:hAnsi="微软雅黑"/>
          <w:b/>
          <w:color w:val="1F4E79"/>
        </w:rPr>
        <w:t>【</w:t>
      </w:r>
      <w:proofErr w:type="spellStart"/>
      <w:r>
        <w:rPr>
          <w:rFonts w:ascii="微软雅黑" w:eastAsia="微软雅黑" w:hAnsi="微软雅黑"/>
          <w:b/>
          <w:color w:val="1F4E79"/>
        </w:rPr>
        <w:t>数据指标】</w:t>
      </w:r>
      <w:r>
        <w:t>截至</w:t>
      </w:r>
      <w:proofErr w:type="spellEnd"/>
      <w:r>
        <w:t xml:space="preserve"> 6 月 3 日当周 Nino1+2/3/3.4/4 海区周度 SSTA（Sea Surface Temperature Anomalies，海表温度距平）为 2.6/1.5/1.3/1.1℃，相对 SSTA（RONI 口径）为 2.1/1/0.7/0.7℃；温跃层斜率降至约 -30 米（2015/16 强厄尔尼诺约 -60 米）；0–</w:t>
      </w:r>
      <w:r>
        <w:lastRenderedPageBreak/>
        <w:t>300m 上层海洋热量异常接近 +2℃；2026 年 3–5 月 RONI=-0.1℃。</w:t>
      </w:r>
      <w:r>
        <w:rPr>
          <w:lang w:eastAsia="zh-CN"/>
        </w:rPr>
        <w:t>产地降雨：加里曼丹中/西/东三省 6 月日均 &lt;5mm，南苏门答腊 &lt;2mm，多数主产区处历史同期偏低。</w:t>
      </w:r>
    </w:p>
    <w:p w14:paraId="5E0AD5CF" w14:textId="77777777" w:rsidR="004378F1" w:rsidRDefault="00000000">
      <w:pPr>
        <w:spacing w:after="100"/>
      </w:pPr>
      <w:r>
        <w:rPr>
          <w:rFonts w:ascii="微软雅黑" w:eastAsia="微软雅黑" w:hAnsi="微软雅黑"/>
          <w:b/>
          <w:color w:val="1F4E79"/>
        </w:rPr>
        <w:t>【</w:t>
      </w:r>
      <w:proofErr w:type="spellStart"/>
      <w:r>
        <w:rPr>
          <w:rFonts w:ascii="微软雅黑" w:eastAsia="微软雅黑" w:hAnsi="微软雅黑"/>
          <w:b/>
          <w:color w:val="1F4E79"/>
        </w:rPr>
        <w:t>方法】</w:t>
      </w:r>
      <w:r>
        <w:t>构建多指标气象监测框架：相对海表温度距平（Relative</w:t>
      </w:r>
      <w:proofErr w:type="spellEnd"/>
      <w:r>
        <w:t xml:space="preserve"> SSTA / </w:t>
      </w:r>
      <w:proofErr w:type="spellStart"/>
      <w:r>
        <w:t>RONI，相对海洋尼诺指数</w:t>
      </w:r>
      <w:proofErr w:type="spellEnd"/>
      <w:r>
        <w:t xml:space="preserve">）、温跃层斜率、上层海洋热含量、850hPa </w:t>
      </w:r>
      <w:proofErr w:type="spellStart"/>
      <w:r>
        <w:t>低层纬向风异常、MJO（Madden-Julian</w:t>
      </w:r>
      <w:proofErr w:type="spellEnd"/>
      <w:r>
        <w:t xml:space="preserve"> </w:t>
      </w:r>
      <w:proofErr w:type="spellStart"/>
      <w:r>
        <w:t>Oscillation，热带季内对流东传扰动）相位、OLR（Outgoing</w:t>
      </w:r>
      <w:proofErr w:type="spellEnd"/>
      <w:r>
        <w:t xml:space="preserve"> Longwave Radiation，向外长波辐射，反映对流强弱）与开尔文波追踪；给出西风爆发判据（≥+2m/s、单次≥10 天、3–6 月累计≥30 天）；产地按州做日均降雨跟踪（数据源 REFINITIV）。</w:t>
      </w:r>
    </w:p>
    <w:p w14:paraId="60B956E4" w14:textId="77777777" w:rsidR="004378F1" w:rsidRDefault="00000000">
      <w:pPr>
        <w:spacing w:after="100"/>
        <w:rPr>
          <w:lang w:eastAsia="zh-CN"/>
        </w:rPr>
      </w:pPr>
      <w:r>
        <w:rPr>
          <w:rFonts w:ascii="微软雅黑" w:eastAsia="微软雅黑" w:hAnsi="微软雅黑"/>
          <w:b/>
          <w:color w:val="1F4E79"/>
          <w:lang w:eastAsia="zh-CN"/>
        </w:rPr>
        <w:t>【可借鉴点】</w:t>
      </w:r>
      <w:r>
        <w:rPr>
          <w:lang w:eastAsia="zh-CN"/>
        </w:rPr>
        <w:t>提供了一套可直接映射到本项目特征工程的领先指标清单——把 RONI、温跃层斜率、上层热含量、西风异常、MJO 相位作为厄尔尼诺强度的先行信号，并明确“上层海洋热量领先海表温度”，正是 notebook 中 ONI 滞后特征的物理依据；分州日均降雨可细化 PRCP（降水）特征口径，并作为减产滞后验证的锚点。</w:t>
      </w:r>
    </w:p>
    <w:p w14:paraId="414749DC" w14:textId="77777777" w:rsidR="004378F1" w:rsidRDefault="00000000">
      <w:pPr>
        <w:spacing w:before="160" w:after="80"/>
        <w:rPr>
          <w:lang w:eastAsia="zh-CN"/>
        </w:rPr>
      </w:pPr>
      <w:r>
        <w:rPr>
          <w:rFonts w:ascii="微软雅黑" w:eastAsia="微软雅黑" w:hAnsi="微软雅黑"/>
          <w:b/>
          <w:color w:val="2E74B5"/>
          <w:sz w:val="22"/>
          <w:lang w:eastAsia="zh-CN"/>
        </w:rPr>
        <w:t>② 五矿期货（农产品研究 · 杨泽元）《棕榈油：未来可能有较大幅度的上涨行情（专题报告）》（2026-06-22）</w:t>
      </w:r>
    </w:p>
    <w:p w14:paraId="66E95F60" w14:textId="77777777" w:rsidR="004378F1" w:rsidRDefault="00000000">
      <w:pPr>
        <w:spacing w:after="100"/>
        <w:rPr>
          <w:lang w:eastAsia="zh-CN"/>
        </w:rPr>
      </w:pPr>
      <w:r>
        <w:rPr>
          <w:rFonts w:ascii="微软雅黑" w:eastAsia="微软雅黑" w:hAnsi="微软雅黑"/>
          <w:b/>
          <w:color w:val="1F4E79"/>
          <w:lang w:eastAsia="zh-CN"/>
        </w:rPr>
        <w:t>【结论】</w:t>
      </w:r>
      <w:r>
        <w:rPr>
          <w:lang w:eastAsia="zh-CN"/>
        </w:rPr>
        <w:t>明确看多：假设国际原油不出现大幅下跌，在厄尔尼诺、印尼 B50 生柴政策、印尼政府出口管控三重因素推动下，棕榈油价格可能有较大幅度上涨；交易上推荐逢低买入 01、05 合约及 1–5 月差正套。并援引 NOAA 观点，本次厄尔尼诺可能成为自 1950 年有记录以来最严重的一次，是四份报告中对天气与价格最乐观、立场最鲜明的一份。</w:t>
      </w:r>
    </w:p>
    <w:p w14:paraId="21FCD9A4" w14:textId="77777777" w:rsidR="004378F1" w:rsidRDefault="00000000">
      <w:pPr>
        <w:spacing w:after="100"/>
        <w:rPr>
          <w:lang w:eastAsia="zh-CN"/>
        </w:rPr>
      </w:pPr>
      <w:r>
        <w:rPr>
          <w:rFonts w:ascii="微软雅黑" w:eastAsia="微软雅黑" w:hAnsi="微软雅黑"/>
          <w:b/>
          <w:color w:val="1F4E79"/>
          <w:lang w:eastAsia="zh-CN"/>
        </w:rPr>
        <w:t>【数据指标】</w:t>
      </w:r>
      <w:r>
        <w:rPr>
          <w:lang w:eastAsia="zh-CN"/>
        </w:rPr>
        <w:t>厄尔尼诺概率：5–7 月 97%、6–9 月 99%、8 月至明年 1 月 100%；11 月–明年 1 月超强厄尔尼诺概率升至 63%。截至 6/10 当周 Nino3.4 相对海温 +0.9℃（环比 +0.7，较 2015 同期 +0.6）。截至 6/15 累计降雨距平：印尼 975mm(-33.96%)、马来 711mm(-32.25%)、印度 78mm(-53.54%)、泰国 184mm(-51.36%)。USDA：25/26 全球棕榈油产量 8127 万吨（印尼 4670+马来 2020，合占 82.31%），期末库存仅 1544 万吨（库消比 18.99%）；GAPKI 3 月底印尼库存 256.8 万吨、MPOB 5 月底马来 243 万吨；B50 较 B40 年增需求约 200 万吨。</w:t>
      </w:r>
    </w:p>
    <w:p w14:paraId="7C363467" w14:textId="77777777" w:rsidR="004378F1" w:rsidRDefault="00000000">
      <w:pPr>
        <w:spacing w:after="100"/>
        <w:rPr>
          <w:lang w:eastAsia="zh-CN"/>
        </w:rPr>
      </w:pPr>
      <w:r>
        <w:rPr>
          <w:rFonts w:ascii="微软雅黑" w:eastAsia="微软雅黑" w:hAnsi="微软雅黑"/>
          <w:b/>
          <w:color w:val="1F4E79"/>
          <w:lang w:eastAsia="zh-CN"/>
        </w:rPr>
        <w:t>【方法】</w:t>
      </w:r>
      <w:r>
        <w:rPr>
          <w:lang w:eastAsia="zh-CN"/>
        </w:rPr>
        <w:t>自上而下的“供需+政策”驱动逻辑：以 NOAA 概率/强度预测定天气方向，用 Bloomberg 各国累计降雨距平印证干旱，引 USDA 产量/库存与 GAPKI、MPOB 月度库存量化供给偏紧，再叠加 B50 生柴政策（年增约 200 万吨消费）与印尼 DSI 独家出口管控（9/1 正式落地）推演需求增量与可流通货源收缩，最后落到具体合约与套利方向。</w:t>
      </w:r>
    </w:p>
    <w:p w14:paraId="46854CBA" w14:textId="77777777" w:rsidR="004378F1" w:rsidRDefault="00000000">
      <w:pPr>
        <w:spacing w:after="100"/>
        <w:rPr>
          <w:lang w:eastAsia="zh-CN"/>
        </w:rPr>
      </w:pPr>
      <w:r>
        <w:rPr>
          <w:rFonts w:ascii="微软雅黑" w:eastAsia="微软雅黑" w:hAnsi="微软雅黑"/>
          <w:b/>
          <w:color w:val="1F4E79"/>
          <w:lang w:eastAsia="zh-CN"/>
        </w:rPr>
        <w:t>【可借鉴点】</w:t>
      </w:r>
      <w:r>
        <w:rPr>
          <w:lang w:eastAsia="zh-CN"/>
        </w:rPr>
        <w:t>把“厄尔尼诺→东南亚降雨距平→棕榈油减产→低库存放大缺口→价格上行”的完整传导链做了量化拆解，恰好对应README 待补的 R1 传导链图；其多国降雨减幅百分比、库消比、政策需求增量可作为本项目价格预测模型的外生冲击变量与情景假设输入；并提供了可执行的合约与套利方向，便于将模型信号转化为交易校验。</w:t>
      </w:r>
    </w:p>
    <w:p w14:paraId="0E8B1349" w14:textId="1F01006C" w:rsidR="00A268CE" w:rsidRDefault="00A268CE">
      <w:pPr>
        <w:spacing w:after="100"/>
        <w:rPr>
          <w:lang w:eastAsia="zh-CN"/>
        </w:rPr>
      </w:pPr>
      <w:r w:rsidRPr="00A268CE">
        <w:rPr>
          <w:rFonts w:hint="eastAsia"/>
          <w:highlight w:val="yellow"/>
          <w:lang w:eastAsia="zh-CN"/>
        </w:rPr>
        <w:t>没有说明市场预期与现实之间的关系</w:t>
      </w:r>
    </w:p>
    <w:p w14:paraId="530C7103" w14:textId="77777777" w:rsidR="00A268CE" w:rsidRPr="00A268CE" w:rsidRDefault="00A268CE">
      <w:pPr>
        <w:spacing w:after="100"/>
        <w:rPr>
          <w:rFonts w:hint="eastAsia"/>
          <w:lang w:eastAsia="zh-CN"/>
        </w:rPr>
      </w:pPr>
    </w:p>
    <w:p w14:paraId="02DD5869" w14:textId="77777777" w:rsidR="004378F1" w:rsidRDefault="00000000">
      <w:pPr>
        <w:spacing w:before="160" w:after="80"/>
        <w:rPr>
          <w:lang w:eastAsia="zh-CN"/>
        </w:rPr>
      </w:pPr>
      <w:r>
        <w:rPr>
          <w:rFonts w:ascii="微软雅黑" w:eastAsia="微软雅黑" w:hAnsi="微软雅黑"/>
          <w:b/>
          <w:color w:val="2E74B5"/>
          <w:sz w:val="22"/>
          <w:lang w:eastAsia="zh-CN"/>
        </w:rPr>
        <w:lastRenderedPageBreak/>
        <w:t>③ 中信期货（农业组）《2026 年半年度策略报告（油脂）：分歧与共识，油脂势在何方？》（2026-06-17）</w:t>
      </w:r>
    </w:p>
    <w:p w14:paraId="009569A6" w14:textId="77777777" w:rsidR="004378F1" w:rsidRDefault="00000000">
      <w:pPr>
        <w:spacing w:after="100"/>
        <w:rPr>
          <w:lang w:eastAsia="zh-CN"/>
        </w:rPr>
      </w:pPr>
      <w:r>
        <w:rPr>
          <w:rFonts w:ascii="微软雅黑" w:eastAsia="微软雅黑" w:hAnsi="微软雅黑"/>
          <w:b/>
          <w:color w:val="1F4E79"/>
          <w:lang w:eastAsia="zh-CN"/>
        </w:rPr>
        <w:t>【结论】</w:t>
      </w:r>
      <w:r>
        <w:rPr>
          <w:lang w:eastAsia="zh-CN"/>
        </w:rPr>
        <w:t>上半年油脂在“现实宽松 vs 预期收紧”博弈下高位宽幅震荡；下半年围绕宏观货币、原油能源、印尼 B50 执行、厄尔尼诺天气四条主线运行。策略：单边逢低布局棕榈油、菜油多单，豆油区间偏弱对待；套利重点把握豆棕、菜豆价差区间机会。强弱格局判断为棕榈油 &gt; 菜油 &gt; 豆油 且长期固化，是四份中体系最完整、最强调多空分歧与风险的一份。</w:t>
      </w:r>
    </w:p>
    <w:p w14:paraId="7F02ACF1" w14:textId="77777777" w:rsidR="004378F1" w:rsidRDefault="00000000">
      <w:pPr>
        <w:spacing w:after="100"/>
        <w:rPr>
          <w:lang w:eastAsia="zh-CN"/>
        </w:rPr>
      </w:pPr>
      <w:r>
        <w:rPr>
          <w:rFonts w:ascii="微软雅黑" w:eastAsia="微软雅黑" w:hAnsi="微软雅黑"/>
          <w:b/>
          <w:color w:val="1F4E79"/>
          <w:lang w:eastAsia="zh-CN"/>
        </w:rPr>
        <w:t>【数据指标】</w:t>
      </w:r>
      <w:r>
        <w:rPr>
          <w:lang w:eastAsia="zh-CN"/>
        </w:rPr>
        <w:t>B50 全年刚性消耗约 1500 万吨棕榈油（占印尼产量 30–31%），较 B40 的 1300 万吨年增约 200 万吨（上半年 B40耗 650 万吨、下半年 B50 耗 850 万吨）。原油-政策阈值：布伦特 &gt;75 美元/桶执行风险低、65–75 低风险、&lt;65 中等风险。降雨—单产滞后 6–9 个月。策略价位：P2701 支撑 9400–9600、目标 9900–10200/上探 10200–10500 元/吨；豆油 8100–8300 支撑；菜油 9500–9600 支撑。价差区间：豆棕 -1400~-700、菜豆 -1800~-1100 元/吨。</w:t>
      </w:r>
    </w:p>
    <w:p w14:paraId="24B18DC3" w14:textId="77777777" w:rsidR="004378F1" w:rsidRDefault="00000000">
      <w:pPr>
        <w:spacing w:after="100"/>
        <w:rPr>
          <w:lang w:eastAsia="zh-CN"/>
        </w:rPr>
      </w:pPr>
      <w:r>
        <w:rPr>
          <w:rFonts w:ascii="微软雅黑" w:eastAsia="微软雅黑" w:hAnsi="微软雅黑"/>
          <w:b/>
          <w:color w:val="1F4E79"/>
          <w:lang w:eastAsia="zh-CN"/>
        </w:rPr>
        <w:t>【方法】</w:t>
      </w:r>
      <w:r>
        <w:rPr>
          <w:lang w:eastAsia="zh-CN"/>
        </w:rPr>
        <w:t>采用“分歧—共识”框架梳理多空逻辑，配合原油—生物柴油—油脂价格传导机制；用 POGO/BOGO 价差（棕榈油、豆油与柴油价差，衡量生柴生产经济性）、美国 RIN-D4 碳积分价格判断生柴盈利；按棕榈树物候（花序分化/开花坐果/果实发育）解释减产滞后；用土壤墒情、干旱监测、NDVI（Normalized Difference Vegetation Index，归一化植被指数）评估全球各产区天气。</w:t>
      </w:r>
    </w:p>
    <w:p w14:paraId="4A982E02" w14:textId="77777777" w:rsidR="004378F1" w:rsidRDefault="00000000">
      <w:pPr>
        <w:spacing w:after="100"/>
        <w:rPr>
          <w:lang w:eastAsia="zh-CN"/>
        </w:rPr>
      </w:pPr>
      <w:r>
        <w:rPr>
          <w:rFonts w:ascii="微软雅黑" w:eastAsia="微软雅黑" w:hAnsi="微软雅黑"/>
          <w:b/>
          <w:color w:val="1F4E79"/>
          <w:lang w:eastAsia="zh-CN"/>
        </w:rPr>
        <w:t>【可借鉴点】</w:t>
      </w:r>
      <w:r>
        <w:rPr>
          <w:lang w:eastAsia="zh-CN"/>
        </w:rPr>
        <w:t xml:space="preserve">提供厄尔尼诺影响油脂的“结构性分化”全球视角（东南亚棕榈减产 vs 北美大豆影响有限 vs 加澳菜籽减产），尤其量化了“降雨—棕榈单产 6–9 个月滞后”机制——正是本项目 </w:t>
      </w:r>
      <w:proofErr w:type="spellStart"/>
      <w:r>
        <w:rPr>
          <w:lang w:eastAsia="zh-CN"/>
        </w:rPr>
        <w:t>ONI_lag</w:t>
      </w:r>
      <w:proofErr w:type="spellEnd"/>
      <w:r>
        <w:rPr>
          <w:lang w:eastAsia="zh-CN"/>
        </w:rPr>
        <w:t>_{1,3,6,9,12} 滞后特征选择的产业依据；其价差区间与关键价位可作为模型输出结果的合理性校验区间，并提示需以“分歧/风险”制衡单边乐观判断。</w:t>
      </w:r>
    </w:p>
    <w:p w14:paraId="1D78BA60" w14:textId="1B76C2F2" w:rsidR="00A268CE" w:rsidRDefault="00A268CE">
      <w:pPr>
        <w:spacing w:after="100"/>
        <w:rPr>
          <w:lang w:eastAsia="zh-CN"/>
        </w:rPr>
      </w:pPr>
      <w:r w:rsidRPr="00A268CE">
        <w:rPr>
          <w:rFonts w:hint="eastAsia"/>
          <w:highlight w:val="yellow"/>
          <w:lang w:eastAsia="zh-CN"/>
        </w:rPr>
        <w:t>合适是否为6-9个月产生影响</w:t>
      </w:r>
    </w:p>
    <w:p w14:paraId="3D0D6F3B" w14:textId="55C93841" w:rsidR="00A268CE" w:rsidRDefault="00A268CE">
      <w:pPr>
        <w:spacing w:after="100"/>
        <w:rPr>
          <w:rFonts w:hint="eastAsia"/>
          <w:lang w:eastAsia="zh-CN"/>
        </w:rPr>
      </w:pPr>
      <w:r>
        <w:rPr>
          <w:rFonts w:hint="eastAsia"/>
          <w:highlight w:val="yellow"/>
          <w:lang w:eastAsia="zh-CN"/>
        </w:rPr>
        <w:t>复查温度对于产价的影响</w:t>
      </w:r>
    </w:p>
    <w:p w14:paraId="4B29D718" w14:textId="77777777" w:rsidR="004378F1" w:rsidRDefault="00000000">
      <w:pPr>
        <w:spacing w:before="160" w:after="80"/>
        <w:rPr>
          <w:lang w:eastAsia="zh-CN"/>
        </w:rPr>
      </w:pPr>
      <w:r>
        <w:rPr>
          <w:rFonts w:ascii="微软雅黑" w:eastAsia="微软雅黑" w:hAnsi="微软雅黑"/>
          <w:b/>
          <w:color w:val="2E74B5"/>
          <w:sz w:val="22"/>
          <w:lang w:eastAsia="zh-CN"/>
        </w:rPr>
        <w:t>④ 中信期货（农业组）《农业策略日报：天气顾虑需求乐观，棕榈油走势偏强》（2026-04-22）</w:t>
      </w:r>
    </w:p>
    <w:p w14:paraId="1F2DA1CA" w14:textId="77777777" w:rsidR="004378F1" w:rsidRDefault="00000000">
      <w:pPr>
        <w:spacing w:after="100"/>
        <w:rPr>
          <w:lang w:eastAsia="zh-CN"/>
        </w:rPr>
      </w:pPr>
      <w:r>
        <w:rPr>
          <w:rFonts w:ascii="微软雅黑" w:eastAsia="微软雅黑" w:hAnsi="微软雅黑"/>
          <w:b/>
          <w:color w:val="1F4E79"/>
          <w:lang w:eastAsia="zh-CN"/>
        </w:rPr>
        <w:t>【结论】</w:t>
      </w:r>
      <w:r>
        <w:rPr>
          <w:lang w:eastAsia="zh-CN"/>
        </w:rPr>
        <w:t>厄尔尼诺天气关注度提升叠加印尼下半年强制执行 B50 生柴掺混的文件，棕榈油领涨油脂、走势偏强。援引国家气候中心：预计 5 月进入厄尔尼诺状态、夏秋季形成中等及以上强度事件、至少持续至年底，但强调影响存在滞后、现在断言尚早而风险显著上升。展望豆油/棕油/菜油均“震荡偏强”，建议逢低买入，是四份中时间最早、定性为主的“主题起点”切片。</w:t>
      </w:r>
    </w:p>
    <w:p w14:paraId="34A495B4" w14:textId="77777777" w:rsidR="004378F1" w:rsidRDefault="00000000">
      <w:pPr>
        <w:spacing w:after="100"/>
        <w:rPr>
          <w:lang w:eastAsia="zh-CN"/>
        </w:rPr>
      </w:pPr>
      <w:r>
        <w:rPr>
          <w:rFonts w:ascii="微软雅黑" w:eastAsia="微软雅黑" w:hAnsi="微软雅黑"/>
          <w:b/>
          <w:color w:val="1F4E79"/>
          <w:lang w:eastAsia="zh-CN"/>
        </w:rPr>
        <w:t>【数据指标】</w:t>
      </w:r>
      <w:r>
        <w:rPr>
          <w:lang w:eastAsia="zh-CN"/>
        </w:rPr>
        <w:t>以定性判断与高频现货为主：国家气候中心给出 5 月进入厄尔尼诺、夏秋季中等及以上强度、持续至年底的时间与强度口径；天然橡胶等其他农产品同样以“强厄尔尼诺预期支撑盘面”定调；油脂板块统一展望为“震荡偏强”。列示风险因素：原油、地缘、天气异常、贸易关系、生物柴油政策、宏观等对油脂市场的波动风险。</w:t>
      </w:r>
    </w:p>
    <w:p w14:paraId="290FF3A2" w14:textId="77777777" w:rsidR="004378F1" w:rsidRDefault="00000000">
      <w:pPr>
        <w:spacing w:after="100"/>
        <w:rPr>
          <w:lang w:eastAsia="zh-CN"/>
        </w:rPr>
      </w:pPr>
      <w:r>
        <w:rPr>
          <w:rFonts w:ascii="微软雅黑" w:eastAsia="微软雅黑" w:hAnsi="微软雅黑"/>
          <w:b/>
          <w:color w:val="1F4E79"/>
          <w:lang w:eastAsia="zh-CN"/>
        </w:rPr>
        <w:lastRenderedPageBreak/>
        <w:t>【方法】</w:t>
      </w:r>
      <w:r>
        <w:rPr>
          <w:lang w:eastAsia="zh-CN"/>
        </w:rPr>
        <w:t>采用多品种横向扫描的策略日报体例，对每个品种给出“信息/逻辑/展望/风险”四段式；判断方向上以宏观（原油、中东地缘）+ 政策（印尼 B50）+ 天气（厄尔尼诺）三因子驱动，配合现货报价、基差、持仓与仓单等高频数据做跟踪，强调风险因素清单以约束方向性结论。</w:t>
      </w:r>
    </w:p>
    <w:p w14:paraId="64024E23" w14:textId="77777777" w:rsidR="004378F1" w:rsidRDefault="00000000">
      <w:pPr>
        <w:spacing w:after="100"/>
        <w:rPr>
          <w:lang w:eastAsia="zh-CN"/>
        </w:rPr>
      </w:pPr>
      <w:r>
        <w:rPr>
          <w:rFonts w:ascii="微软雅黑" w:eastAsia="微软雅黑" w:hAnsi="微软雅黑"/>
          <w:b/>
          <w:color w:val="1F4E79"/>
          <w:lang w:eastAsia="zh-CN"/>
        </w:rPr>
        <w:t>【可借鉴点】</w:t>
      </w:r>
      <w:r>
        <w:rPr>
          <w:lang w:eastAsia="zh-CN"/>
        </w:rPr>
        <w:t>时间上（4 月）早于其余三份，可作为厄尔尼诺交易主题的“起点切片”：与 6 月报告对比，能清晰观察预期如何被逐步计价（从“为时过早”→“风险显著上升”→“或为最强”），是预期演变的天然时间标尺；其“宏观+政策+天气”三因子框架可直接作为本项目模型特征分组（宏观面/政策事件/气象）的简洁模板。</w:t>
      </w:r>
    </w:p>
    <w:p w14:paraId="7F7676C6" w14:textId="77777777" w:rsidR="00A268CE" w:rsidRDefault="00A268CE">
      <w:pPr>
        <w:spacing w:after="100"/>
        <w:rPr>
          <w:rFonts w:hint="eastAsia"/>
          <w:lang w:eastAsia="zh-CN"/>
        </w:rPr>
      </w:pPr>
    </w:p>
    <w:p w14:paraId="477C8F13" w14:textId="11632F83" w:rsidR="004378F1" w:rsidRDefault="00000000">
      <w:pPr>
        <w:spacing w:before="160" w:after="80"/>
        <w:rPr>
          <w:lang w:eastAsia="zh-CN"/>
        </w:rPr>
      </w:pPr>
      <w:r>
        <w:rPr>
          <w:rFonts w:ascii="微软雅黑" w:eastAsia="微软雅黑" w:hAnsi="微软雅黑"/>
          <w:b/>
          <w:color w:val="1F4E79"/>
          <w:sz w:val="26"/>
          <w:lang w:eastAsia="zh-CN"/>
        </w:rPr>
        <w:t>三、四份研报交叉对比</w:t>
      </w:r>
    </w:p>
    <w:p w14:paraId="10899722" w14:textId="77777777" w:rsidR="004378F1" w:rsidRDefault="00000000">
      <w:pPr>
        <w:spacing w:after="100"/>
        <w:rPr>
          <w:lang w:eastAsia="zh-CN"/>
        </w:rPr>
      </w:pPr>
      <w:r>
        <w:rPr>
          <w:rFonts w:ascii="微软雅黑" w:eastAsia="微软雅黑" w:hAnsi="微软雅黑"/>
          <w:b/>
          <w:color w:val="1F4E79"/>
          <w:lang w:eastAsia="zh-CN"/>
        </w:rPr>
        <w:t>· 时间轴与预期演变：</w:t>
      </w:r>
      <w:r>
        <w:rPr>
          <w:lang w:eastAsia="zh-CN"/>
        </w:rPr>
        <w:t>四份报告沿“预期—实证—体系—宣告”递进：4 月中信日报（④）是主题起点，国家气候中心口径仍是“为时过早、风险显著上升”；6/10 东证周度（①）以 NOAA 多指标给出气象实证，确认热量储备超 2015 年；6/17 中信半年报（③）搭出完整策略体系并强调多空分歧；6/22 五矿专题（②）最为激进，直接喊出“或为有记录以来最强”。可见两个月内厄尔尼诺强度判断持续上修、价格预期被逐步计价。</w:t>
      </w:r>
    </w:p>
    <w:p w14:paraId="0977B4EB" w14:textId="77777777" w:rsidR="004378F1" w:rsidRDefault="00000000">
      <w:pPr>
        <w:spacing w:after="100"/>
        <w:rPr>
          <w:lang w:eastAsia="zh-CN"/>
        </w:rPr>
      </w:pPr>
      <w:r>
        <w:rPr>
          <w:rFonts w:ascii="微软雅黑" w:eastAsia="微软雅黑" w:hAnsi="微软雅黑"/>
          <w:b/>
          <w:color w:val="1F4E79"/>
          <w:lang w:eastAsia="zh-CN"/>
        </w:rPr>
        <w:t>· 共识：</w:t>
      </w:r>
      <w:r>
        <w:rPr>
          <w:lang w:eastAsia="zh-CN"/>
        </w:rPr>
        <w:t>四份一致看多/偏强棕榈油，核心驱动高度一致——厄尔尼诺天气减产 + 印尼 B50 生柴需求增量 + 全球棕榈油低库存，且都判断棕榈油强于豆油。中信半年报与五矿专题进一步把驱动量化（B50 年增约 200 万吨、库消比约 19%），印证“生柴政策已取代食用刚需成为油脂第一定价因子”的判断。</w:t>
      </w:r>
    </w:p>
    <w:p w14:paraId="50644C60" w14:textId="77777777" w:rsidR="004378F1" w:rsidRDefault="00000000">
      <w:pPr>
        <w:spacing w:after="100"/>
        <w:rPr>
          <w:lang w:eastAsia="zh-CN"/>
        </w:rPr>
      </w:pPr>
      <w:r>
        <w:rPr>
          <w:rFonts w:ascii="微软雅黑" w:eastAsia="微软雅黑" w:hAnsi="微软雅黑"/>
          <w:b/>
          <w:color w:val="1F4E79"/>
          <w:lang w:eastAsia="zh-CN"/>
        </w:rPr>
        <w:t>· 数据口径差异（引用须谨慎）：</w:t>
      </w:r>
      <w:r>
        <w:rPr>
          <w:lang w:eastAsia="zh-CN"/>
        </w:rPr>
        <w:t>同一指标因时点/口径不同而数值有别：厄尔尼诺 5–7 月概率，东证（5 月预测）为 82%，五矿（6 月预测）为 97%；Nino3.4 相对海温，东证 6/3 为 0.7℃、五矿 6/10 为 0.9℃。降雨口径亦不同：东证用产地分州日均 mm（REFINITIV），五矿用国别累计 mm 距平（Bloomberg）。本项目引用时必须标注日期、海区与数据源，避免混用。</w:t>
      </w:r>
    </w:p>
    <w:p w14:paraId="32D2D0C6" w14:textId="77777777" w:rsidR="004378F1" w:rsidRDefault="00000000">
      <w:pPr>
        <w:spacing w:after="100"/>
        <w:rPr>
          <w:lang w:eastAsia="zh-CN"/>
        </w:rPr>
      </w:pPr>
      <w:r>
        <w:rPr>
          <w:rFonts w:ascii="微软雅黑" w:eastAsia="微软雅黑" w:hAnsi="微软雅黑"/>
          <w:b/>
          <w:color w:val="1F4E79"/>
          <w:lang w:eastAsia="zh-CN"/>
        </w:rPr>
        <w:t>· 分歧与风险立场：</w:t>
      </w:r>
      <w:r>
        <w:rPr>
          <w:lang w:eastAsia="zh-CN"/>
        </w:rPr>
        <w:t>中信半年报（③）最为均衡，专设三大分歧——原油下行是否击穿 B50 财政兜底、厄尔尼诺减产实际幅度、加拿大菜籽利空是否已提前计价，并提示厄尔尼诺快速消退风险；五矿（②）立场最乐观，对回调与证伪风险着墨较少。二者并读可形成“乐观情景 + 风险对冲”的平衡视角。</w:t>
      </w:r>
    </w:p>
    <w:p w14:paraId="5CA003DC" w14:textId="77777777" w:rsidR="004378F1" w:rsidRDefault="00000000">
      <w:pPr>
        <w:spacing w:after="100"/>
        <w:rPr>
          <w:lang w:eastAsia="zh-CN"/>
        </w:rPr>
      </w:pPr>
      <w:r>
        <w:rPr>
          <w:rFonts w:ascii="微软雅黑" w:eastAsia="微软雅黑" w:hAnsi="微软雅黑"/>
          <w:b/>
          <w:color w:val="1F4E79"/>
          <w:lang w:eastAsia="zh-CN"/>
        </w:rPr>
        <w:t>· 滞后性这一关键共识对建模的意义：</w:t>
      </w:r>
      <w:r>
        <w:rPr>
          <w:lang w:eastAsia="zh-CN"/>
        </w:rPr>
        <w:t xml:space="preserve">③强调“降雨—棕榈单产 6–9 个月滞后”、①强调“上层海洋热量领先海表温度”，共同指向：2026 年的天气冲击真正体现到产量要到 2027 年，且短期偏干反而利于鲜果串采收。这直接支持本项目以 </w:t>
      </w:r>
      <w:proofErr w:type="spellStart"/>
      <w:r>
        <w:rPr>
          <w:lang w:eastAsia="zh-CN"/>
        </w:rPr>
        <w:t>ONI_lag</w:t>
      </w:r>
      <w:proofErr w:type="spellEnd"/>
      <w:r>
        <w:rPr>
          <w:lang w:eastAsia="zh-CN"/>
        </w:rPr>
        <w:t>_{1,3,6,9,12} 构造滞后特征，并提示模型对“近月偏弱、远月升水”的结构要有解释力。</w:t>
      </w:r>
    </w:p>
    <w:p w14:paraId="01C0F727" w14:textId="77777777" w:rsidR="004378F1" w:rsidRDefault="00000000">
      <w:pPr>
        <w:spacing w:after="100"/>
        <w:rPr>
          <w:lang w:eastAsia="zh-CN"/>
        </w:rPr>
      </w:pPr>
      <w:r>
        <w:rPr>
          <w:rFonts w:ascii="微软雅黑" w:eastAsia="微软雅黑" w:hAnsi="微软雅黑"/>
          <w:b/>
          <w:color w:val="1F4E79"/>
          <w:lang w:eastAsia="zh-CN"/>
        </w:rPr>
        <w:t>· 对本项目的统一启示：</w:t>
      </w:r>
      <w:r>
        <w:rPr>
          <w:lang w:eastAsia="zh-CN"/>
        </w:rPr>
        <w:t>①验证并细化 ONI/降水滞后特征；②把传导链量化为可输入的外生冲击变量；③的价差区间与关键价位作为模型输出的合理性校验带；④的“宏观+政策+天气”</w:t>
      </w:r>
      <w:r>
        <w:rPr>
          <w:lang w:eastAsia="zh-CN"/>
        </w:rPr>
        <w:lastRenderedPageBreak/>
        <w:t>三因子可作为特征分组模板。B50 与印尼出口管控宜处理为政策哑变量（dummy variable，0/1 事件标记），多源降雨距平用于交叉校验，避免单一数据源偏差。</w:t>
      </w:r>
    </w:p>
    <w:sectPr w:rsidR="004378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00029384">
    <w:abstractNumId w:val="8"/>
  </w:num>
  <w:num w:numId="2" w16cid:durableId="1031416850">
    <w:abstractNumId w:val="6"/>
  </w:num>
  <w:num w:numId="3" w16cid:durableId="623540763">
    <w:abstractNumId w:val="5"/>
  </w:num>
  <w:num w:numId="4" w16cid:durableId="106052020">
    <w:abstractNumId w:val="4"/>
  </w:num>
  <w:num w:numId="5" w16cid:durableId="12925852">
    <w:abstractNumId w:val="7"/>
  </w:num>
  <w:num w:numId="6" w16cid:durableId="663168388">
    <w:abstractNumId w:val="3"/>
  </w:num>
  <w:num w:numId="7" w16cid:durableId="826017907">
    <w:abstractNumId w:val="2"/>
  </w:num>
  <w:num w:numId="8" w16cid:durableId="1191453503">
    <w:abstractNumId w:val="1"/>
  </w:num>
  <w:num w:numId="9" w16cid:durableId="79447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847"/>
    <w:rsid w:val="00326F90"/>
    <w:rsid w:val="004378F1"/>
    <w:rsid w:val="008F3FED"/>
    <w:rsid w:val="00A268CE"/>
    <w:rsid w:val="00AA1D8D"/>
    <w:rsid w:val="00B05AA1"/>
    <w:rsid w:val="00B47730"/>
    <w:rsid w:val="00C079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CCA0A"/>
  <w14:defaultImageDpi w14:val="300"/>
  <w15:docId w15:val="{AB0C794A-298B-EA47-9714-0D577B04E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778</Words>
  <Characters>4439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朗 秦</cp:lastModifiedBy>
  <cp:revision>4</cp:revision>
  <dcterms:created xsi:type="dcterms:W3CDTF">2013-12-23T23:15:00Z</dcterms:created>
  <dcterms:modified xsi:type="dcterms:W3CDTF">2026-06-23T02:33:00Z</dcterms:modified>
  <cp:category/>
</cp:coreProperties>
</file>