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03923" w14:textId="66380DFE" w:rsidR="000B78B9" w:rsidRDefault="009C5F68">
      <w:pPr>
        <w:rPr>
          <w:color w:val="FF0000"/>
          <w:sz w:val="36"/>
          <w:u w:val="single"/>
        </w:rPr>
      </w:pPr>
      <w:r w:rsidRPr="009C5F68">
        <w:rPr>
          <w:color w:val="FF0000"/>
          <w:sz w:val="36"/>
          <w:u w:val="single"/>
        </w:rPr>
        <w:t>Module-1</w:t>
      </w:r>
    </w:p>
    <w:p w14:paraId="0F7DBD6A" w14:textId="2B6B9313" w:rsidR="009C5F68" w:rsidRDefault="009C5F68">
      <w:pPr>
        <w:rPr>
          <w:color w:val="FF0000"/>
          <w:sz w:val="36"/>
          <w:u w:val="single"/>
        </w:rPr>
      </w:pPr>
      <w:r>
        <w:rPr>
          <w:color w:val="FF0000"/>
          <w:sz w:val="36"/>
          <w:u w:val="single"/>
        </w:rPr>
        <w:t>History &amp; Introduction:</w:t>
      </w:r>
    </w:p>
    <w:p w14:paraId="2A813123" w14:textId="77777777" w:rsidR="009C5F68" w:rsidRPr="009C5F68" w:rsidRDefault="009C5F68" w:rsidP="009C5F68">
      <w:pPr>
        <w:rPr>
          <w:color w:val="000000" w:themeColor="text1"/>
          <w:sz w:val="36"/>
        </w:rPr>
      </w:pPr>
      <w:proofErr w:type="spellStart"/>
      <w:r w:rsidRPr="009C5F68">
        <w:rPr>
          <w:b/>
          <w:bCs/>
          <w:color w:val="000000" w:themeColor="text1"/>
          <w:sz w:val="36"/>
        </w:rPr>
        <w:t>Willlian</w:t>
      </w:r>
      <w:proofErr w:type="spellEnd"/>
      <w:r w:rsidRPr="009C5F68">
        <w:rPr>
          <w:b/>
          <w:bCs/>
          <w:color w:val="000000" w:themeColor="text1"/>
          <w:sz w:val="36"/>
        </w:rPr>
        <w:t xml:space="preserve"> Withering </w:t>
      </w:r>
      <w:proofErr w:type="gramStart"/>
      <w:r w:rsidRPr="009C5F68">
        <w:rPr>
          <w:b/>
          <w:bCs/>
          <w:color w:val="000000" w:themeColor="text1"/>
          <w:sz w:val="36"/>
        </w:rPr>
        <w:t xml:space="preserve">FRS </w:t>
      </w:r>
      <w:r w:rsidRPr="009C5F68">
        <w:rPr>
          <w:color w:val="000000" w:themeColor="text1"/>
          <w:sz w:val="36"/>
          <w:lang w:val="en-IN"/>
        </w:rPr>
        <w:t> (</w:t>
      </w:r>
      <w:proofErr w:type="gramEnd"/>
      <w:r w:rsidRPr="009C5F68">
        <w:rPr>
          <w:color w:val="000000" w:themeColor="text1"/>
          <w:sz w:val="36"/>
          <w:lang w:val="en-IN"/>
        </w:rPr>
        <w:t xml:space="preserve">17 March 1741 – 6 October 1799). </w:t>
      </w:r>
    </w:p>
    <w:p w14:paraId="3946DD16" w14:textId="77777777" w:rsidR="009C5F68" w:rsidRPr="009C5F68" w:rsidRDefault="009C5F68" w:rsidP="009C5F68">
      <w:pPr>
        <w:rPr>
          <w:color w:val="000000" w:themeColor="text1"/>
          <w:sz w:val="36"/>
        </w:rPr>
      </w:pPr>
      <w:r w:rsidRPr="009C5F68">
        <w:rPr>
          <w:color w:val="000000" w:themeColor="text1"/>
          <w:sz w:val="36"/>
          <w:lang w:val="en-IN"/>
        </w:rPr>
        <w:t xml:space="preserve">He has written a book </w:t>
      </w:r>
      <w:r w:rsidRPr="009C5F68">
        <w:rPr>
          <w:color w:val="000000" w:themeColor="text1"/>
          <w:sz w:val="36"/>
        </w:rPr>
        <w:t>“An Account of the</w:t>
      </w:r>
    </w:p>
    <w:p w14:paraId="6E9C78DE" w14:textId="77777777" w:rsidR="009C5F68" w:rsidRPr="009C5F68" w:rsidRDefault="009C5F68" w:rsidP="009C5F68">
      <w:pPr>
        <w:rPr>
          <w:color w:val="000000" w:themeColor="text1"/>
          <w:sz w:val="36"/>
        </w:rPr>
      </w:pPr>
      <w:r w:rsidRPr="009C5F68">
        <w:rPr>
          <w:color w:val="000000" w:themeColor="text1"/>
          <w:sz w:val="36"/>
          <w:lang w:val="en-IN"/>
        </w:rPr>
        <w:t>Foxglove and Some of its Medicinal Uses: With</w:t>
      </w:r>
    </w:p>
    <w:p w14:paraId="03D5E1BA" w14:textId="77777777" w:rsidR="009C5F68" w:rsidRPr="009C5F68" w:rsidRDefault="009C5F68" w:rsidP="009C5F68">
      <w:pPr>
        <w:rPr>
          <w:color w:val="000000" w:themeColor="text1"/>
          <w:sz w:val="36"/>
        </w:rPr>
      </w:pPr>
      <w:r w:rsidRPr="009C5F68">
        <w:rPr>
          <w:color w:val="000000" w:themeColor="text1"/>
          <w:sz w:val="36"/>
          <w:lang w:val="en-IN"/>
        </w:rPr>
        <w:t>Practical Remarks on Dropsy and Other Diseases”.</w:t>
      </w:r>
    </w:p>
    <w:p w14:paraId="3F414076" w14:textId="77777777" w:rsidR="009C5F68" w:rsidRPr="009C5F68" w:rsidRDefault="009C5F68" w:rsidP="009C5F68">
      <w:pPr>
        <w:rPr>
          <w:color w:val="000000" w:themeColor="text1"/>
          <w:sz w:val="36"/>
        </w:rPr>
      </w:pPr>
      <w:r w:rsidRPr="009C5F68">
        <w:rPr>
          <w:color w:val="000000" w:themeColor="text1"/>
          <w:sz w:val="36"/>
          <w:lang w:val="en-IN"/>
        </w:rPr>
        <w:t>Explained the events developed after the large doses of foxglove (source of digoxin).</w:t>
      </w:r>
    </w:p>
    <w:p w14:paraId="2C9BE5E7" w14:textId="77777777" w:rsidR="009C5F68" w:rsidRPr="009C5F68" w:rsidRDefault="009C5F68" w:rsidP="009C5F68">
      <w:pPr>
        <w:rPr>
          <w:color w:val="000000" w:themeColor="text1"/>
          <w:sz w:val="36"/>
        </w:rPr>
      </w:pPr>
      <w:r w:rsidRPr="009C5F68">
        <w:rPr>
          <w:color w:val="000000" w:themeColor="text1"/>
          <w:sz w:val="36"/>
        </w:rPr>
        <w:t xml:space="preserve">The alarming sign for the regulations of drugs: </w:t>
      </w:r>
    </w:p>
    <w:p w14:paraId="73CF9C04" w14:textId="77777777" w:rsidR="009C5F68" w:rsidRPr="009C5F68" w:rsidRDefault="009C5F68" w:rsidP="009C5F68">
      <w:pPr>
        <w:rPr>
          <w:color w:val="000000" w:themeColor="text1"/>
          <w:sz w:val="36"/>
        </w:rPr>
      </w:pPr>
      <w:r w:rsidRPr="009C5F68">
        <w:rPr>
          <w:color w:val="000000" w:themeColor="text1"/>
          <w:sz w:val="36"/>
        </w:rPr>
        <w:t xml:space="preserve"> Thalidomide disaster.</w:t>
      </w:r>
    </w:p>
    <w:p w14:paraId="7EA14221" w14:textId="21ADBB5A" w:rsidR="009C5F68" w:rsidRPr="009C5F68" w:rsidRDefault="009C5F68" w:rsidP="009C5F68">
      <w:pPr>
        <w:rPr>
          <w:color w:val="000000" w:themeColor="text1"/>
          <w:sz w:val="36"/>
        </w:rPr>
      </w:pPr>
      <w:r w:rsidRPr="009C5F68">
        <w:rPr>
          <w:color w:val="000000" w:themeColor="text1"/>
          <w:sz w:val="36"/>
        </w:rPr>
        <w:t>Thalidomide drug is given for nausea in pregnancy and lead to thousands of children born with deformity limbs (Phocomelia-seal like limbs)</w:t>
      </w:r>
    </w:p>
    <w:p w14:paraId="0B72F5C9" w14:textId="77777777" w:rsidR="00000000" w:rsidRPr="009C5F68" w:rsidRDefault="009C5F68" w:rsidP="009C5F68">
      <w:pPr>
        <w:numPr>
          <w:ilvl w:val="0"/>
          <w:numId w:val="1"/>
        </w:numPr>
        <w:rPr>
          <w:color w:val="000000" w:themeColor="text1"/>
          <w:sz w:val="36"/>
        </w:rPr>
      </w:pPr>
      <w:r w:rsidRPr="009C5F68">
        <w:rPr>
          <w:color w:val="000000" w:themeColor="text1"/>
          <w:sz w:val="36"/>
          <w:lang w:val="en-IN"/>
        </w:rPr>
        <w:t>1961-Dr. McBride, an Australian doctor, wrote a letter to the editor o</w:t>
      </w:r>
      <w:r w:rsidRPr="009C5F68">
        <w:rPr>
          <w:color w:val="000000" w:themeColor="text1"/>
          <w:sz w:val="36"/>
          <w:lang w:val="en-IN"/>
        </w:rPr>
        <w:t>f the Lancet Journal, in which he suggested a connection between congenital malformation of babies and thalidomide.</w:t>
      </w:r>
    </w:p>
    <w:p w14:paraId="544BD4FE" w14:textId="13E521DA" w:rsidR="00000000" w:rsidRPr="009C5F68" w:rsidRDefault="009C5F68" w:rsidP="009C5F68">
      <w:pPr>
        <w:numPr>
          <w:ilvl w:val="0"/>
          <w:numId w:val="1"/>
        </w:numPr>
        <w:rPr>
          <w:color w:val="000000" w:themeColor="text1"/>
          <w:sz w:val="36"/>
        </w:rPr>
      </w:pPr>
      <w:r w:rsidRPr="009C5F68">
        <w:rPr>
          <w:color w:val="000000" w:themeColor="text1"/>
          <w:sz w:val="36"/>
        </w:rPr>
        <w:t>Dr. Lenz - German</w:t>
      </w:r>
      <w:r w:rsidRPr="009C5F68">
        <w:rPr>
          <w:color w:val="000000" w:themeColor="text1"/>
          <w:sz w:val="36"/>
        </w:rPr>
        <w:t xml:space="preserve"> Pediatrician- S</w:t>
      </w:r>
      <w:r w:rsidRPr="009C5F68">
        <w:rPr>
          <w:color w:val="000000" w:themeColor="text1"/>
          <w:sz w:val="36"/>
        </w:rPr>
        <w:t>uggested a co-relation of thalidomide and congenital anomalies and published an article.</w:t>
      </w:r>
    </w:p>
    <w:p w14:paraId="7C36FE38" w14:textId="77777777" w:rsidR="00000000" w:rsidRPr="009C5F68" w:rsidRDefault="009C5F68" w:rsidP="009C5F68">
      <w:pPr>
        <w:numPr>
          <w:ilvl w:val="0"/>
          <w:numId w:val="1"/>
        </w:numPr>
        <w:rPr>
          <w:color w:val="000000" w:themeColor="text1"/>
          <w:sz w:val="36"/>
        </w:rPr>
      </w:pPr>
      <w:r w:rsidRPr="009C5F68">
        <w:rPr>
          <w:color w:val="000000" w:themeColor="text1"/>
          <w:sz w:val="36"/>
        </w:rPr>
        <w:t>Dr. Frances Oldham Kelsey - Pharmacologist and a Physician</w:t>
      </w:r>
      <w:proofErr w:type="gramStart"/>
      <w:r w:rsidRPr="009C5F68">
        <w:rPr>
          <w:color w:val="000000" w:themeColor="text1"/>
          <w:sz w:val="36"/>
        </w:rPr>
        <w:t>-  The</w:t>
      </w:r>
      <w:proofErr w:type="gramEnd"/>
      <w:r w:rsidRPr="009C5F68">
        <w:rPr>
          <w:color w:val="000000" w:themeColor="text1"/>
          <w:sz w:val="36"/>
        </w:rPr>
        <w:t xml:space="preserve"> women who struggled hard for thalido</w:t>
      </w:r>
      <w:r w:rsidRPr="009C5F68">
        <w:rPr>
          <w:color w:val="000000" w:themeColor="text1"/>
          <w:sz w:val="36"/>
        </w:rPr>
        <w:t>mide not to enter into USA market .</w:t>
      </w:r>
    </w:p>
    <w:p w14:paraId="6DB292AD" w14:textId="77777777" w:rsidR="009C5F68" w:rsidRPr="009C5F68" w:rsidRDefault="009C5F68" w:rsidP="009C5F68">
      <w:pPr>
        <w:ind w:left="360"/>
        <w:rPr>
          <w:color w:val="000000" w:themeColor="text1"/>
          <w:sz w:val="36"/>
        </w:rPr>
      </w:pPr>
      <w:r w:rsidRPr="009C5F68">
        <w:rPr>
          <w:color w:val="000000" w:themeColor="text1"/>
          <w:sz w:val="36"/>
          <w:lang w:val="en-IN"/>
        </w:rPr>
        <w:lastRenderedPageBreak/>
        <w:t xml:space="preserve">The </w:t>
      </w:r>
      <w:proofErr w:type="spellStart"/>
      <w:r w:rsidRPr="009C5F68">
        <w:rPr>
          <w:color w:val="000000" w:themeColor="text1"/>
          <w:sz w:val="36"/>
          <w:lang w:val="en-IN"/>
        </w:rPr>
        <w:t>sulfanilamide</w:t>
      </w:r>
      <w:proofErr w:type="spellEnd"/>
      <w:r w:rsidRPr="009C5F68">
        <w:rPr>
          <w:color w:val="000000" w:themeColor="text1"/>
          <w:sz w:val="36"/>
          <w:lang w:val="en-IN"/>
        </w:rPr>
        <w:t xml:space="preserve"> tragedy:</w:t>
      </w:r>
    </w:p>
    <w:p w14:paraId="76B1D7A7" w14:textId="77777777" w:rsidR="009C5F68" w:rsidRPr="009C5F68" w:rsidRDefault="009C5F68" w:rsidP="009C5F68">
      <w:pPr>
        <w:ind w:left="720"/>
        <w:rPr>
          <w:color w:val="000000" w:themeColor="text1"/>
          <w:sz w:val="36"/>
        </w:rPr>
      </w:pPr>
      <w:r w:rsidRPr="009C5F68">
        <w:rPr>
          <w:color w:val="000000" w:themeColor="text1"/>
          <w:sz w:val="36"/>
          <w:lang w:val="en-IN"/>
        </w:rPr>
        <w:t>1937:</w:t>
      </w:r>
    </w:p>
    <w:p w14:paraId="1FAB1596" w14:textId="77777777" w:rsidR="009C5F68" w:rsidRPr="009C5F68" w:rsidRDefault="009C5F68" w:rsidP="009C5F68">
      <w:pPr>
        <w:numPr>
          <w:ilvl w:val="0"/>
          <w:numId w:val="1"/>
        </w:numPr>
        <w:rPr>
          <w:color w:val="000000" w:themeColor="text1"/>
          <w:sz w:val="36"/>
        </w:rPr>
      </w:pPr>
      <w:r w:rsidRPr="009C5F68">
        <w:rPr>
          <w:color w:val="000000" w:themeColor="text1"/>
          <w:sz w:val="36"/>
          <w:lang w:val="en-IN"/>
        </w:rPr>
        <w:t xml:space="preserve">The medicine sulphanilamide was prepared as tablets and capsules from pharmaceutical companies and the S.E. Massengill Company of Bristol, Tennessee, decided that a liquid form of sulphanilamide be prepared with composition of 10 percent </w:t>
      </w:r>
      <w:proofErr w:type="spellStart"/>
      <w:r w:rsidRPr="009C5F68">
        <w:rPr>
          <w:color w:val="000000" w:themeColor="text1"/>
          <w:sz w:val="36"/>
          <w:lang w:val="en-IN"/>
        </w:rPr>
        <w:t>sulfanilamide</w:t>
      </w:r>
      <w:proofErr w:type="spellEnd"/>
      <w:r w:rsidRPr="009C5F68">
        <w:rPr>
          <w:color w:val="000000" w:themeColor="text1"/>
          <w:sz w:val="36"/>
          <w:lang w:val="en-IN"/>
        </w:rPr>
        <w:t>, 72 percent diethylene glycol, and 16 percent water.</w:t>
      </w:r>
    </w:p>
    <w:p w14:paraId="0167CEF9" w14:textId="77777777" w:rsidR="009C5F68" w:rsidRPr="009C5F68" w:rsidRDefault="009C5F68" w:rsidP="009C5F68">
      <w:pPr>
        <w:numPr>
          <w:ilvl w:val="0"/>
          <w:numId w:val="1"/>
        </w:numPr>
        <w:rPr>
          <w:color w:val="000000" w:themeColor="text1"/>
          <w:sz w:val="36"/>
        </w:rPr>
      </w:pPr>
      <w:r w:rsidRPr="009C5F68">
        <w:rPr>
          <w:color w:val="000000" w:themeColor="text1"/>
          <w:sz w:val="36"/>
          <w:lang w:val="en-IN"/>
        </w:rPr>
        <w:t xml:space="preserve"> The composition lead to </w:t>
      </w:r>
      <w:proofErr w:type="gramStart"/>
      <w:r w:rsidRPr="009C5F68">
        <w:rPr>
          <w:color w:val="000000" w:themeColor="text1"/>
          <w:sz w:val="36"/>
          <w:lang w:val="en-IN"/>
        </w:rPr>
        <w:t>nearly  107</w:t>
      </w:r>
      <w:proofErr w:type="gramEnd"/>
      <w:r w:rsidRPr="009C5F68">
        <w:rPr>
          <w:color w:val="000000" w:themeColor="text1"/>
          <w:sz w:val="36"/>
          <w:lang w:val="en-IN"/>
        </w:rPr>
        <w:t xml:space="preserve"> deaths in the USA, because of the use of </w:t>
      </w:r>
      <w:proofErr w:type="spellStart"/>
      <w:r w:rsidRPr="009C5F68">
        <w:rPr>
          <w:color w:val="000000" w:themeColor="text1"/>
          <w:sz w:val="36"/>
          <w:lang w:val="en-IN"/>
        </w:rPr>
        <w:t>sulfanilamide</w:t>
      </w:r>
      <w:proofErr w:type="spellEnd"/>
      <w:r w:rsidRPr="009C5F68">
        <w:rPr>
          <w:color w:val="000000" w:themeColor="text1"/>
          <w:sz w:val="36"/>
          <w:lang w:val="en-IN"/>
        </w:rPr>
        <w:t xml:space="preserve"> elixir, containing diethyl glycol as the solvent. </w:t>
      </w:r>
    </w:p>
    <w:p w14:paraId="067BD1C5" w14:textId="77777777" w:rsidR="009C5F68" w:rsidRPr="009C5F68" w:rsidRDefault="009C5F68" w:rsidP="009C5F68">
      <w:pPr>
        <w:ind w:left="720"/>
        <w:rPr>
          <w:color w:val="000000" w:themeColor="text1"/>
          <w:sz w:val="36"/>
        </w:rPr>
      </w:pPr>
      <w:r w:rsidRPr="009C5F68">
        <w:rPr>
          <w:color w:val="000000" w:themeColor="text1"/>
          <w:sz w:val="36"/>
          <w:lang w:val="en-IN"/>
        </w:rPr>
        <w:t xml:space="preserve"> 1938: </w:t>
      </w:r>
    </w:p>
    <w:p w14:paraId="572B2598" w14:textId="3C1F7B3A" w:rsidR="009C5F68" w:rsidRPr="009C5F68" w:rsidRDefault="009C5F68" w:rsidP="009C5F68">
      <w:pPr>
        <w:numPr>
          <w:ilvl w:val="0"/>
          <w:numId w:val="1"/>
        </w:numPr>
        <w:rPr>
          <w:color w:val="000000" w:themeColor="text1"/>
          <w:sz w:val="36"/>
        </w:rPr>
      </w:pPr>
      <w:r w:rsidRPr="009C5F68">
        <w:rPr>
          <w:color w:val="000000" w:themeColor="text1"/>
          <w:sz w:val="36"/>
          <w:lang w:val="en-IN"/>
        </w:rPr>
        <w:t xml:space="preserve">The incident triggered the Food, Drugs and cosmetic act to monitor the safety </w:t>
      </w:r>
      <w:r>
        <w:rPr>
          <w:color w:val="000000" w:themeColor="text1"/>
          <w:sz w:val="36"/>
          <w:lang w:val="en-IN"/>
        </w:rPr>
        <w:t>o</w:t>
      </w:r>
      <w:r w:rsidRPr="009C5F68">
        <w:rPr>
          <w:color w:val="000000" w:themeColor="text1"/>
          <w:sz w:val="36"/>
          <w:lang w:val="en-IN"/>
        </w:rPr>
        <w:t>f new drugs.</w:t>
      </w:r>
    </w:p>
    <w:p w14:paraId="58F61C70" w14:textId="467AEA1F" w:rsidR="009C5F68" w:rsidRDefault="009C5F68">
      <w:pPr>
        <w:rPr>
          <w:color w:val="000000" w:themeColor="text1"/>
          <w:sz w:val="36"/>
        </w:rPr>
      </w:pPr>
      <w:r w:rsidRPr="009C5F68">
        <w:rPr>
          <w:color w:val="000000" w:themeColor="text1"/>
          <w:sz w:val="36"/>
        </w:rPr>
        <w:drawing>
          <wp:inline distT="0" distB="0" distL="0" distR="0" wp14:anchorId="0C006A41" wp14:editId="06F90680">
            <wp:extent cx="1905000" cy="2000250"/>
            <wp:effectExtent l="0" t="0" r="0" b="0"/>
            <wp:docPr id="10" name="Picture 9" descr="https://cdn.the-scientist.com/assets/articleNo/39231/iImg/21411/96d19d43-fa6d-420f-bdba-3dfcce9e6246-elixirsulfclipcropped1-s-1.jpg">
              <a:extLst xmlns:a="http://schemas.openxmlformats.org/drawingml/2006/main">
                <a:ext uri="{FF2B5EF4-FFF2-40B4-BE49-F238E27FC236}">
                  <a16:creationId xmlns:a16="http://schemas.microsoft.com/office/drawing/2014/main" id="{F3A2466F-9D4C-4429-A99A-69B8A29D9E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https://cdn.the-scientist.com/assets/articleNo/39231/iImg/21411/96d19d43-fa6d-420f-bdba-3dfcce9e6246-elixirsulfclipcropped1-s-1.jpg">
                      <a:extLst>
                        <a:ext uri="{FF2B5EF4-FFF2-40B4-BE49-F238E27FC236}">
                          <a16:creationId xmlns:a16="http://schemas.microsoft.com/office/drawing/2014/main" id="{F3A2466F-9D4C-4429-A99A-69B8A29D9E79}"/>
                        </a:ext>
                      </a:extLst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475EF" w14:textId="7579F137" w:rsidR="009C5F68" w:rsidRDefault="009C5F68">
      <w:pPr>
        <w:rPr>
          <w:color w:val="000000" w:themeColor="text1"/>
          <w:sz w:val="36"/>
        </w:rPr>
      </w:pPr>
    </w:p>
    <w:p w14:paraId="3F1D43BC" w14:textId="77777777" w:rsidR="009C5F68" w:rsidRPr="009C5F68" w:rsidRDefault="009C5F68" w:rsidP="009C5F68">
      <w:pPr>
        <w:rPr>
          <w:color w:val="000000" w:themeColor="text1"/>
          <w:sz w:val="36"/>
        </w:rPr>
      </w:pPr>
      <w:r w:rsidRPr="009C5F68">
        <w:rPr>
          <w:color w:val="000000" w:themeColor="text1"/>
          <w:sz w:val="36"/>
          <w:lang w:val="en-IN"/>
        </w:rPr>
        <w:t xml:space="preserve">1962- USA, </w:t>
      </w:r>
      <w:proofErr w:type="gramStart"/>
      <w:r w:rsidRPr="009C5F68">
        <w:rPr>
          <w:color w:val="000000" w:themeColor="text1"/>
          <w:sz w:val="36"/>
          <w:lang w:val="en-IN"/>
        </w:rPr>
        <w:t>Approved</w:t>
      </w:r>
      <w:proofErr w:type="gramEnd"/>
      <w:r w:rsidRPr="009C5F68">
        <w:rPr>
          <w:color w:val="000000" w:themeColor="text1"/>
          <w:sz w:val="36"/>
          <w:lang w:val="en-IN"/>
        </w:rPr>
        <w:t xml:space="preserve"> an amendment requiring safety and efficacy data of drugs before premarketing submission.</w:t>
      </w:r>
    </w:p>
    <w:p w14:paraId="60BC5C03" w14:textId="77777777" w:rsidR="009C5F68" w:rsidRPr="009C5F68" w:rsidRDefault="009C5F68" w:rsidP="009C5F68">
      <w:pPr>
        <w:rPr>
          <w:color w:val="000000" w:themeColor="text1"/>
          <w:sz w:val="36"/>
        </w:rPr>
      </w:pPr>
      <w:r w:rsidRPr="009C5F68">
        <w:rPr>
          <w:color w:val="000000" w:themeColor="text1"/>
          <w:sz w:val="36"/>
        </w:rPr>
        <w:lastRenderedPageBreak/>
        <w:t>This is called as “</w:t>
      </w:r>
      <w:proofErr w:type="spellStart"/>
      <w:r w:rsidRPr="009C5F68">
        <w:rPr>
          <w:color w:val="000000" w:themeColor="text1"/>
          <w:sz w:val="36"/>
        </w:rPr>
        <w:t>Kafauver</w:t>
      </w:r>
      <w:proofErr w:type="spellEnd"/>
      <w:r w:rsidRPr="009C5F68">
        <w:rPr>
          <w:color w:val="000000" w:themeColor="text1"/>
          <w:sz w:val="36"/>
        </w:rPr>
        <w:t xml:space="preserve"> </w:t>
      </w:r>
      <w:proofErr w:type="spellStart"/>
      <w:r w:rsidRPr="009C5F68">
        <w:rPr>
          <w:color w:val="000000" w:themeColor="text1"/>
          <w:sz w:val="36"/>
        </w:rPr>
        <w:t>Haris</w:t>
      </w:r>
      <w:proofErr w:type="spellEnd"/>
      <w:r w:rsidRPr="009C5F68">
        <w:rPr>
          <w:color w:val="000000" w:themeColor="text1"/>
          <w:sz w:val="36"/>
        </w:rPr>
        <w:t xml:space="preserve"> Amendment”</w:t>
      </w:r>
    </w:p>
    <w:p w14:paraId="3522BB54" w14:textId="77777777" w:rsidR="009C5F68" w:rsidRPr="009C5F68" w:rsidRDefault="009C5F68" w:rsidP="009C5F68">
      <w:pPr>
        <w:rPr>
          <w:color w:val="000000" w:themeColor="text1"/>
          <w:sz w:val="36"/>
        </w:rPr>
      </w:pPr>
      <w:r w:rsidRPr="009C5F68">
        <w:rPr>
          <w:color w:val="000000" w:themeColor="text1"/>
          <w:sz w:val="36"/>
        </w:rPr>
        <w:t xml:space="preserve"> Informed consent was required &amp; Adverse drug reaction was required to report FDA.</w:t>
      </w:r>
    </w:p>
    <w:p w14:paraId="15ED420F" w14:textId="77777777" w:rsidR="009C5F68" w:rsidRPr="009C5F68" w:rsidRDefault="009C5F68" w:rsidP="009C5F68">
      <w:pPr>
        <w:rPr>
          <w:color w:val="000000" w:themeColor="text1"/>
          <w:sz w:val="36"/>
        </w:rPr>
      </w:pPr>
      <w:r w:rsidRPr="009C5F68">
        <w:rPr>
          <w:color w:val="000000" w:themeColor="text1"/>
          <w:sz w:val="36"/>
        </w:rPr>
        <w:t xml:space="preserve">1962:  Yellow card Scheme was developed by Bill </w:t>
      </w:r>
      <w:proofErr w:type="gramStart"/>
      <w:r w:rsidRPr="009C5F68">
        <w:rPr>
          <w:color w:val="000000" w:themeColor="text1"/>
          <w:sz w:val="36"/>
        </w:rPr>
        <w:t>Inman  after</w:t>
      </w:r>
      <w:proofErr w:type="gramEnd"/>
      <w:r w:rsidRPr="009C5F68">
        <w:rPr>
          <w:color w:val="000000" w:themeColor="text1"/>
          <w:sz w:val="36"/>
        </w:rPr>
        <w:t xml:space="preserve"> Thalidomide disaster.</w:t>
      </w:r>
    </w:p>
    <w:p w14:paraId="4A0BFB63" w14:textId="77777777" w:rsidR="009C5F68" w:rsidRPr="009C5F68" w:rsidRDefault="009C5F68" w:rsidP="009C5F68">
      <w:pPr>
        <w:rPr>
          <w:color w:val="000000" w:themeColor="text1"/>
          <w:sz w:val="36"/>
        </w:rPr>
      </w:pPr>
      <w:r w:rsidRPr="009C5F68">
        <w:rPr>
          <w:color w:val="000000" w:themeColor="text1"/>
          <w:sz w:val="36"/>
        </w:rPr>
        <w:t>Adverse reactions are to be reported according to the scheme. It is organized by Medicines and Health care Products Regulatory Agency (MHRA).</w:t>
      </w:r>
    </w:p>
    <w:p w14:paraId="48B7D8CF" w14:textId="77777777" w:rsidR="009C5F68" w:rsidRPr="009C5F68" w:rsidRDefault="009C5F68" w:rsidP="009C5F68">
      <w:pPr>
        <w:rPr>
          <w:color w:val="000000" w:themeColor="text1"/>
          <w:sz w:val="36"/>
        </w:rPr>
      </w:pPr>
      <w:r w:rsidRPr="009C5F68">
        <w:rPr>
          <w:color w:val="000000" w:themeColor="text1"/>
          <w:sz w:val="36"/>
        </w:rPr>
        <w:t>Yellow cards are available from pharmacies and a few are in the British National Formulary as tear off pages.</w:t>
      </w:r>
    </w:p>
    <w:p w14:paraId="1213F586" w14:textId="77777777" w:rsidR="009C5F68" w:rsidRPr="009C5F68" w:rsidRDefault="009C5F68" w:rsidP="009C5F68">
      <w:pPr>
        <w:rPr>
          <w:color w:val="000000" w:themeColor="text1"/>
          <w:sz w:val="36"/>
        </w:rPr>
      </w:pPr>
      <w:r w:rsidRPr="009C5F68">
        <w:rPr>
          <w:color w:val="000000" w:themeColor="text1"/>
          <w:sz w:val="36"/>
        </w:rPr>
        <w:t>1965:  First Pharmaceutical directive 65/65/EC.</w:t>
      </w:r>
    </w:p>
    <w:p w14:paraId="22BED752" w14:textId="368C2B31" w:rsidR="009C5F68" w:rsidRDefault="009C5F68" w:rsidP="009C5F68">
      <w:pPr>
        <w:rPr>
          <w:color w:val="000000" w:themeColor="text1"/>
          <w:sz w:val="36"/>
        </w:rPr>
      </w:pPr>
      <w:r w:rsidRPr="009C5F68">
        <w:rPr>
          <w:color w:val="000000" w:themeColor="text1"/>
          <w:sz w:val="36"/>
        </w:rPr>
        <w:t xml:space="preserve">European legislation </w:t>
      </w:r>
      <w:proofErr w:type="gramStart"/>
      <w:r w:rsidRPr="009C5F68">
        <w:rPr>
          <w:color w:val="000000" w:themeColor="text1"/>
          <w:sz w:val="36"/>
        </w:rPr>
        <w:t>developed .</w:t>
      </w:r>
      <w:proofErr w:type="gramEnd"/>
      <w:r w:rsidRPr="009C5F68">
        <w:rPr>
          <w:color w:val="000000" w:themeColor="text1"/>
          <w:sz w:val="36"/>
        </w:rPr>
        <w:t xml:space="preserve"> European Law requires all medicinal products to obtain a Marketing </w:t>
      </w:r>
      <w:proofErr w:type="spellStart"/>
      <w:r w:rsidRPr="009C5F68">
        <w:rPr>
          <w:color w:val="000000" w:themeColor="text1"/>
          <w:sz w:val="36"/>
        </w:rPr>
        <w:t>Authorisation</w:t>
      </w:r>
      <w:proofErr w:type="spellEnd"/>
      <w:r w:rsidRPr="009C5F68">
        <w:rPr>
          <w:color w:val="000000" w:themeColor="text1"/>
          <w:sz w:val="36"/>
        </w:rPr>
        <w:t xml:space="preserve"> before they are in the EU market.</w:t>
      </w:r>
    </w:p>
    <w:p w14:paraId="3A61B837" w14:textId="51E4DF69" w:rsidR="009C5F68" w:rsidRDefault="009C5F68" w:rsidP="009C5F68">
      <w:pPr>
        <w:rPr>
          <w:color w:val="000000" w:themeColor="text1"/>
          <w:sz w:val="36"/>
        </w:rPr>
      </w:pPr>
    </w:p>
    <w:p w14:paraId="121018F1" w14:textId="77777777" w:rsidR="009C5F68" w:rsidRPr="009C5F68" w:rsidRDefault="009C5F68" w:rsidP="009C5F68">
      <w:pPr>
        <w:rPr>
          <w:color w:val="000000" w:themeColor="text1"/>
          <w:sz w:val="36"/>
        </w:rPr>
      </w:pPr>
      <w:r w:rsidRPr="009C5F68">
        <w:rPr>
          <w:b/>
          <w:bCs/>
          <w:color w:val="000000" w:themeColor="text1"/>
          <w:sz w:val="36"/>
          <w:lang w:val="en-IN"/>
        </w:rPr>
        <w:t>1966- pilot study of Boston Collaborative Drug Surveillance Program started.</w:t>
      </w:r>
    </w:p>
    <w:p w14:paraId="0E999D1C" w14:textId="77777777" w:rsidR="009C5F68" w:rsidRPr="009C5F68" w:rsidRDefault="009C5F68" w:rsidP="009C5F68">
      <w:pPr>
        <w:rPr>
          <w:color w:val="000000" w:themeColor="text1"/>
          <w:sz w:val="36"/>
        </w:rPr>
      </w:pPr>
      <w:r w:rsidRPr="009C5F68">
        <w:rPr>
          <w:color w:val="000000" w:themeColor="text1"/>
          <w:sz w:val="36"/>
          <w:lang w:val="en-IN"/>
        </w:rPr>
        <w:t>It was the first group to conduct epidemiologic researches to quantify the potential adverse effects of drugs utilizing in-hospital monitoring and had an essential role in the development and application of methods in drug epidemiology.</w:t>
      </w:r>
    </w:p>
    <w:p w14:paraId="545B9948" w14:textId="77777777" w:rsidR="009C5F68" w:rsidRPr="009C5F68" w:rsidRDefault="009C5F68" w:rsidP="009C5F68">
      <w:pPr>
        <w:rPr>
          <w:color w:val="000000" w:themeColor="text1"/>
          <w:sz w:val="36"/>
        </w:rPr>
      </w:pPr>
      <w:bookmarkStart w:id="0" w:name="_GoBack"/>
      <w:bookmarkEnd w:id="0"/>
    </w:p>
    <w:p w14:paraId="2D4116FE" w14:textId="77777777" w:rsidR="009C5F68" w:rsidRPr="009C5F68" w:rsidRDefault="009C5F68" w:rsidP="009C5F68">
      <w:pPr>
        <w:rPr>
          <w:color w:val="000000" w:themeColor="text1"/>
          <w:sz w:val="36"/>
        </w:rPr>
      </w:pPr>
      <w:r w:rsidRPr="009C5F68">
        <w:rPr>
          <w:color w:val="000000" w:themeColor="text1"/>
          <w:sz w:val="36"/>
          <w:lang w:val="en-IN"/>
        </w:rPr>
        <w:lastRenderedPageBreak/>
        <w:t>1968-the WHO Programme for International Drug Monitoring was instituted.</w:t>
      </w:r>
    </w:p>
    <w:p w14:paraId="351BDA8D" w14:textId="3589671F" w:rsidR="009C5F68" w:rsidRDefault="009C5F68" w:rsidP="009C5F68">
      <w:pPr>
        <w:rPr>
          <w:color w:val="000000" w:themeColor="text1"/>
          <w:sz w:val="36"/>
          <w:lang w:val="en-IN"/>
        </w:rPr>
      </w:pPr>
      <w:r w:rsidRPr="009C5F68">
        <w:rPr>
          <w:color w:val="000000" w:themeColor="text1"/>
          <w:sz w:val="36"/>
        </w:rPr>
        <w:t xml:space="preserve">During the 16th World assembly there was a call for “Systematic collection of adverse drug reactions, once the drug is marketed. </w:t>
      </w:r>
      <w:r w:rsidRPr="009C5F68">
        <w:rPr>
          <w:color w:val="000000" w:themeColor="text1"/>
          <w:sz w:val="36"/>
          <w:lang w:val="en-IN"/>
        </w:rPr>
        <w:t>ten members participated in this program (Australia, UK, USA, Germany, Canada, Ireland, Sweden, Denmark, New Zealand, and Netherlands)</w:t>
      </w:r>
      <w:r>
        <w:rPr>
          <w:color w:val="000000" w:themeColor="text1"/>
          <w:sz w:val="36"/>
          <w:lang w:val="en-IN"/>
        </w:rPr>
        <w:t>.</w:t>
      </w:r>
    </w:p>
    <w:p w14:paraId="616C05C1" w14:textId="77777777" w:rsidR="009C5F68" w:rsidRPr="009C5F68" w:rsidRDefault="009C5F68" w:rsidP="009C5F68">
      <w:pPr>
        <w:rPr>
          <w:color w:val="000000" w:themeColor="text1"/>
          <w:sz w:val="36"/>
        </w:rPr>
      </w:pPr>
      <w:r w:rsidRPr="009C5F68">
        <w:rPr>
          <w:color w:val="000000" w:themeColor="text1"/>
          <w:sz w:val="36"/>
          <w:lang w:val="en-IN"/>
        </w:rPr>
        <w:t>1992- the European Society of Pharmacovigilance (</w:t>
      </w:r>
      <w:proofErr w:type="spellStart"/>
      <w:r w:rsidRPr="009C5F68">
        <w:rPr>
          <w:color w:val="000000" w:themeColor="text1"/>
          <w:sz w:val="36"/>
          <w:lang w:val="en-IN"/>
        </w:rPr>
        <w:t>ESoP</w:t>
      </w:r>
      <w:proofErr w:type="spellEnd"/>
      <w:r w:rsidRPr="009C5F68">
        <w:rPr>
          <w:color w:val="000000" w:themeColor="text1"/>
          <w:sz w:val="36"/>
          <w:lang w:val="en-IN"/>
        </w:rPr>
        <w:t>) was established and changed into the International Society of Pharmacovigilance (</w:t>
      </w:r>
      <w:proofErr w:type="spellStart"/>
      <w:r w:rsidRPr="009C5F68">
        <w:rPr>
          <w:color w:val="000000" w:themeColor="text1"/>
          <w:sz w:val="36"/>
          <w:lang w:val="en-IN"/>
        </w:rPr>
        <w:t>IsoP</w:t>
      </w:r>
      <w:proofErr w:type="spellEnd"/>
      <w:r w:rsidRPr="009C5F68">
        <w:rPr>
          <w:color w:val="000000" w:themeColor="text1"/>
          <w:sz w:val="36"/>
          <w:lang w:val="en-IN"/>
        </w:rPr>
        <w:t>).</w:t>
      </w:r>
    </w:p>
    <w:p w14:paraId="0825B560" w14:textId="77777777" w:rsidR="009C5F68" w:rsidRPr="009C5F68" w:rsidRDefault="009C5F68" w:rsidP="009C5F68">
      <w:pPr>
        <w:rPr>
          <w:color w:val="000000" w:themeColor="text1"/>
          <w:sz w:val="36"/>
        </w:rPr>
      </w:pPr>
      <w:r w:rsidRPr="009C5F68">
        <w:rPr>
          <w:color w:val="000000" w:themeColor="text1"/>
          <w:sz w:val="36"/>
        </w:rPr>
        <w:t xml:space="preserve"> </w:t>
      </w:r>
      <w:proofErr w:type="spellStart"/>
      <w:r w:rsidRPr="009C5F68">
        <w:rPr>
          <w:color w:val="000000" w:themeColor="text1"/>
          <w:sz w:val="36"/>
        </w:rPr>
        <w:t>ESoP</w:t>
      </w:r>
      <w:proofErr w:type="spellEnd"/>
      <w:r w:rsidRPr="009C5F68">
        <w:rPr>
          <w:color w:val="000000" w:themeColor="text1"/>
          <w:sz w:val="36"/>
        </w:rPr>
        <w:t xml:space="preserve">- International </w:t>
      </w:r>
      <w:proofErr w:type="spellStart"/>
      <w:proofErr w:type="gramStart"/>
      <w:r w:rsidRPr="009C5F68">
        <w:rPr>
          <w:color w:val="000000" w:themeColor="text1"/>
          <w:sz w:val="36"/>
        </w:rPr>
        <w:t>non profit</w:t>
      </w:r>
      <w:proofErr w:type="spellEnd"/>
      <w:proofErr w:type="gramEnd"/>
      <w:r w:rsidRPr="009C5F68">
        <w:rPr>
          <w:color w:val="000000" w:themeColor="text1"/>
          <w:sz w:val="36"/>
        </w:rPr>
        <w:t xml:space="preserve"> scientific organization- it strengths the Pharmacovigilance and enhance for safe and proper use of medicines.</w:t>
      </w:r>
    </w:p>
    <w:p w14:paraId="29ABEBCF" w14:textId="77777777" w:rsidR="009C5F68" w:rsidRPr="009C5F68" w:rsidRDefault="009C5F68" w:rsidP="009C5F68">
      <w:pPr>
        <w:rPr>
          <w:color w:val="000000" w:themeColor="text1"/>
          <w:sz w:val="36"/>
        </w:rPr>
      </w:pPr>
      <w:proofErr w:type="spellStart"/>
      <w:r w:rsidRPr="009C5F68">
        <w:rPr>
          <w:color w:val="000000" w:themeColor="text1"/>
          <w:sz w:val="36"/>
        </w:rPr>
        <w:t>Latet</w:t>
      </w:r>
      <w:proofErr w:type="spellEnd"/>
      <w:r w:rsidRPr="009C5F68">
        <w:rPr>
          <w:color w:val="000000" w:themeColor="text1"/>
          <w:sz w:val="36"/>
        </w:rPr>
        <w:t xml:space="preserve"> </w:t>
      </w:r>
      <w:proofErr w:type="spellStart"/>
      <w:r w:rsidRPr="009C5F68">
        <w:rPr>
          <w:color w:val="000000" w:themeColor="text1"/>
          <w:sz w:val="36"/>
        </w:rPr>
        <w:t>ESoP</w:t>
      </w:r>
      <w:proofErr w:type="spellEnd"/>
      <w:r w:rsidRPr="009C5F68">
        <w:rPr>
          <w:color w:val="000000" w:themeColor="text1"/>
          <w:sz w:val="36"/>
        </w:rPr>
        <w:t xml:space="preserve"> is changed to </w:t>
      </w:r>
      <w:proofErr w:type="spellStart"/>
      <w:r w:rsidRPr="009C5F68">
        <w:rPr>
          <w:color w:val="000000" w:themeColor="text1"/>
          <w:sz w:val="36"/>
        </w:rPr>
        <w:t>ISoP</w:t>
      </w:r>
      <w:proofErr w:type="spellEnd"/>
      <w:r w:rsidRPr="009C5F68">
        <w:rPr>
          <w:color w:val="000000" w:themeColor="text1"/>
          <w:sz w:val="36"/>
        </w:rPr>
        <w:t>.</w:t>
      </w:r>
    </w:p>
    <w:p w14:paraId="7345E7B3" w14:textId="630A00FC" w:rsidR="009C5F68" w:rsidRDefault="009C5F68" w:rsidP="009C5F68">
      <w:pPr>
        <w:rPr>
          <w:color w:val="000000" w:themeColor="text1"/>
          <w:sz w:val="36"/>
        </w:rPr>
      </w:pPr>
    </w:p>
    <w:p w14:paraId="7FCC3171" w14:textId="77777777" w:rsidR="009C5F68" w:rsidRPr="009C5F68" w:rsidRDefault="009C5F68" w:rsidP="009C5F68">
      <w:pPr>
        <w:rPr>
          <w:color w:val="000000" w:themeColor="text1"/>
          <w:sz w:val="36"/>
        </w:rPr>
      </w:pPr>
      <w:r w:rsidRPr="009C5F68">
        <w:rPr>
          <w:color w:val="000000" w:themeColor="text1"/>
          <w:sz w:val="36"/>
          <w:lang w:val="en-IN"/>
        </w:rPr>
        <w:t>1995- the European Medicines Agency (EMA) was set up.</w:t>
      </w:r>
    </w:p>
    <w:p w14:paraId="5791B31C" w14:textId="77777777" w:rsidR="009C5F68" w:rsidRPr="009C5F68" w:rsidRDefault="009C5F68" w:rsidP="009C5F68">
      <w:pPr>
        <w:rPr>
          <w:color w:val="000000" w:themeColor="text1"/>
          <w:sz w:val="36"/>
        </w:rPr>
      </w:pPr>
      <w:r w:rsidRPr="009C5F68">
        <w:rPr>
          <w:color w:val="000000" w:themeColor="text1"/>
          <w:sz w:val="36"/>
        </w:rPr>
        <w:t>The main aim of EMA is to harmonize the work between the national medicine regulatory bodies.</w:t>
      </w:r>
    </w:p>
    <w:p w14:paraId="0B912B24" w14:textId="77777777" w:rsidR="009C5F68" w:rsidRPr="009C5F68" w:rsidRDefault="009C5F68" w:rsidP="009C5F68">
      <w:pPr>
        <w:rPr>
          <w:color w:val="000000" w:themeColor="text1"/>
          <w:sz w:val="36"/>
        </w:rPr>
      </w:pPr>
      <w:r w:rsidRPr="009C5F68">
        <w:rPr>
          <w:color w:val="000000" w:themeColor="text1"/>
          <w:sz w:val="36"/>
        </w:rPr>
        <w:t xml:space="preserve">Over the course of </w:t>
      </w:r>
      <w:proofErr w:type="gramStart"/>
      <w:r w:rsidRPr="009C5F68">
        <w:rPr>
          <w:color w:val="000000" w:themeColor="text1"/>
          <w:sz w:val="36"/>
        </w:rPr>
        <w:t>time  EMA</w:t>
      </w:r>
      <w:proofErr w:type="gramEnd"/>
      <w:r w:rsidRPr="009C5F68">
        <w:rPr>
          <w:color w:val="000000" w:themeColor="text1"/>
          <w:sz w:val="36"/>
        </w:rPr>
        <w:t xml:space="preserve"> has developed regulations to Rare diseases, herbal medicines, herbal medicines and advanced therapy medicines.</w:t>
      </w:r>
    </w:p>
    <w:p w14:paraId="11D4A4A8" w14:textId="7099EE1C" w:rsidR="009C5F68" w:rsidRDefault="009C5F68" w:rsidP="009C5F68">
      <w:pPr>
        <w:rPr>
          <w:color w:val="000000" w:themeColor="text1"/>
          <w:sz w:val="36"/>
        </w:rPr>
      </w:pPr>
    </w:p>
    <w:p w14:paraId="44A0AAB7" w14:textId="77777777" w:rsidR="009C5F68" w:rsidRPr="009C5F68" w:rsidRDefault="009C5F68" w:rsidP="009C5F68">
      <w:pPr>
        <w:rPr>
          <w:color w:val="000000" w:themeColor="text1"/>
          <w:sz w:val="36"/>
        </w:rPr>
      </w:pPr>
      <w:r w:rsidRPr="009C5F68">
        <w:rPr>
          <w:color w:val="000000" w:themeColor="text1"/>
          <w:sz w:val="36"/>
          <w:lang w:val="en-IN"/>
        </w:rPr>
        <w:t xml:space="preserve">2001-EudraVigilance came into existence. </w:t>
      </w:r>
    </w:p>
    <w:p w14:paraId="62C2168E" w14:textId="77777777" w:rsidR="009C5F68" w:rsidRPr="009C5F68" w:rsidRDefault="009C5F68" w:rsidP="009C5F68">
      <w:pPr>
        <w:rPr>
          <w:color w:val="000000" w:themeColor="text1"/>
          <w:sz w:val="36"/>
        </w:rPr>
      </w:pPr>
      <w:r w:rsidRPr="009C5F68">
        <w:rPr>
          <w:color w:val="000000" w:themeColor="text1"/>
          <w:sz w:val="36"/>
          <w:lang w:val="en-IN"/>
        </w:rPr>
        <w:lastRenderedPageBreak/>
        <w:t>It is the official European database for managing and analysing information on suspected adverse reactions to medicines which have been authorized for the market or being studied in European clinical trials.</w:t>
      </w:r>
    </w:p>
    <w:p w14:paraId="5C50AA65" w14:textId="00B0FBBB" w:rsidR="009C5F68" w:rsidRDefault="009C5F68" w:rsidP="009C5F68">
      <w:pPr>
        <w:rPr>
          <w:color w:val="000000" w:themeColor="text1"/>
          <w:sz w:val="36"/>
        </w:rPr>
      </w:pPr>
    </w:p>
    <w:p w14:paraId="63A388F4" w14:textId="77777777" w:rsidR="009C5F68" w:rsidRPr="009C5F68" w:rsidRDefault="009C5F68" w:rsidP="009C5F68">
      <w:pPr>
        <w:rPr>
          <w:color w:val="000000" w:themeColor="text1"/>
          <w:sz w:val="36"/>
        </w:rPr>
      </w:pPr>
      <w:r w:rsidRPr="009C5F68">
        <w:rPr>
          <w:color w:val="000000" w:themeColor="text1"/>
          <w:sz w:val="36"/>
          <w:lang w:val="en-IN"/>
        </w:rPr>
        <w:t xml:space="preserve">2001-EudraVigilance came into existence. </w:t>
      </w:r>
    </w:p>
    <w:p w14:paraId="13C9D1F5" w14:textId="77777777" w:rsidR="009C5F68" w:rsidRPr="009C5F68" w:rsidRDefault="009C5F68" w:rsidP="009C5F68">
      <w:pPr>
        <w:rPr>
          <w:color w:val="000000" w:themeColor="text1"/>
          <w:sz w:val="36"/>
        </w:rPr>
      </w:pPr>
      <w:r w:rsidRPr="009C5F68">
        <w:rPr>
          <w:color w:val="000000" w:themeColor="text1"/>
          <w:sz w:val="36"/>
          <w:lang w:val="en-IN"/>
        </w:rPr>
        <w:t>It is the official European database for managing and analysing information on suspected adverse reactions to medicines which have been authorized for the market or being studied in European clinical trials.</w:t>
      </w:r>
    </w:p>
    <w:p w14:paraId="60D5F13E" w14:textId="77777777" w:rsidR="009C5F68" w:rsidRPr="009C5F68" w:rsidRDefault="009C5F68" w:rsidP="009C5F68">
      <w:pPr>
        <w:rPr>
          <w:color w:val="000000" w:themeColor="text1"/>
          <w:sz w:val="36"/>
        </w:rPr>
      </w:pPr>
      <w:r w:rsidRPr="009C5F68">
        <w:rPr>
          <w:color w:val="000000" w:themeColor="text1"/>
          <w:sz w:val="36"/>
          <w:lang w:val="en-IN"/>
        </w:rPr>
        <w:t xml:space="preserve">2012- New legislation in European pharmacovigilance </w:t>
      </w:r>
      <w:r w:rsidRPr="009C5F68">
        <w:rPr>
          <w:color w:val="000000" w:themeColor="text1"/>
          <w:sz w:val="36"/>
        </w:rPr>
        <w:t>(Directive 2010/84/EU).</w:t>
      </w:r>
    </w:p>
    <w:p w14:paraId="0A94B710" w14:textId="77777777" w:rsidR="009C5F68" w:rsidRPr="009C5F68" w:rsidRDefault="009C5F68" w:rsidP="009C5F68">
      <w:pPr>
        <w:rPr>
          <w:color w:val="000000" w:themeColor="text1"/>
          <w:sz w:val="36"/>
        </w:rPr>
      </w:pPr>
      <w:r w:rsidRPr="009C5F68">
        <w:rPr>
          <w:color w:val="000000" w:themeColor="text1"/>
          <w:sz w:val="36"/>
        </w:rPr>
        <w:t xml:space="preserve"> The pharmacovigilance is further amended in order to strengthen the patient safety and </w:t>
      </w:r>
      <w:proofErr w:type="spellStart"/>
      <w:r w:rsidRPr="009C5F68">
        <w:rPr>
          <w:color w:val="000000" w:themeColor="text1"/>
          <w:sz w:val="36"/>
        </w:rPr>
        <w:t>well being</w:t>
      </w:r>
      <w:proofErr w:type="spellEnd"/>
      <w:r w:rsidRPr="009C5F68">
        <w:rPr>
          <w:color w:val="000000" w:themeColor="text1"/>
          <w:sz w:val="36"/>
        </w:rPr>
        <w:t xml:space="preserve">. </w:t>
      </w:r>
    </w:p>
    <w:p w14:paraId="063F84A2" w14:textId="77777777" w:rsidR="009C5F68" w:rsidRPr="009C5F68" w:rsidRDefault="009C5F68" w:rsidP="009C5F68">
      <w:pPr>
        <w:rPr>
          <w:color w:val="000000" w:themeColor="text1"/>
          <w:sz w:val="36"/>
        </w:rPr>
      </w:pPr>
      <w:r w:rsidRPr="009C5F68">
        <w:rPr>
          <w:color w:val="000000" w:themeColor="text1"/>
          <w:sz w:val="36"/>
        </w:rPr>
        <w:t>The Good Pharmacovigilance practices came into existence.</w:t>
      </w:r>
    </w:p>
    <w:p w14:paraId="25C41ACC" w14:textId="77777777" w:rsidR="009C5F68" w:rsidRPr="009C5F68" w:rsidRDefault="009C5F68" w:rsidP="009C5F68">
      <w:pPr>
        <w:rPr>
          <w:color w:val="000000" w:themeColor="text1"/>
          <w:sz w:val="36"/>
        </w:rPr>
      </w:pPr>
      <w:r w:rsidRPr="009C5F68">
        <w:rPr>
          <w:color w:val="000000" w:themeColor="text1"/>
          <w:sz w:val="36"/>
          <w:lang w:val="en-IN"/>
        </w:rPr>
        <w:t xml:space="preserve">2017- The new </w:t>
      </w:r>
      <w:proofErr w:type="spellStart"/>
      <w:r w:rsidRPr="009C5F68">
        <w:rPr>
          <w:color w:val="000000" w:themeColor="text1"/>
          <w:sz w:val="36"/>
          <w:lang w:val="en-IN"/>
        </w:rPr>
        <w:t>EudraVigilance</w:t>
      </w:r>
      <w:proofErr w:type="spellEnd"/>
      <w:r w:rsidRPr="009C5F68">
        <w:rPr>
          <w:color w:val="000000" w:themeColor="text1"/>
          <w:sz w:val="36"/>
          <w:lang w:val="en-IN"/>
        </w:rPr>
        <w:t xml:space="preserve"> format was launched.</w:t>
      </w:r>
    </w:p>
    <w:p w14:paraId="6F44CCF0" w14:textId="77777777" w:rsidR="009C5F68" w:rsidRPr="009C5F68" w:rsidRDefault="009C5F68" w:rsidP="009C5F68">
      <w:pPr>
        <w:rPr>
          <w:color w:val="000000" w:themeColor="text1"/>
          <w:sz w:val="36"/>
        </w:rPr>
      </w:pPr>
      <w:r w:rsidRPr="009C5F68">
        <w:rPr>
          <w:color w:val="000000" w:themeColor="text1"/>
          <w:sz w:val="36"/>
        </w:rPr>
        <w:t xml:space="preserve"> The updated Pharmacovigilance </w:t>
      </w:r>
      <w:proofErr w:type="gramStart"/>
      <w:r w:rsidRPr="009C5F68">
        <w:rPr>
          <w:color w:val="000000" w:themeColor="text1"/>
          <w:sz w:val="36"/>
        </w:rPr>
        <w:t>legislation  had</w:t>
      </w:r>
      <w:proofErr w:type="gramEnd"/>
      <w:r w:rsidRPr="009C5F68">
        <w:rPr>
          <w:color w:val="000000" w:themeColor="text1"/>
          <w:sz w:val="36"/>
        </w:rPr>
        <w:t xml:space="preserve"> significant changes in electronic reporting  for suspected adverse drug reactions which supports better safety monitoring of drugs and more efficient system for stakeholders.</w:t>
      </w:r>
    </w:p>
    <w:p w14:paraId="20B5EFC1" w14:textId="77777777" w:rsidR="009C5F68" w:rsidRPr="009C5F68" w:rsidRDefault="009C5F68" w:rsidP="009C5F68">
      <w:pPr>
        <w:rPr>
          <w:color w:val="000000" w:themeColor="text1"/>
          <w:sz w:val="36"/>
        </w:rPr>
      </w:pPr>
    </w:p>
    <w:p w14:paraId="6227C423" w14:textId="77777777" w:rsidR="009C5F68" w:rsidRPr="009C5F68" w:rsidRDefault="009C5F68">
      <w:pPr>
        <w:rPr>
          <w:color w:val="000000" w:themeColor="text1"/>
          <w:sz w:val="36"/>
        </w:rPr>
      </w:pPr>
    </w:p>
    <w:sectPr w:rsidR="009C5F68" w:rsidRPr="009C5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E7A2D"/>
    <w:multiLevelType w:val="hybridMultilevel"/>
    <w:tmpl w:val="CC0A2392"/>
    <w:lvl w:ilvl="0" w:tplc="EBBAF2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94AB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6024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A89F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1A9C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522B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88BC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6C95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B00F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3D"/>
    <w:rsid w:val="000068F0"/>
    <w:rsid w:val="002C673D"/>
    <w:rsid w:val="003A69A1"/>
    <w:rsid w:val="009C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A8AE9"/>
  <w15:chartTrackingRefBased/>
  <w15:docId w15:val="{D337904E-DA2B-486E-BF03-E4B86B44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7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58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55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685</Words>
  <Characters>3908</Characters>
  <Application>Microsoft Office Word</Application>
  <DocSecurity>0</DocSecurity>
  <Lines>32</Lines>
  <Paragraphs>9</Paragraphs>
  <ScaleCrop>false</ScaleCrop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T.R</dc:creator>
  <cp:keywords/>
  <dc:description/>
  <cp:lastModifiedBy>Sreekanth T.R</cp:lastModifiedBy>
  <cp:revision>2</cp:revision>
  <dcterms:created xsi:type="dcterms:W3CDTF">2019-02-15T01:07:00Z</dcterms:created>
  <dcterms:modified xsi:type="dcterms:W3CDTF">2019-02-15T01:13:00Z</dcterms:modified>
</cp:coreProperties>
</file>