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343D" w14:textId="1D61CB63" w:rsidR="000B78B9" w:rsidRDefault="00FC1664">
      <w:pPr>
        <w:rPr>
          <w:color w:val="FF0000"/>
          <w:sz w:val="36"/>
          <w:u w:val="single"/>
        </w:rPr>
      </w:pPr>
      <w:r w:rsidRPr="00FC1664">
        <w:rPr>
          <w:color w:val="FF0000"/>
          <w:sz w:val="36"/>
          <w:u w:val="single"/>
        </w:rPr>
        <w:t>Module-7:</w:t>
      </w:r>
    </w:p>
    <w:p w14:paraId="4BC45F25" w14:textId="712D80B9" w:rsidR="00FC1664" w:rsidRDefault="00FC1664">
      <w:pPr>
        <w:rPr>
          <w:b/>
          <w:color w:val="000000" w:themeColor="text1"/>
          <w:sz w:val="36"/>
        </w:rPr>
      </w:pPr>
      <w:r w:rsidRPr="00FC1664">
        <w:rPr>
          <w:b/>
          <w:color w:val="000000" w:themeColor="text1"/>
          <w:sz w:val="36"/>
        </w:rPr>
        <w:t>European Good pharmacovigilance modules:</w:t>
      </w:r>
    </w:p>
    <w:p w14:paraId="79B01B0F" w14:textId="57CC50FC" w:rsidR="00E12269" w:rsidRDefault="00E122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Good Pharmacovigilance </w:t>
      </w:r>
      <w:r w:rsidR="001E1B69">
        <w:rPr>
          <w:color w:val="000000" w:themeColor="text1"/>
          <w:sz w:val="28"/>
          <w:szCs w:val="28"/>
        </w:rPr>
        <w:t>practices</w:t>
      </w:r>
      <w:r>
        <w:rPr>
          <w:color w:val="000000" w:themeColor="text1"/>
          <w:sz w:val="28"/>
          <w:szCs w:val="28"/>
        </w:rPr>
        <w:t xml:space="preserve"> came in to existence on 2012</w:t>
      </w:r>
      <w:r w:rsidR="001E1B69">
        <w:rPr>
          <w:color w:val="000000" w:themeColor="text1"/>
          <w:sz w:val="28"/>
          <w:szCs w:val="28"/>
        </w:rPr>
        <w:t>.</w:t>
      </w:r>
    </w:p>
    <w:p w14:paraId="53296666" w14:textId="77777777" w:rsidR="001E1B69" w:rsidRDefault="001E1B69" w:rsidP="001E1B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guidelines on GVP modules are described in two categories:</w:t>
      </w:r>
    </w:p>
    <w:p w14:paraId="1CB3BB1B" w14:textId="5422B93E" w:rsidR="001E1B69" w:rsidRPr="001E1B69" w:rsidRDefault="001E1B69" w:rsidP="001E1B6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E1B69">
        <w:rPr>
          <w:color w:val="000000" w:themeColor="text1"/>
          <w:sz w:val="28"/>
          <w:szCs w:val="28"/>
        </w:rPr>
        <w:t>Modules covering major Pharmacovigilance process.</w:t>
      </w:r>
    </w:p>
    <w:p w14:paraId="5CFABEB9" w14:textId="49BCD220" w:rsidR="001E1B69" w:rsidRDefault="001E1B69" w:rsidP="001E1B6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E1B69">
        <w:rPr>
          <w:color w:val="000000" w:themeColor="text1"/>
          <w:sz w:val="28"/>
          <w:szCs w:val="28"/>
        </w:rPr>
        <w:t>Product or population specific considerations.</w:t>
      </w:r>
    </w:p>
    <w:p w14:paraId="6BD5EB7E" w14:textId="581EEF71" w:rsidR="001E1B69" w:rsidRDefault="001E1B69" w:rsidP="001E1B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Pr="001E1B69">
        <w:rPr>
          <w:color w:val="000000" w:themeColor="text1"/>
          <w:sz w:val="28"/>
          <w:szCs w:val="28"/>
        </w:rPr>
        <w:t>Product or population specific considerations</w:t>
      </w:r>
      <w:r>
        <w:rPr>
          <w:color w:val="000000" w:themeColor="text1"/>
          <w:sz w:val="28"/>
          <w:szCs w:val="28"/>
        </w:rPr>
        <w:t xml:space="preserve"> are available for vaccines, biological medicinal products and the pediatric population. EMA considers two more chapters: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B69" w14:paraId="17B6FDAD" w14:textId="77777777" w:rsidTr="001E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EE98E" w14:textId="1F48E4ED" w:rsidR="001E1B69" w:rsidRPr="001E1B69" w:rsidRDefault="001E1B69" w:rsidP="001E1B6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E1B69">
              <w:rPr>
                <w:rFonts w:ascii="Verdana" w:hAnsi="Verdana"/>
                <w:bCs w:val="0"/>
                <w:color w:val="000000"/>
                <w:sz w:val="21"/>
                <w:szCs w:val="21"/>
              </w:rPr>
              <w:t>Chapter number</w:t>
            </w:r>
          </w:p>
        </w:tc>
        <w:tc>
          <w:tcPr>
            <w:tcW w:w="3117" w:type="dxa"/>
          </w:tcPr>
          <w:p w14:paraId="3FF2C647" w14:textId="7E0AF3D5" w:rsidR="001E1B69" w:rsidRPr="001E1B69" w:rsidRDefault="001E1B69" w:rsidP="001E1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E1B69">
              <w:rPr>
                <w:rFonts w:ascii="Verdana" w:hAnsi="Verdana"/>
                <w:bCs w:val="0"/>
                <w:color w:val="000000"/>
                <w:sz w:val="21"/>
                <w:szCs w:val="21"/>
              </w:rPr>
              <w:t>Preliminary chapter title</w:t>
            </w:r>
          </w:p>
        </w:tc>
        <w:tc>
          <w:tcPr>
            <w:tcW w:w="3117" w:type="dxa"/>
          </w:tcPr>
          <w:p w14:paraId="0CDF31F9" w14:textId="77777777" w:rsidR="001E1B69" w:rsidRPr="001E1B69" w:rsidRDefault="001E1B69" w:rsidP="001E1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 w:val="0"/>
                <w:bCs w:val="0"/>
                <w:color w:val="000000"/>
              </w:rPr>
              <w:br/>
            </w:r>
            <w:r w:rsidRPr="001E1B69">
              <w:rPr>
                <w:rFonts w:ascii="Verdana" w:hAnsi="Verdana"/>
                <w:bCs w:val="0"/>
                <w:color w:val="000000"/>
              </w:rPr>
              <w:t>Date of release for public consultation</w:t>
            </w:r>
          </w:p>
          <w:p w14:paraId="5FAD5587" w14:textId="77777777" w:rsidR="001E1B69" w:rsidRDefault="001E1B69" w:rsidP="001E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1E1B69" w14:paraId="28387895" w14:textId="77777777" w:rsidTr="001E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2EA352" w14:textId="730E7FD9" w:rsidR="001E1B69" w:rsidRDefault="001E1B69" w:rsidP="001E1B69">
            <w:pPr>
              <w:rPr>
                <w:color w:val="000000" w:themeColor="text1"/>
                <w:sz w:val="28"/>
                <w:szCs w:val="28"/>
              </w:rPr>
            </w:pPr>
            <w:bookmarkStart w:id="0" w:name="_Hlk279565"/>
            <w:bookmarkStart w:id="1" w:name="_GoBack" w:colFirst="2" w:colLast="2"/>
            <w:r>
              <w:rPr>
                <w:color w:val="000000" w:themeColor="text1"/>
                <w:sz w:val="28"/>
                <w:szCs w:val="28"/>
              </w:rPr>
              <w:t>PIII</w:t>
            </w:r>
          </w:p>
        </w:tc>
        <w:tc>
          <w:tcPr>
            <w:tcW w:w="3117" w:type="dxa"/>
          </w:tcPr>
          <w:p w14:paraId="323C79F3" w14:textId="5864CD57" w:rsidR="001E1B69" w:rsidRDefault="001E1B69" w:rsidP="001E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E1B69">
              <w:rPr>
                <w:color w:val="000000" w:themeColor="text1"/>
                <w:sz w:val="28"/>
                <w:szCs w:val="28"/>
              </w:rPr>
              <w:t>Pregnancy and breast-feeding</w:t>
            </w:r>
          </w:p>
        </w:tc>
        <w:tc>
          <w:tcPr>
            <w:tcW w:w="3117" w:type="dxa"/>
          </w:tcPr>
          <w:p w14:paraId="551F2E1A" w14:textId="167B0B92" w:rsidR="001E1B69" w:rsidRDefault="001E1B69" w:rsidP="001E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BEBEB"/>
              </w:rPr>
              <w:t>Q1/Q2 2019</w:t>
            </w:r>
          </w:p>
        </w:tc>
      </w:tr>
      <w:bookmarkEnd w:id="0"/>
      <w:bookmarkEnd w:id="1"/>
      <w:tr w:rsidR="001E1B69" w14:paraId="76E17287" w14:textId="77777777" w:rsidTr="001E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76BD81" w14:textId="4E627E18" w:rsidR="001E1B69" w:rsidRDefault="001E1B69" w:rsidP="001E1B6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PV</w:t>
            </w:r>
          </w:p>
        </w:tc>
        <w:tc>
          <w:tcPr>
            <w:tcW w:w="3117" w:type="dxa"/>
          </w:tcPr>
          <w:p w14:paraId="7B50BB60" w14:textId="30B20493" w:rsidR="001E1B69" w:rsidRDefault="001E1B69" w:rsidP="001E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E1B69">
              <w:rPr>
                <w:color w:val="000000" w:themeColor="text1"/>
                <w:sz w:val="28"/>
                <w:szCs w:val="28"/>
              </w:rPr>
              <w:t>Geriatric population</w:t>
            </w:r>
          </w:p>
        </w:tc>
        <w:tc>
          <w:tcPr>
            <w:tcW w:w="3117" w:type="dxa"/>
          </w:tcPr>
          <w:p w14:paraId="633156F2" w14:textId="40F86EC7" w:rsidR="001E1B69" w:rsidRDefault="001E1B69" w:rsidP="001E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To be announced</w:t>
            </w:r>
          </w:p>
        </w:tc>
      </w:tr>
    </w:tbl>
    <w:p w14:paraId="35D49406" w14:textId="77777777" w:rsidR="001E1B69" w:rsidRPr="001E1B69" w:rsidRDefault="001E1B69" w:rsidP="001E1B69">
      <w:pPr>
        <w:rPr>
          <w:color w:val="000000" w:themeColor="text1"/>
          <w:sz w:val="28"/>
          <w:szCs w:val="28"/>
        </w:rPr>
      </w:pPr>
    </w:p>
    <w:p w14:paraId="6F0C4F90" w14:textId="472E6D54" w:rsidR="00FC1664" w:rsidRDefault="001E1B69">
      <w:pPr>
        <w:rPr>
          <w:color w:val="000000" w:themeColor="text1"/>
          <w:sz w:val="36"/>
        </w:rPr>
      </w:pPr>
      <w:r w:rsidRPr="001E1B69">
        <w:rPr>
          <w:color w:val="000000" w:themeColor="text1"/>
          <w:sz w:val="36"/>
        </w:rPr>
        <w:t>This information is freely available in EMA website.</w:t>
      </w:r>
    </w:p>
    <w:p w14:paraId="5B2518CA" w14:textId="5DCD8D95" w:rsidR="001E1B69" w:rsidRDefault="001E1B69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Major Pharmacovigilance process includes </w:t>
      </w:r>
      <w:r w:rsidR="00D6690A">
        <w:rPr>
          <w:color w:val="000000" w:themeColor="text1"/>
          <w:sz w:val="36"/>
        </w:rPr>
        <w:t xml:space="preserve">GVP </w:t>
      </w:r>
      <w:r>
        <w:rPr>
          <w:color w:val="000000" w:themeColor="text1"/>
          <w:sz w:val="36"/>
        </w:rPr>
        <w:t>modules from I to XVI.</w:t>
      </w:r>
      <w:r w:rsidR="00D6690A">
        <w:rPr>
          <w:color w:val="000000" w:themeColor="text1"/>
          <w:sz w:val="36"/>
        </w:rPr>
        <w:t xml:space="preserve"> Modules XI, XII, XIII, XIV are discussed in the guidance documents on the Agency website and as such not described in the </w:t>
      </w:r>
      <w:r w:rsidR="00560122">
        <w:rPr>
          <w:color w:val="000000" w:themeColor="text1"/>
          <w:sz w:val="36"/>
        </w:rPr>
        <w:t>module’s</w:t>
      </w:r>
      <w:r w:rsidR="00D6690A">
        <w:rPr>
          <w:color w:val="000000" w:themeColor="text1"/>
          <w:sz w:val="36"/>
        </w:rPr>
        <w:t xml:space="preserve"> mode.</w:t>
      </w:r>
    </w:p>
    <w:p w14:paraId="4087F897" w14:textId="6D47BB88" w:rsidR="00560122" w:rsidRDefault="0056012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 small and brief explanation of each module:</w:t>
      </w:r>
    </w:p>
    <w:p w14:paraId="73F2454B" w14:textId="24951166" w:rsidR="00560122" w:rsidRPr="00DF4F4D" w:rsidRDefault="00560122">
      <w:pPr>
        <w:rPr>
          <w:b/>
          <w:color w:val="000000" w:themeColor="text1"/>
          <w:sz w:val="36"/>
        </w:rPr>
      </w:pPr>
      <w:r w:rsidRPr="00DF4F4D">
        <w:rPr>
          <w:b/>
          <w:color w:val="000000" w:themeColor="text1"/>
          <w:sz w:val="36"/>
        </w:rPr>
        <w:t>GVP Module I:</w:t>
      </w:r>
      <w:r w:rsidR="00F7389A" w:rsidRPr="00DF4F4D">
        <w:rPr>
          <w:b/>
          <w:color w:val="000000" w:themeColor="text1"/>
          <w:sz w:val="36"/>
        </w:rPr>
        <w:t xml:space="preserve"> P</w:t>
      </w:r>
      <w:r w:rsidR="00A825DD" w:rsidRPr="00DF4F4D">
        <w:rPr>
          <w:b/>
          <w:color w:val="000000" w:themeColor="text1"/>
          <w:sz w:val="36"/>
        </w:rPr>
        <w:t>harmacovigilance systems and their quality systems</w:t>
      </w:r>
      <w:r w:rsidR="00F7389A" w:rsidRPr="00DF4F4D">
        <w:rPr>
          <w:b/>
          <w:color w:val="000000" w:themeColor="text1"/>
          <w:sz w:val="36"/>
        </w:rPr>
        <w:t>.</w:t>
      </w:r>
    </w:p>
    <w:p w14:paraId="05C931DA" w14:textId="36B4EA79" w:rsidR="00F7389A" w:rsidRDefault="00F7389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It covers the </w:t>
      </w:r>
    </w:p>
    <w:p w14:paraId="55940331" w14:textId="49F44818" w:rsidR="00250F3C" w:rsidRPr="00250F3C" w:rsidRDefault="00250F3C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 w:rsidRPr="00250F3C">
        <w:rPr>
          <w:color w:val="000000" w:themeColor="text1"/>
          <w:sz w:val="36"/>
        </w:rPr>
        <w:t>Over all organizational structure</w:t>
      </w:r>
    </w:p>
    <w:p w14:paraId="3B7EAABE" w14:textId="02AA139F" w:rsidR="00250F3C" w:rsidRPr="00250F3C" w:rsidRDefault="00636ABB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The Pharmacovigilance system</w:t>
      </w:r>
      <w:r w:rsidR="00250F3C" w:rsidRPr="00250F3C">
        <w:rPr>
          <w:color w:val="000000" w:themeColor="text1"/>
          <w:sz w:val="36"/>
        </w:rPr>
        <w:t xml:space="preserve"> responsibilities</w:t>
      </w:r>
    </w:p>
    <w:p w14:paraId="50C3B9AB" w14:textId="50D8539F" w:rsidR="00250F3C" w:rsidRPr="00250F3C" w:rsidRDefault="00250F3C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 w:rsidRPr="00250F3C">
        <w:rPr>
          <w:color w:val="000000" w:themeColor="text1"/>
          <w:sz w:val="36"/>
        </w:rPr>
        <w:t>Complete procedures</w:t>
      </w:r>
      <w:r w:rsidR="00636ABB">
        <w:rPr>
          <w:color w:val="000000" w:themeColor="text1"/>
          <w:sz w:val="36"/>
        </w:rPr>
        <w:t xml:space="preserve"> of the system</w:t>
      </w:r>
    </w:p>
    <w:p w14:paraId="16F1359E" w14:textId="160CDC2C" w:rsidR="00250F3C" w:rsidRPr="00250F3C" w:rsidRDefault="00250F3C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 w:rsidRPr="00250F3C">
        <w:rPr>
          <w:color w:val="000000" w:themeColor="text1"/>
          <w:sz w:val="36"/>
        </w:rPr>
        <w:t>Process and Resources of the system</w:t>
      </w:r>
    </w:p>
    <w:p w14:paraId="25EC2DB7" w14:textId="7A1CB65E" w:rsidR="00250F3C" w:rsidRPr="00250F3C" w:rsidRDefault="00250F3C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 w:rsidRPr="00250F3C">
        <w:rPr>
          <w:color w:val="000000" w:themeColor="text1"/>
          <w:sz w:val="36"/>
        </w:rPr>
        <w:t xml:space="preserve">Appropriate resource </w:t>
      </w:r>
      <w:r w:rsidR="00636ABB" w:rsidRPr="00250F3C">
        <w:rPr>
          <w:color w:val="000000" w:themeColor="text1"/>
          <w:sz w:val="36"/>
        </w:rPr>
        <w:t xml:space="preserve">management </w:t>
      </w:r>
      <w:r w:rsidR="00636ABB">
        <w:rPr>
          <w:color w:val="000000" w:themeColor="text1"/>
          <w:sz w:val="36"/>
        </w:rPr>
        <w:t>of the system</w:t>
      </w:r>
    </w:p>
    <w:p w14:paraId="11B8C976" w14:textId="78AE1021" w:rsidR="00250F3C" w:rsidRPr="00250F3C" w:rsidRDefault="00250F3C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 w:rsidRPr="00250F3C">
        <w:rPr>
          <w:color w:val="000000" w:themeColor="text1"/>
          <w:sz w:val="36"/>
        </w:rPr>
        <w:t>Compliance management</w:t>
      </w:r>
    </w:p>
    <w:p w14:paraId="7C051BAA" w14:textId="18DCE1C2" w:rsidR="00250F3C" w:rsidRDefault="00250F3C" w:rsidP="00250F3C">
      <w:pPr>
        <w:pStyle w:val="ListParagraph"/>
        <w:numPr>
          <w:ilvl w:val="0"/>
          <w:numId w:val="3"/>
        </w:numPr>
        <w:rPr>
          <w:color w:val="000000" w:themeColor="text1"/>
          <w:sz w:val="36"/>
        </w:rPr>
      </w:pPr>
      <w:r w:rsidRPr="00250F3C">
        <w:rPr>
          <w:color w:val="000000" w:themeColor="text1"/>
          <w:sz w:val="36"/>
        </w:rPr>
        <w:t>Record management.</w:t>
      </w:r>
    </w:p>
    <w:p w14:paraId="6CCD7FCE" w14:textId="5CB51826" w:rsidR="00636ABB" w:rsidRDefault="00636ABB" w:rsidP="00636ABB">
      <w:pPr>
        <w:ind w:left="360"/>
        <w:rPr>
          <w:b/>
          <w:color w:val="000000" w:themeColor="text1"/>
          <w:sz w:val="36"/>
        </w:rPr>
      </w:pPr>
      <w:r w:rsidRPr="00636ABB">
        <w:rPr>
          <w:b/>
          <w:color w:val="000000" w:themeColor="text1"/>
          <w:sz w:val="36"/>
        </w:rPr>
        <w:t>GVP Module II:  Pharmacovigilance system master file</w:t>
      </w:r>
      <w:r>
        <w:rPr>
          <w:b/>
          <w:color w:val="000000" w:themeColor="text1"/>
          <w:sz w:val="36"/>
        </w:rPr>
        <w:t xml:space="preserve"> (PSMF)</w:t>
      </w:r>
      <w:r w:rsidRPr="00636ABB">
        <w:rPr>
          <w:b/>
          <w:color w:val="000000" w:themeColor="text1"/>
          <w:sz w:val="36"/>
        </w:rPr>
        <w:t>.</w:t>
      </w:r>
    </w:p>
    <w:p w14:paraId="2A6C643D" w14:textId="5585A903" w:rsidR="00636ABB" w:rsidRDefault="00636ABB" w:rsidP="00636ABB">
      <w:pPr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PSMF is a legal requirement in Europe.</w:t>
      </w:r>
    </w:p>
    <w:p w14:paraId="03B1C052" w14:textId="56470E7F" w:rsidR="00636ABB" w:rsidRDefault="00636ABB" w:rsidP="00636ABB">
      <w:pPr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It contains information related to:</w:t>
      </w:r>
    </w:p>
    <w:p w14:paraId="7F0404EF" w14:textId="65CB8915" w:rsidR="00636ABB" w:rsidRPr="00333F8F" w:rsidRDefault="00636ABB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Location of the PSMF and where is it registered.</w:t>
      </w:r>
    </w:p>
    <w:p w14:paraId="4C56DEFE" w14:textId="6437BECA" w:rsidR="00636ABB" w:rsidRPr="00333F8F" w:rsidRDefault="00636ABB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Complete contact details of QPPV.</w:t>
      </w:r>
    </w:p>
    <w:p w14:paraId="499F37CE" w14:textId="6F4784DD" w:rsidR="00636ABB" w:rsidRPr="00333F8F" w:rsidRDefault="00333F8F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Organizational</w:t>
      </w:r>
      <w:r w:rsidR="00636ABB" w:rsidRPr="00333F8F">
        <w:rPr>
          <w:color w:val="000000" w:themeColor="text1"/>
          <w:sz w:val="36"/>
        </w:rPr>
        <w:t xml:space="preserve"> structure of marketing authorization holder</w:t>
      </w:r>
      <w:r w:rsidRPr="00333F8F">
        <w:rPr>
          <w:color w:val="000000" w:themeColor="text1"/>
          <w:sz w:val="36"/>
        </w:rPr>
        <w:t>.</w:t>
      </w:r>
    </w:p>
    <w:p w14:paraId="2D282044" w14:textId="1B880F8C" w:rsidR="00333F8F" w:rsidRPr="00333F8F" w:rsidRDefault="00333F8F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Various sources of safety data</w:t>
      </w:r>
    </w:p>
    <w:p w14:paraId="4DC9303F" w14:textId="260DED41" w:rsidR="00333F8F" w:rsidRPr="00333F8F" w:rsidRDefault="00333F8F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Details of database and computerized systems</w:t>
      </w:r>
    </w:p>
    <w:p w14:paraId="7F539C12" w14:textId="48FE1A1C" w:rsidR="00333F8F" w:rsidRPr="00333F8F" w:rsidRDefault="00333F8F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The complete Pharmacovigilance processes</w:t>
      </w:r>
    </w:p>
    <w:p w14:paraId="01305108" w14:textId="25C1175C" w:rsidR="00333F8F" w:rsidRDefault="00333F8F" w:rsidP="00333F8F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333F8F">
        <w:rPr>
          <w:color w:val="000000" w:themeColor="text1"/>
          <w:sz w:val="36"/>
        </w:rPr>
        <w:t>Quality management system.</w:t>
      </w:r>
    </w:p>
    <w:p w14:paraId="7BA9EEAC" w14:textId="24FB70B2" w:rsidR="00333F8F" w:rsidRDefault="00333F8F" w:rsidP="00333F8F">
      <w:pPr>
        <w:rPr>
          <w:b/>
          <w:color w:val="000000" w:themeColor="text1"/>
          <w:sz w:val="36"/>
        </w:rPr>
      </w:pPr>
      <w:r w:rsidRPr="00333F8F">
        <w:rPr>
          <w:b/>
          <w:color w:val="000000" w:themeColor="text1"/>
          <w:sz w:val="36"/>
        </w:rPr>
        <w:t>GVP Module III:</w:t>
      </w:r>
      <w:r>
        <w:rPr>
          <w:b/>
          <w:color w:val="000000" w:themeColor="text1"/>
          <w:sz w:val="36"/>
        </w:rPr>
        <w:t xml:space="preserve"> </w:t>
      </w:r>
      <w:r w:rsidRPr="00333F8F">
        <w:rPr>
          <w:b/>
          <w:color w:val="000000" w:themeColor="text1"/>
          <w:sz w:val="36"/>
        </w:rPr>
        <w:t>Pharmacovigilance inspections</w:t>
      </w:r>
      <w:r>
        <w:rPr>
          <w:b/>
          <w:color w:val="000000" w:themeColor="text1"/>
          <w:sz w:val="36"/>
        </w:rPr>
        <w:t>.</w:t>
      </w:r>
    </w:p>
    <w:p w14:paraId="5D1F30CF" w14:textId="6E4E8557" w:rsidR="00333F8F" w:rsidRDefault="00333F8F" w:rsidP="00333F8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Pharmacovigilance inspections </w:t>
      </w:r>
      <w:r w:rsidR="005C4382">
        <w:rPr>
          <w:color w:val="000000" w:themeColor="text1"/>
          <w:sz w:val="36"/>
        </w:rPr>
        <w:t xml:space="preserve">can be </w:t>
      </w:r>
    </w:p>
    <w:p w14:paraId="555E4A2C" w14:textId="599F9A27" w:rsidR="005C4382" w:rsidRPr="005C4382" w:rsidRDefault="005C4382" w:rsidP="005C4382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5C4382">
        <w:rPr>
          <w:color w:val="000000" w:themeColor="text1"/>
          <w:sz w:val="36"/>
        </w:rPr>
        <w:t>Routine Inspections-which occurs as a routine follow up.</w:t>
      </w:r>
    </w:p>
    <w:p w14:paraId="5AE9A953" w14:textId="029A00EA" w:rsidR="005C4382" w:rsidRPr="005C4382" w:rsidRDefault="005C4382" w:rsidP="005C4382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5C4382">
        <w:rPr>
          <w:color w:val="000000" w:themeColor="text1"/>
          <w:sz w:val="36"/>
        </w:rPr>
        <w:t>For cause inspections-which occurs suspected non-compliance or potential risks that can impact public safety.</w:t>
      </w:r>
    </w:p>
    <w:p w14:paraId="6921C7A1" w14:textId="45E7590E" w:rsidR="005C4382" w:rsidRPr="005C4382" w:rsidRDefault="005C4382" w:rsidP="005C4382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5C4382">
        <w:rPr>
          <w:color w:val="000000" w:themeColor="text1"/>
          <w:sz w:val="36"/>
        </w:rPr>
        <w:t>System and product related inspections</w:t>
      </w:r>
    </w:p>
    <w:p w14:paraId="57505AF5" w14:textId="461B643B" w:rsidR="005C4382" w:rsidRDefault="005C4382" w:rsidP="005C4382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5C4382">
        <w:rPr>
          <w:color w:val="000000" w:themeColor="text1"/>
          <w:sz w:val="36"/>
        </w:rPr>
        <w:lastRenderedPageBreak/>
        <w:t>Pre-authorization and post authorization inspections.</w:t>
      </w:r>
    </w:p>
    <w:p w14:paraId="23E0F29E" w14:textId="1CBD61B0" w:rsidR="005C4382" w:rsidRDefault="005C4382" w:rsidP="005C4382">
      <w:pPr>
        <w:rPr>
          <w:b/>
          <w:color w:val="000000" w:themeColor="text1"/>
          <w:sz w:val="36"/>
        </w:rPr>
      </w:pPr>
      <w:r w:rsidRPr="005C4382">
        <w:rPr>
          <w:b/>
          <w:color w:val="000000" w:themeColor="text1"/>
          <w:sz w:val="36"/>
        </w:rPr>
        <w:t>GVP module IV: Pharmacovigilance audits</w:t>
      </w:r>
      <w:r>
        <w:rPr>
          <w:b/>
          <w:color w:val="000000" w:themeColor="text1"/>
          <w:sz w:val="36"/>
        </w:rPr>
        <w:t>.</w:t>
      </w:r>
    </w:p>
    <w:p w14:paraId="285964F2" w14:textId="113FB001" w:rsidR="005C4382" w:rsidRDefault="00CA4AFF" w:rsidP="005C438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Audits </w:t>
      </w:r>
      <w:r w:rsidR="00B60661">
        <w:rPr>
          <w:color w:val="000000" w:themeColor="text1"/>
          <w:sz w:val="36"/>
        </w:rPr>
        <w:t xml:space="preserve">verifies the implementation and operations of the pharmacovigilance systems. </w:t>
      </w:r>
    </w:p>
    <w:p w14:paraId="534FD813" w14:textId="7B6FAF49" w:rsidR="000B7562" w:rsidRDefault="000B7562" w:rsidP="005C438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It can be:</w:t>
      </w:r>
    </w:p>
    <w:p w14:paraId="06A4879F" w14:textId="2EA33AD1" w:rsidR="000B7562" w:rsidRPr="000B7562" w:rsidRDefault="000B7562" w:rsidP="000B7562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 w:rsidRPr="000B7562">
        <w:rPr>
          <w:color w:val="000000" w:themeColor="text1"/>
          <w:sz w:val="36"/>
        </w:rPr>
        <w:t>Strategic level audit planning</w:t>
      </w:r>
    </w:p>
    <w:p w14:paraId="7E6B29C6" w14:textId="3E44C792" w:rsidR="000B7562" w:rsidRDefault="000B7562" w:rsidP="000B7562">
      <w:pPr>
        <w:pStyle w:val="ListParagraph"/>
        <w:numPr>
          <w:ilvl w:val="0"/>
          <w:numId w:val="6"/>
        </w:numPr>
        <w:rPr>
          <w:color w:val="000000" w:themeColor="text1"/>
          <w:sz w:val="36"/>
        </w:rPr>
      </w:pPr>
      <w:r w:rsidRPr="000B7562">
        <w:rPr>
          <w:color w:val="000000" w:themeColor="text1"/>
          <w:sz w:val="36"/>
        </w:rPr>
        <w:t>Tactical level audit planning</w:t>
      </w:r>
    </w:p>
    <w:p w14:paraId="6FA9044D" w14:textId="74A631DF" w:rsidR="000B7562" w:rsidRDefault="000B7562" w:rsidP="000B7562">
      <w:pPr>
        <w:rPr>
          <w:b/>
          <w:color w:val="000000" w:themeColor="text1"/>
          <w:sz w:val="36"/>
        </w:rPr>
      </w:pPr>
      <w:r w:rsidRPr="000B7562">
        <w:rPr>
          <w:b/>
          <w:color w:val="000000" w:themeColor="text1"/>
          <w:sz w:val="36"/>
        </w:rPr>
        <w:t>GVP module V: Risk management system:</w:t>
      </w:r>
    </w:p>
    <w:p w14:paraId="26D44122" w14:textId="35DABFBF" w:rsidR="000B7562" w:rsidRDefault="000B7562" w:rsidP="000B7562">
      <w:pPr>
        <w:rPr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 </w:t>
      </w:r>
      <w:r w:rsidR="00A4065D">
        <w:rPr>
          <w:color w:val="000000" w:themeColor="text1"/>
          <w:sz w:val="36"/>
        </w:rPr>
        <w:t>The main of the system is the appropriate risk management thorough out the life cycle of the product.</w:t>
      </w:r>
    </w:p>
    <w:p w14:paraId="0922404F" w14:textId="77519F2C" w:rsidR="00A4065D" w:rsidRDefault="00A4065D" w:rsidP="000B756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Risk management plan (RMP) is a dynamic document which will be updated through the life cycle of the product.</w:t>
      </w:r>
    </w:p>
    <w:p w14:paraId="430FDF9C" w14:textId="77777777" w:rsidR="00A4065D" w:rsidRDefault="00A4065D" w:rsidP="000B756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RMP explains the safety concerns: </w:t>
      </w:r>
    </w:p>
    <w:p w14:paraId="115460E2" w14:textId="7F859772" w:rsidR="00A4065D" w:rsidRPr="00A4065D" w:rsidRDefault="00A4065D" w:rsidP="00A4065D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 w:rsidRPr="00A4065D">
        <w:rPr>
          <w:color w:val="000000" w:themeColor="text1"/>
          <w:sz w:val="36"/>
        </w:rPr>
        <w:t>Important identified risk</w:t>
      </w:r>
    </w:p>
    <w:p w14:paraId="156F39C0" w14:textId="77777777" w:rsidR="00A4065D" w:rsidRPr="00A4065D" w:rsidRDefault="00A4065D" w:rsidP="00A4065D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 w:rsidRPr="00A4065D">
        <w:rPr>
          <w:color w:val="000000" w:themeColor="text1"/>
          <w:sz w:val="36"/>
        </w:rPr>
        <w:t>Important potential risk and</w:t>
      </w:r>
    </w:p>
    <w:p w14:paraId="07D7F60E" w14:textId="2524E462" w:rsidR="00A4065D" w:rsidRDefault="00A4065D" w:rsidP="00A4065D">
      <w:pPr>
        <w:pStyle w:val="ListParagraph"/>
        <w:numPr>
          <w:ilvl w:val="0"/>
          <w:numId w:val="7"/>
        </w:numPr>
        <w:rPr>
          <w:color w:val="000000" w:themeColor="text1"/>
          <w:sz w:val="36"/>
        </w:rPr>
      </w:pPr>
      <w:r w:rsidRPr="00A4065D">
        <w:rPr>
          <w:color w:val="000000" w:themeColor="text1"/>
          <w:sz w:val="36"/>
        </w:rPr>
        <w:t>missing information</w:t>
      </w:r>
    </w:p>
    <w:p w14:paraId="135A3A9A" w14:textId="6AC97EA3" w:rsidR="00A4065D" w:rsidRDefault="00A4065D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If any change these safety concerns an update of RMP will be required.</w:t>
      </w:r>
    </w:p>
    <w:p w14:paraId="4F0C33F1" w14:textId="3B049391" w:rsidR="00A4065D" w:rsidRDefault="00A4065D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Any important safety information for a product which requires additional risk minimization measures will be </w:t>
      </w:r>
      <w:r w:rsidR="00D967A8">
        <w:rPr>
          <w:color w:val="000000" w:themeColor="text1"/>
          <w:sz w:val="36"/>
        </w:rPr>
        <w:t>explained</w:t>
      </w:r>
      <w:r>
        <w:rPr>
          <w:color w:val="000000" w:themeColor="text1"/>
          <w:sz w:val="36"/>
        </w:rPr>
        <w:t xml:space="preserve"> in the RMP.</w:t>
      </w:r>
    </w:p>
    <w:p w14:paraId="40FA361E" w14:textId="77777777" w:rsidR="00A4065D" w:rsidRDefault="00A4065D" w:rsidP="00A4065D">
      <w:pPr>
        <w:rPr>
          <w:color w:val="000000" w:themeColor="text1"/>
          <w:sz w:val="36"/>
        </w:rPr>
      </w:pPr>
    </w:p>
    <w:p w14:paraId="620471D3" w14:textId="0A4BD42F" w:rsidR="00A4065D" w:rsidRDefault="00A4065D" w:rsidP="00A4065D">
      <w:pPr>
        <w:rPr>
          <w:b/>
          <w:color w:val="000000" w:themeColor="text1"/>
          <w:sz w:val="36"/>
        </w:rPr>
      </w:pPr>
      <w:r w:rsidRPr="005C4382">
        <w:rPr>
          <w:b/>
          <w:color w:val="000000" w:themeColor="text1"/>
          <w:sz w:val="36"/>
        </w:rPr>
        <w:lastRenderedPageBreak/>
        <w:t>GVP module V</w:t>
      </w:r>
      <w:r>
        <w:rPr>
          <w:b/>
          <w:color w:val="000000" w:themeColor="text1"/>
          <w:sz w:val="36"/>
        </w:rPr>
        <w:t>I</w:t>
      </w:r>
      <w:r w:rsidRPr="005C4382">
        <w:rPr>
          <w:b/>
          <w:color w:val="000000" w:themeColor="text1"/>
          <w:sz w:val="36"/>
        </w:rPr>
        <w:t>:</w:t>
      </w:r>
      <w:r>
        <w:rPr>
          <w:b/>
          <w:color w:val="000000" w:themeColor="text1"/>
          <w:sz w:val="36"/>
        </w:rPr>
        <w:t xml:space="preserve"> </w:t>
      </w:r>
      <w:r w:rsidRPr="00A4065D">
        <w:rPr>
          <w:b/>
          <w:color w:val="000000" w:themeColor="text1"/>
          <w:sz w:val="36"/>
        </w:rPr>
        <w:t>Collection, management and submission of reports of suspected</w:t>
      </w:r>
      <w:r>
        <w:rPr>
          <w:b/>
          <w:color w:val="000000" w:themeColor="text1"/>
          <w:sz w:val="36"/>
        </w:rPr>
        <w:t xml:space="preserve"> </w:t>
      </w:r>
      <w:r w:rsidRPr="00A4065D">
        <w:rPr>
          <w:b/>
          <w:color w:val="000000" w:themeColor="text1"/>
          <w:sz w:val="36"/>
        </w:rPr>
        <w:t>adverse reactions to medicinal products</w:t>
      </w:r>
      <w:r>
        <w:rPr>
          <w:b/>
          <w:color w:val="000000" w:themeColor="text1"/>
          <w:sz w:val="36"/>
        </w:rPr>
        <w:t>.</w:t>
      </w:r>
    </w:p>
    <w:p w14:paraId="1A17BB5C" w14:textId="3A73F24D" w:rsidR="00A4065D" w:rsidRDefault="00A4065D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This module completely explains the collection of Individual case safety reports (ICSRs) and the sources of the ICSRs, </w:t>
      </w:r>
      <w:r w:rsidR="00D935C8">
        <w:rPr>
          <w:color w:val="000000" w:themeColor="text1"/>
          <w:sz w:val="36"/>
        </w:rPr>
        <w:t>and the reporting timelines of the ICSRS.</w:t>
      </w:r>
    </w:p>
    <w:p w14:paraId="0D2359CE" w14:textId="732B0492" w:rsidR="00D935C8" w:rsidRDefault="00D935C8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This stays a basic document for the safety associates and physicians for the case processing.</w:t>
      </w:r>
    </w:p>
    <w:p w14:paraId="545B4282" w14:textId="5E6BBD13" w:rsidR="00D935C8" w:rsidRDefault="00D935C8" w:rsidP="00A4065D">
      <w:pPr>
        <w:rPr>
          <w:b/>
          <w:color w:val="000000" w:themeColor="text1"/>
          <w:sz w:val="36"/>
        </w:rPr>
      </w:pPr>
      <w:r w:rsidRPr="005C4382">
        <w:rPr>
          <w:b/>
          <w:color w:val="000000" w:themeColor="text1"/>
          <w:sz w:val="36"/>
        </w:rPr>
        <w:t>GVP module V</w:t>
      </w:r>
      <w:r>
        <w:rPr>
          <w:b/>
          <w:color w:val="000000" w:themeColor="text1"/>
          <w:sz w:val="36"/>
        </w:rPr>
        <w:t xml:space="preserve">II: </w:t>
      </w:r>
      <w:r w:rsidRPr="00D935C8">
        <w:rPr>
          <w:b/>
          <w:color w:val="000000" w:themeColor="text1"/>
          <w:sz w:val="36"/>
        </w:rPr>
        <w:t>Periodic safety update report</w:t>
      </w:r>
      <w:r>
        <w:rPr>
          <w:b/>
          <w:color w:val="000000" w:themeColor="text1"/>
          <w:sz w:val="36"/>
        </w:rPr>
        <w:t xml:space="preserve"> (PSUR)</w:t>
      </w:r>
    </w:p>
    <w:p w14:paraId="6641633B" w14:textId="3E0C4F50" w:rsidR="00D935C8" w:rsidRDefault="00D935C8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Periodic safety reports are the reports which are updated on a regular basis estimating the benefits and risks of a medicinal product.</w:t>
      </w:r>
    </w:p>
    <w:p w14:paraId="794B75E4" w14:textId="1BA625B2" w:rsidR="006B4D5A" w:rsidRDefault="006B4D5A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This is not the document to identify and inform the information which is </w:t>
      </w:r>
      <w:proofErr w:type="gramStart"/>
      <w:r>
        <w:rPr>
          <w:color w:val="000000" w:themeColor="text1"/>
          <w:sz w:val="36"/>
        </w:rPr>
        <w:t>crucial</w:t>
      </w:r>
      <w:proofErr w:type="gramEnd"/>
      <w:r>
        <w:rPr>
          <w:color w:val="000000" w:themeColor="text1"/>
          <w:sz w:val="36"/>
        </w:rPr>
        <w:t xml:space="preserve"> or which needs urgent attention, But the data provided through PSUR are evaluated for the safety information. </w:t>
      </w:r>
    </w:p>
    <w:p w14:paraId="798020BC" w14:textId="5000E25F" w:rsidR="00D935C8" w:rsidRDefault="00D935C8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In Europe region, EURD (European reference dates) list is maintained online which gives the frequency of submission of PSURs.</w:t>
      </w:r>
    </w:p>
    <w:p w14:paraId="4CF94601" w14:textId="49F04853" w:rsidR="006B4D5A" w:rsidRDefault="006B4D5A" w:rsidP="00A4065D">
      <w:pPr>
        <w:rPr>
          <w:b/>
          <w:color w:val="000000" w:themeColor="text1"/>
          <w:sz w:val="36"/>
        </w:rPr>
      </w:pPr>
      <w:r w:rsidRPr="005C4382">
        <w:rPr>
          <w:b/>
          <w:color w:val="000000" w:themeColor="text1"/>
          <w:sz w:val="36"/>
        </w:rPr>
        <w:t>GVP module V</w:t>
      </w:r>
      <w:r>
        <w:rPr>
          <w:b/>
          <w:color w:val="000000" w:themeColor="text1"/>
          <w:sz w:val="36"/>
        </w:rPr>
        <w:t xml:space="preserve">III: </w:t>
      </w:r>
      <w:r w:rsidRPr="006B4D5A">
        <w:rPr>
          <w:b/>
          <w:color w:val="000000" w:themeColor="text1"/>
          <w:sz w:val="36"/>
        </w:rPr>
        <w:t>Post-authorization safety studies</w:t>
      </w:r>
      <w:r w:rsidR="001C17FB">
        <w:rPr>
          <w:b/>
          <w:color w:val="000000" w:themeColor="text1"/>
          <w:sz w:val="36"/>
        </w:rPr>
        <w:t xml:space="preserve"> (PASS)</w:t>
      </w:r>
      <w:r>
        <w:rPr>
          <w:b/>
          <w:color w:val="000000" w:themeColor="text1"/>
          <w:sz w:val="36"/>
        </w:rPr>
        <w:t>.</w:t>
      </w:r>
    </w:p>
    <w:p w14:paraId="14139C68" w14:textId="24A6B10B" w:rsidR="001C17FB" w:rsidRDefault="001C17FB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PASS is a study conducted after the marketing authorization and it can be imposed by authority or conducted by MAH to further evaluate the data of the medicinal product.</w:t>
      </w:r>
    </w:p>
    <w:p w14:paraId="711CF788" w14:textId="54066312" w:rsidR="006B4D5A" w:rsidRDefault="006B4D5A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These studied are conducted </w:t>
      </w:r>
      <w:r w:rsidR="001C17FB">
        <w:rPr>
          <w:color w:val="000000" w:themeColor="text1"/>
          <w:sz w:val="36"/>
        </w:rPr>
        <w:t xml:space="preserve">to identify the risks when used in patient population which are not studied in clinical trials, to </w:t>
      </w:r>
      <w:r w:rsidR="001C17FB">
        <w:rPr>
          <w:color w:val="000000" w:themeColor="text1"/>
          <w:sz w:val="36"/>
        </w:rPr>
        <w:lastRenderedPageBreak/>
        <w:t>evaluate the long-term use of the product or to assess the effectiveness of any risk minimization measures.</w:t>
      </w:r>
    </w:p>
    <w:p w14:paraId="666BAAF7" w14:textId="29E2C3FF" w:rsidR="001C17FB" w:rsidRDefault="001C17FB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PASS will have a protocol design to conduct.</w:t>
      </w:r>
    </w:p>
    <w:p w14:paraId="7B85CEAC" w14:textId="77777777" w:rsidR="001C17FB" w:rsidRDefault="001C17FB" w:rsidP="00A4065D">
      <w:pPr>
        <w:rPr>
          <w:color w:val="000000" w:themeColor="text1"/>
          <w:sz w:val="36"/>
        </w:rPr>
      </w:pPr>
    </w:p>
    <w:p w14:paraId="07A14DA1" w14:textId="134DFF2A" w:rsidR="001C17FB" w:rsidRDefault="001C17FB" w:rsidP="00A4065D">
      <w:pPr>
        <w:rPr>
          <w:b/>
          <w:color w:val="000000" w:themeColor="text1"/>
          <w:sz w:val="36"/>
        </w:rPr>
      </w:pPr>
      <w:r w:rsidRPr="005C4382">
        <w:rPr>
          <w:b/>
          <w:color w:val="000000" w:themeColor="text1"/>
          <w:sz w:val="36"/>
        </w:rPr>
        <w:t>GVP module</w:t>
      </w:r>
      <w:r>
        <w:rPr>
          <w:b/>
          <w:color w:val="000000" w:themeColor="text1"/>
          <w:sz w:val="36"/>
        </w:rPr>
        <w:t xml:space="preserve"> IX: Signal management.</w:t>
      </w:r>
    </w:p>
    <w:p w14:paraId="3242A58E" w14:textId="2D8411A1" w:rsidR="001C17FB" w:rsidRDefault="001C17FB" w:rsidP="00A406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Signal management is a process which identifies, validates, prioritizes and </w:t>
      </w:r>
      <w:r w:rsidR="00800A2F">
        <w:rPr>
          <w:color w:val="000000" w:themeColor="text1"/>
          <w:sz w:val="36"/>
        </w:rPr>
        <w:t xml:space="preserve">further </w:t>
      </w:r>
      <w:r>
        <w:rPr>
          <w:color w:val="000000" w:themeColor="text1"/>
          <w:sz w:val="36"/>
        </w:rPr>
        <w:t>assessment of a signal will be done.</w:t>
      </w:r>
    </w:p>
    <w:p w14:paraId="2F66F7A2" w14:textId="2E234C55" w:rsidR="001C17FB" w:rsidRDefault="001C17FB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Signal is defined as </w:t>
      </w:r>
      <w:r w:rsidR="00800A2F">
        <w:rPr>
          <w:color w:val="000000" w:themeColor="text1"/>
          <w:sz w:val="36"/>
        </w:rPr>
        <w:t>“</w:t>
      </w:r>
      <w:r w:rsidR="00800A2F" w:rsidRPr="00800A2F">
        <w:rPr>
          <w:color w:val="000000" w:themeColor="text1"/>
          <w:sz w:val="36"/>
        </w:rPr>
        <w:t>Information arising from one or multiple sources, including observations and experiments,</w:t>
      </w:r>
      <w:r w:rsidR="00800A2F">
        <w:rPr>
          <w:color w:val="000000" w:themeColor="text1"/>
          <w:sz w:val="36"/>
        </w:rPr>
        <w:t xml:space="preserve"> </w:t>
      </w:r>
      <w:r w:rsidR="00800A2F" w:rsidRPr="00800A2F">
        <w:rPr>
          <w:color w:val="000000" w:themeColor="text1"/>
          <w:sz w:val="36"/>
        </w:rPr>
        <w:t>which suggests a new potentially causal association, or a new aspect of a known association between</w:t>
      </w:r>
      <w:r w:rsidR="00800A2F">
        <w:rPr>
          <w:color w:val="000000" w:themeColor="text1"/>
          <w:sz w:val="36"/>
        </w:rPr>
        <w:t xml:space="preserve"> </w:t>
      </w:r>
      <w:r w:rsidR="00800A2F" w:rsidRPr="00800A2F">
        <w:rPr>
          <w:color w:val="000000" w:themeColor="text1"/>
          <w:sz w:val="36"/>
        </w:rPr>
        <w:t>an intervention and an event or set of related events, either adverse or beneficial, that is judged to be</w:t>
      </w:r>
      <w:r w:rsidR="00800A2F">
        <w:rPr>
          <w:color w:val="000000" w:themeColor="text1"/>
          <w:sz w:val="36"/>
        </w:rPr>
        <w:t xml:space="preserve"> </w:t>
      </w:r>
      <w:r w:rsidR="00800A2F" w:rsidRPr="00800A2F">
        <w:rPr>
          <w:color w:val="000000" w:themeColor="text1"/>
          <w:sz w:val="36"/>
        </w:rPr>
        <w:t>of sufficient likelihood to justify verificatory action [IR Art 19(1)]</w:t>
      </w:r>
      <w:r w:rsidR="00800A2F">
        <w:rPr>
          <w:color w:val="000000" w:themeColor="text1"/>
          <w:sz w:val="36"/>
        </w:rPr>
        <w:t>”</w:t>
      </w:r>
      <w:r w:rsidR="00800A2F" w:rsidRPr="00800A2F">
        <w:rPr>
          <w:color w:val="000000" w:themeColor="text1"/>
          <w:sz w:val="36"/>
        </w:rPr>
        <w:t>.</w:t>
      </w:r>
    </w:p>
    <w:p w14:paraId="1B342934" w14:textId="290AA9E1" w:rsidR="00800A2F" w:rsidRDefault="00800A2F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Any important </w:t>
      </w:r>
      <w:r w:rsidR="00D36AFF">
        <w:rPr>
          <w:color w:val="000000" w:themeColor="text1"/>
          <w:sz w:val="36"/>
        </w:rPr>
        <w:t xml:space="preserve">urgent </w:t>
      </w:r>
      <w:r>
        <w:rPr>
          <w:color w:val="000000" w:themeColor="text1"/>
          <w:sz w:val="36"/>
        </w:rPr>
        <w:t xml:space="preserve">issue identified during the process will be </w:t>
      </w:r>
      <w:r w:rsidR="00D36AFF">
        <w:rPr>
          <w:color w:val="000000" w:themeColor="text1"/>
          <w:sz w:val="36"/>
        </w:rPr>
        <w:t>notified</w:t>
      </w:r>
      <w:r>
        <w:rPr>
          <w:color w:val="000000" w:themeColor="text1"/>
          <w:sz w:val="36"/>
        </w:rPr>
        <w:t xml:space="preserve"> in the form of “Emerging safety issue”.</w:t>
      </w:r>
    </w:p>
    <w:p w14:paraId="37FA9B42" w14:textId="2C8D8FD0" w:rsidR="00800A2F" w:rsidRDefault="00800A2F" w:rsidP="00800A2F">
      <w:pPr>
        <w:rPr>
          <w:b/>
          <w:color w:val="000000" w:themeColor="text1"/>
          <w:sz w:val="36"/>
        </w:rPr>
      </w:pPr>
      <w:r w:rsidRPr="005C4382">
        <w:rPr>
          <w:b/>
          <w:color w:val="000000" w:themeColor="text1"/>
          <w:sz w:val="36"/>
        </w:rPr>
        <w:t>GVP module</w:t>
      </w:r>
      <w:r>
        <w:rPr>
          <w:b/>
          <w:color w:val="000000" w:themeColor="text1"/>
          <w:sz w:val="36"/>
        </w:rPr>
        <w:t xml:space="preserve"> X: </w:t>
      </w:r>
      <w:r w:rsidRPr="00800A2F">
        <w:rPr>
          <w:b/>
          <w:color w:val="000000" w:themeColor="text1"/>
          <w:sz w:val="36"/>
        </w:rPr>
        <w:t>Additional monitoring</w:t>
      </w:r>
    </w:p>
    <w:p w14:paraId="6E3123F6" w14:textId="77777777" w:rsidR="00800A2F" w:rsidRDefault="00800A2F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Even though the drug is marketed, </w:t>
      </w:r>
      <w:proofErr w:type="gramStart"/>
      <w:r>
        <w:rPr>
          <w:color w:val="000000" w:themeColor="text1"/>
          <w:sz w:val="36"/>
        </w:rPr>
        <w:t>In</w:t>
      </w:r>
      <w:proofErr w:type="gramEnd"/>
      <w:r>
        <w:rPr>
          <w:color w:val="000000" w:themeColor="text1"/>
          <w:sz w:val="36"/>
        </w:rPr>
        <w:t xml:space="preserve"> order to identify the risks in specific targeted population or any risks which cannot be identified during the clinical trials will be monitored further by Additional monitoring.</w:t>
      </w:r>
    </w:p>
    <w:p w14:paraId="4DD2E0B9" w14:textId="6A8AAAD4" w:rsidR="00800A2F" w:rsidRDefault="00800A2F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European medical agency is maintaining a </w:t>
      </w:r>
      <w:r w:rsidR="00213D7E">
        <w:rPr>
          <w:color w:val="000000" w:themeColor="text1"/>
          <w:sz w:val="36"/>
        </w:rPr>
        <w:t>list of</w:t>
      </w:r>
      <w:r>
        <w:rPr>
          <w:color w:val="000000" w:themeColor="text1"/>
          <w:sz w:val="36"/>
        </w:rPr>
        <w:t xml:space="preserve"> Additional monitoring drugs which should be reviewed in quarterly or </w:t>
      </w:r>
      <w:r w:rsidR="00213D7E">
        <w:rPr>
          <w:color w:val="000000" w:themeColor="text1"/>
          <w:sz w:val="36"/>
        </w:rPr>
        <w:t>six-monthly</w:t>
      </w:r>
      <w:r>
        <w:rPr>
          <w:color w:val="000000" w:themeColor="text1"/>
          <w:sz w:val="36"/>
        </w:rPr>
        <w:t xml:space="preserve"> review.</w:t>
      </w:r>
    </w:p>
    <w:p w14:paraId="23AC7273" w14:textId="011BAA99" w:rsidR="00800A2F" w:rsidRDefault="00800A2F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 xml:space="preserve">This will be explained in the patient leaf let as inverted black triangle and </w:t>
      </w:r>
      <w:r w:rsidR="00213D7E">
        <w:rPr>
          <w:color w:val="000000" w:themeColor="text1"/>
          <w:sz w:val="36"/>
        </w:rPr>
        <w:t xml:space="preserve">informed that any adverse events to be reported. </w:t>
      </w:r>
    </w:p>
    <w:p w14:paraId="1D6C6934" w14:textId="355EA41C" w:rsidR="00213D7E" w:rsidRDefault="00213D7E" w:rsidP="00800A2F">
      <w:pPr>
        <w:rPr>
          <w:b/>
          <w:color w:val="000000" w:themeColor="text1"/>
          <w:sz w:val="36"/>
        </w:rPr>
      </w:pPr>
      <w:r w:rsidRPr="00213D7E">
        <w:rPr>
          <w:b/>
          <w:color w:val="000000" w:themeColor="text1"/>
          <w:sz w:val="36"/>
        </w:rPr>
        <w:t>Module XV – Safety communication</w:t>
      </w:r>
      <w:r>
        <w:rPr>
          <w:b/>
          <w:color w:val="000000" w:themeColor="text1"/>
          <w:sz w:val="36"/>
        </w:rPr>
        <w:t>:</w:t>
      </w:r>
    </w:p>
    <w:p w14:paraId="0ACA8BEF" w14:textId="62CB5067" w:rsidR="00213D7E" w:rsidRDefault="00213D7E" w:rsidP="00800A2F">
      <w:pPr>
        <w:rPr>
          <w:color w:val="000000" w:themeColor="text1"/>
          <w:sz w:val="36"/>
        </w:rPr>
      </w:pPr>
      <w:r w:rsidRPr="00213D7E">
        <w:rPr>
          <w:color w:val="000000" w:themeColor="text1"/>
          <w:sz w:val="36"/>
        </w:rPr>
        <w:t xml:space="preserve">This </w:t>
      </w:r>
      <w:r>
        <w:rPr>
          <w:color w:val="000000" w:themeColor="text1"/>
          <w:sz w:val="36"/>
        </w:rPr>
        <w:t>module explains, any safety information which is identified to be communicated in a clear accurate and consistent manner to reach the public and health care profession.</w:t>
      </w:r>
    </w:p>
    <w:p w14:paraId="2CD86134" w14:textId="1DE33359" w:rsidR="00213D7E" w:rsidRDefault="00213D7E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Safety communication can be by: </w:t>
      </w:r>
    </w:p>
    <w:p w14:paraId="6F03E763" w14:textId="6E58E0AE" w:rsidR="00213D7E" w:rsidRPr="00213D7E" w:rsidRDefault="00213D7E" w:rsidP="00213D7E">
      <w:pPr>
        <w:pStyle w:val="ListParagraph"/>
        <w:numPr>
          <w:ilvl w:val="0"/>
          <w:numId w:val="8"/>
        </w:numPr>
        <w:rPr>
          <w:color w:val="000000" w:themeColor="text1"/>
          <w:sz w:val="36"/>
        </w:rPr>
      </w:pPr>
      <w:r w:rsidRPr="00213D7E">
        <w:rPr>
          <w:color w:val="000000" w:themeColor="text1"/>
          <w:sz w:val="36"/>
        </w:rPr>
        <w:t>Direct healthcare professional communication (DHPC)</w:t>
      </w:r>
    </w:p>
    <w:p w14:paraId="62B057FD" w14:textId="3B71F57B" w:rsidR="00213D7E" w:rsidRPr="00213D7E" w:rsidRDefault="00213D7E" w:rsidP="00213D7E">
      <w:pPr>
        <w:pStyle w:val="ListParagraph"/>
        <w:numPr>
          <w:ilvl w:val="0"/>
          <w:numId w:val="8"/>
        </w:numPr>
        <w:rPr>
          <w:color w:val="000000" w:themeColor="text1"/>
          <w:sz w:val="36"/>
        </w:rPr>
      </w:pPr>
      <w:r w:rsidRPr="00213D7E">
        <w:rPr>
          <w:color w:val="000000" w:themeColor="text1"/>
          <w:sz w:val="36"/>
        </w:rPr>
        <w:t>Documents in lay language to patients and the public</w:t>
      </w:r>
    </w:p>
    <w:p w14:paraId="46B12A5A" w14:textId="2C082AFC" w:rsidR="00213D7E" w:rsidRPr="00213D7E" w:rsidRDefault="00213D7E" w:rsidP="00213D7E">
      <w:pPr>
        <w:pStyle w:val="ListParagraph"/>
        <w:numPr>
          <w:ilvl w:val="0"/>
          <w:numId w:val="8"/>
        </w:numPr>
        <w:rPr>
          <w:color w:val="000000" w:themeColor="text1"/>
          <w:sz w:val="36"/>
        </w:rPr>
      </w:pPr>
      <w:r w:rsidRPr="00213D7E">
        <w:rPr>
          <w:color w:val="000000" w:themeColor="text1"/>
          <w:sz w:val="36"/>
        </w:rPr>
        <w:t xml:space="preserve">Press communication </w:t>
      </w:r>
    </w:p>
    <w:p w14:paraId="5065D7E4" w14:textId="303591A2" w:rsidR="00213D7E" w:rsidRDefault="00213D7E" w:rsidP="00213D7E">
      <w:pPr>
        <w:pStyle w:val="ListParagraph"/>
        <w:numPr>
          <w:ilvl w:val="0"/>
          <w:numId w:val="8"/>
        </w:numPr>
        <w:rPr>
          <w:color w:val="000000" w:themeColor="text1"/>
          <w:sz w:val="36"/>
        </w:rPr>
      </w:pPr>
      <w:r w:rsidRPr="00213D7E">
        <w:rPr>
          <w:color w:val="000000" w:themeColor="text1"/>
          <w:sz w:val="36"/>
        </w:rPr>
        <w:t>Company website</w:t>
      </w:r>
    </w:p>
    <w:p w14:paraId="1220C574" w14:textId="5F4AC644" w:rsidR="00213D7E" w:rsidRDefault="00213D7E" w:rsidP="00213D7E">
      <w:pPr>
        <w:rPr>
          <w:b/>
          <w:color w:val="000000" w:themeColor="text1"/>
          <w:sz w:val="36"/>
        </w:rPr>
      </w:pPr>
      <w:r w:rsidRPr="00213D7E">
        <w:rPr>
          <w:b/>
          <w:color w:val="000000" w:themeColor="text1"/>
          <w:sz w:val="36"/>
        </w:rPr>
        <w:t>Module XVI – Risk minimization measures: selection of tools and effectiveness indicators</w:t>
      </w:r>
      <w:r>
        <w:rPr>
          <w:b/>
          <w:color w:val="000000" w:themeColor="text1"/>
          <w:sz w:val="36"/>
        </w:rPr>
        <w:t>.</w:t>
      </w:r>
    </w:p>
    <w:p w14:paraId="52A50820" w14:textId="69D92E14" w:rsidR="00213D7E" w:rsidRDefault="00243A91" w:rsidP="00213D7E">
      <w:pPr>
        <w:rPr>
          <w:color w:val="000000" w:themeColor="text1"/>
          <w:sz w:val="36"/>
        </w:rPr>
      </w:pPr>
      <w:r w:rsidRPr="00243A91">
        <w:rPr>
          <w:color w:val="000000" w:themeColor="text1"/>
          <w:sz w:val="36"/>
        </w:rPr>
        <w:t xml:space="preserve">Safety concerns are </w:t>
      </w:r>
      <w:r>
        <w:rPr>
          <w:color w:val="000000" w:themeColor="text1"/>
          <w:sz w:val="36"/>
        </w:rPr>
        <w:t>usually addressed by routine risk minimization measures, for some products to evaluate the further safety information additional risk measures are required.</w:t>
      </w:r>
    </w:p>
    <w:p w14:paraId="4BC9B22C" w14:textId="34D981F0" w:rsidR="00243A91" w:rsidRDefault="00243A91" w:rsidP="00213D7E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It helps in maintaining the risk benefit balance of the product.</w:t>
      </w:r>
    </w:p>
    <w:p w14:paraId="4788FB7A" w14:textId="6E60F8A5" w:rsidR="00800A2F" w:rsidRDefault="00243A91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This module explains development and implementation of the risk minimization measures.</w:t>
      </w:r>
    </w:p>
    <w:p w14:paraId="27AC24DC" w14:textId="24EDC979" w:rsidR="00243A91" w:rsidRDefault="00243A91" w:rsidP="00800A2F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implementation can be:</w:t>
      </w:r>
    </w:p>
    <w:p w14:paraId="7D3312B1" w14:textId="77777777" w:rsidR="00243A91" w:rsidRPr="00243A91" w:rsidRDefault="00243A91" w:rsidP="00243A91">
      <w:pPr>
        <w:pStyle w:val="ListParagraph"/>
        <w:numPr>
          <w:ilvl w:val="0"/>
          <w:numId w:val="9"/>
        </w:numPr>
        <w:rPr>
          <w:color w:val="000000" w:themeColor="text1"/>
          <w:sz w:val="36"/>
        </w:rPr>
      </w:pPr>
      <w:r w:rsidRPr="00243A91">
        <w:rPr>
          <w:color w:val="000000" w:themeColor="text1"/>
          <w:sz w:val="36"/>
        </w:rPr>
        <w:t>Educational tools for Health care professionals and public.</w:t>
      </w:r>
    </w:p>
    <w:p w14:paraId="5156E49F" w14:textId="10073BD0" w:rsidR="00243A91" w:rsidRPr="00243A91" w:rsidRDefault="00243A91" w:rsidP="00243A91">
      <w:pPr>
        <w:pStyle w:val="ListParagraph"/>
        <w:numPr>
          <w:ilvl w:val="0"/>
          <w:numId w:val="9"/>
        </w:numPr>
        <w:rPr>
          <w:color w:val="000000" w:themeColor="text1"/>
          <w:sz w:val="36"/>
        </w:rPr>
      </w:pPr>
      <w:r w:rsidRPr="00243A91">
        <w:rPr>
          <w:color w:val="000000" w:themeColor="text1"/>
          <w:sz w:val="36"/>
        </w:rPr>
        <w:t xml:space="preserve">Controlled access programmes </w:t>
      </w:r>
    </w:p>
    <w:p w14:paraId="634D9C05" w14:textId="387E0FDA" w:rsidR="00243A91" w:rsidRDefault="00243A91" w:rsidP="00800A2F">
      <w:pPr>
        <w:pStyle w:val="ListParagraph"/>
        <w:numPr>
          <w:ilvl w:val="0"/>
          <w:numId w:val="9"/>
        </w:numPr>
        <w:rPr>
          <w:color w:val="000000" w:themeColor="text1"/>
          <w:sz w:val="36"/>
        </w:rPr>
      </w:pPr>
      <w:r w:rsidRPr="00243A91">
        <w:rPr>
          <w:color w:val="000000" w:themeColor="text1"/>
          <w:sz w:val="36"/>
        </w:rPr>
        <w:lastRenderedPageBreak/>
        <w:t>Pregnancy prevention programme</w:t>
      </w:r>
    </w:p>
    <w:p w14:paraId="5732DE8F" w14:textId="313DBB2F" w:rsidR="00243A91" w:rsidRDefault="00243A91" w:rsidP="00243A91">
      <w:pPr>
        <w:ind w:left="360"/>
        <w:rPr>
          <w:color w:val="000000" w:themeColor="text1"/>
          <w:sz w:val="36"/>
        </w:rPr>
      </w:pPr>
      <w:proofErr w:type="gramStart"/>
      <w:r>
        <w:rPr>
          <w:color w:val="000000" w:themeColor="text1"/>
          <w:sz w:val="36"/>
        </w:rPr>
        <w:t>Measuring  the</w:t>
      </w:r>
      <w:proofErr w:type="gramEnd"/>
      <w:r>
        <w:rPr>
          <w:color w:val="000000" w:themeColor="text1"/>
          <w:sz w:val="36"/>
        </w:rPr>
        <w:t xml:space="preserve"> outcome also described in this module.</w:t>
      </w:r>
    </w:p>
    <w:p w14:paraId="2842CD65" w14:textId="25CE74EF" w:rsidR="00942DAB" w:rsidRDefault="00942DAB" w:rsidP="00243A91">
      <w:pPr>
        <w:ind w:left="360"/>
        <w:rPr>
          <w:color w:val="000000" w:themeColor="text1"/>
          <w:sz w:val="36"/>
        </w:rPr>
      </w:pPr>
    </w:p>
    <w:p w14:paraId="7C68B51C" w14:textId="0068D9FB" w:rsidR="00942DAB" w:rsidRDefault="00942DAB" w:rsidP="00243A91">
      <w:pPr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status of the GVP modules:</w:t>
      </w:r>
    </w:p>
    <w:tbl>
      <w:tblPr>
        <w:tblStyle w:val="GridTable1Light2"/>
        <w:tblpPr w:leftFromText="180" w:rightFromText="180" w:vertAnchor="text" w:tblpY="6"/>
        <w:tblW w:w="8315" w:type="dxa"/>
        <w:tblLook w:val="04A0" w:firstRow="1" w:lastRow="0" w:firstColumn="1" w:lastColumn="0" w:noHBand="0" w:noVBand="1"/>
      </w:tblPr>
      <w:tblGrid>
        <w:gridCol w:w="2810"/>
        <w:gridCol w:w="5505"/>
      </w:tblGrid>
      <w:tr w:rsidR="00942DAB" w:rsidRPr="007C191B" w14:paraId="299EAD94" w14:textId="77777777" w:rsidTr="0094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shd w:val="clear" w:color="auto" w:fill="D9E2F3" w:themeFill="accent1" w:themeFillTint="33"/>
          </w:tcPr>
          <w:p w14:paraId="1713A7B7" w14:textId="77777777" w:rsidR="00942DAB" w:rsidRPr="007C191B" w:rsidRDefault="00942DAB" w:rsidP="00C561A0">
            <w:r w:rsidRPr="007C191B">
              <w:t>GVP Module</w:t>
            </w:r>
          </w:p>
        </w:tc>
        <w:tc>
          <w:tcPr>
            <w:tcW w:w="5505" w:type="dxa"/>
            <w:shd w:val="clear" w:color="auto" w:fill="D9E2F3" w:themeFill="accent1" w:themeFillTint="33"/>
          </w:tcPr>
          <w:p w14:paraId="6815DBD0" w14:textId="77777777" w:rsidR="00942DAB" w:rsidRPr="007C191B" w:rsidRDefault="00942DAB" w:rsidP="00C5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Status</w:t>
            </w:r>
          </w:p>
        </w:tc>
      </w:tr>
      <w:tr w:rsidR="00942DAB" w:rsidRPr="007C191B" w14:paraId="0344DDBF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4775D9A3" w14:textId="77777777" w:rsidR="00942DAB" w:rsidRPr="007C191B" w:rsidRDefault="00942DAB" w:rsidP="00C561A0">
            <w:r w:rsidRPr="007C191B">
              <w:t>I PhV and Quality system</w:t>
            </w:r>
          </w:p>
        </w:tc>
        <w:tc>
          <w:tcPr>
            <w:tcW w:w="5505" w:type="dxa"/>
          </w:tcPr>
          <w:p w14:paraId="0F2B1803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942DAB" w:rsidRPr="007C191B" w14:paraId="4DA28132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03FB93C6" w14:textId="77777777" w:rsidR="00942DAB" w:rsidRPr="007C191B" w:rsidRDefault="00942DAB" w:rsidP="00C561A0">
            <w:r w:rsidRPr="007C191B">
              <w:t xml:space="preserve">II PSMF </w:t>
            </w:r>
          </w:p>
        </w:tc>
        <w:tc>
          <w:tcPr>
            <w:tcW w:w="5505" w:type="dxa"/>
            <w:hideMark/>
          </w:tcPr>
          <w:p w14:paraId="6560CCED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2 Published</w:t>
            </w:r>
          </w:p>
        </w:tc>
      </w:tr>
      <w:tr w:rsidR="00942DAB" w:rsidRPr="007C191B" w14:paraId="50938F5F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6E43354D" w14:textId="77777777" w:rsidR="00942DAB" w:rsidRPr="007C191B" w:rsidRDefault="00942DAB" w:rsidP="00C561A0">
            <w:r w:rsidRPr="007C191B">
              <w:t>III Pharmacovigilance Inspections</w:t>
            </w:r>
          </w:p>
        </w:tc>
        <w:tc>
          <w:tcPr>
            <w:tcW w:w="5505" w:type="dxa"/>
            <w:hideMark/>
          </w:tcPr>
          <w:p w14:paraId="2360B885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942DAB" w:rsidRPr="007C191B" w14:paraId="3C606EF6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47F00D2C" w14:textId="77777777" w:rsidR="00942DAB" w:rsidRPr="007C191B" w:rsidRDefault="00942DAB" w:rsidP="00C561A0">
            <w:r w:rsidRPr="007C191B">
              <w:t>IV Pharmacovigilance Audits</w:t>
            </w:r>
          </w:p>
        </w:tc>
        <w:tc>
          <w:tcPr>
            <w:tcW w:w="5505" w:type="dxa"/>
            <w:hideMark/>
          </w:tcPr>
          <w:p w14:paraId="5F362CC5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1 Published</w:t>
            </w:r>
          </w:p>
        </w:tc>
      </w:tr>
      <w:tr w:rsidR="00942DAB" w:rsidRPr="007C191B" w14:paraId="5EFE098D" w14:textId="77777777" w:rsidTr="00942DAB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A8DB4B3" w14:textId="77777777" w:rsidR="00942DAB" w:rsidRPr="007C191B" w:rsidRDefault="00942DAB" w:rsidP="00C561A0">
            <w:r w:rsidRPr="007C191B">
              <w:t>V Risk management system</w:t>
            </w:r>
          </w:p>
        </w:tc>
        <w:tc>
          <w:tcPr>
            <w:tcW w:w="5505" w:type="dxa"/>
          </w:tcPr>
          <w:p w14:paraId="095A0EFF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2 Published</w:t>
            </w:r>
          </w:p>
        </w:tc>
      </w:tr>
      <w:tr w:rsidR="00942DAB" w:rsidRPr="007C191B" w14:paraId="34B05DB7" w14:textId="77777777" w:rsidTr="00942DA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2C159E9" w14:textId="77777777" w:rsidR="00942DAB" w:rsidRPr="007C191B" w:rsidRDefault="00942DAB" w:rsidP="00C561A0">
            <w:r w:rsidRPr="007C191B">
              <w:t>VI ICSR</w:t>
            </w:r>
          </w:p>
        </w:tc>
        <w:tc>
          <w:tcPr>
            <w:tcW w:w="5505" w:type="dxa"/>
          </w:tcPr>
          <w:p w14:paraId="5EA32ADE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2 Published including Addendum 1</w:t>
            </w:r>
          </w:p>
        </w:tc>
      </w:tr>
      <w:tr w:rsidR="00942DAB" w:rsidRPr="007C191B" w14:paraId="12002E8B" w14:textId="77777777" w:rsidTr="00942DA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6D0811DD" w14:textId="77777777" w:rsidR="00942DAB" w:rsidRPr="007C191B" w:rsidRDefault="00942DAB" w:rsidP="00C561A0">
            <w:r w:rsidRPr="007C191B">
              <w:t>VII PSUR</w:t>
            </w:r>
          </w:p>
        </w:tc>
        <w:tc>
          <w:tcPr>
            <w:tcW w:w="5505" w:type="dxa"/>
          </w:tcPr>
          <w:p w14:paraId="69A24A10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Periodic Safety Update Reports (Rev. 2) draft is ongoing.</w:t>
            </w:r>
          </w:p>
        </w:tc>
      </w:tr>
      <w:tr w:rsidR="00942DAB" w:rsidRPr="007C191B" w14:paraId="12633EBE" w14:textId="77777777" w:rsidTr="00942DA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C063F19" w14:textId="77777777" w:rsidR="00942DAB" w:rsidRPr="007C191B" w:rsidRDefault="00942DAB" w:rsidP="00C561A0">
            <w:r w:rsidRPr="007C191B">
              <w:t>VIII PASS</w:t>
            </w:r>
          </w:p>
        </w:tc>
        <w:tc>
          <w:tcPr>
            <w:tcW w:w="5505" w:type="dxa"/>
          </w:tcPr>
          <w:p w14:paraId="06AF6931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3 Published including Addendum 1 (Rev. 2)</w:t>
            </w:r>
          </w:p>
        </w:tc>
      </w:tr>
      <w:tr w:rsidR="00942DAB" w:rsidRPr="007C191B" w14:paraId="4AE21C1F" w14:textId="77777777" w:rsidTr="00942DA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046AAC82" w14:textId="77777777" w:rsidR="00942DAB" w:rsidRPr="007C191B" w:rsidRDefault="00942DAB" w:rsidP="00C561A0">
            <w:r w:rsidRPr="007C191B">
              <w:rPr>
                <w:rFonts w:eastAsia="Times New Roman"/>
              </w:rPr>
              <w:t>IX Signals</w:t>
            </w:r>
          </w:p>
        </w:tc>
        <w:tc>
          <w:tcPr>
            <w:tcW w:w="5505" w:type="dxa"/>
            <w:hideMark/>
          </w:tcPr>
          <w:p w14:paraId="0B68B485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1 Published Addendum 1</w:t>
            </w:r>
          </w:p>
        </w:tc>
      </w:tr>
      <w:tr w:rsidR="00942DAB" w:rsidRPr="007C191B" w14:paraId="02444CFE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5F5DA7E1" w14:textId="77777777" w:rsidR="00942DAB" w:rsidRPr="007C191B" w:rsidRDefault="00942DAB" w:rsidP="00C561A0">
            <w:r w:rsidRPr="007C191B">
              <w:rPr>
                <w:rFonts w:eastAsia="Times New Roman"/>
              </w:rPr>
              <w:t>X Additional Monitoring</w:t>
            </w:r>
          </w:p>
        </w:tc>
        <w:tc>
          <w:tcPr>
            <w:tcW w:w="5505" w:type="dxa"/>
            <w:hideMark/>
          </w:tcPr>
          <w:p w14:paraId="26FE3BAE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942DAB" w:rsidRPr="007C191B" w14:paraId="2D394E1A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shd w:val="clear" w:color="auto" w:fill="F2F2F2" w:themeFill="background1" w:themeFillShade="F2"/>
          </w:tcPr>
          <w:p w14:paraId="114A6A64" w14:textId="77777777" w:rsidR="00942DAB" w:rsidRPr="007C191B" w:rsidRDefault="00942DAB" w:rsidP="00C561A0">
            <w:r w:rsidRPr="007C191B">
              <w:rPr>
                <w:rFonts w:eastAsia="Times New Roman"/>
              </w:rPr>
              <w:t>XI Participation</w:t>
            </w:r>
          </w:p>
        </w:tc>
        <w:tc>
          <w:tcPr>
            <w:tcW w:w="5505" w:type="dxa"/>
            <w:shd w:val="clear" w:color="auto" w:fill="F2F2F2" w:themeFill="background1" w:themeFillShade="F2"/>
          </w:tcPr>
          <w:p w14:paraId="6EE0480F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Replaced by web information</w:t>
            </w:r>
          </w:p>
        </w:tc>
      </w:tr>
      <w:tr w:rsidR="00942DAB" w:rsidRPr="007C191B" w14:paraId="4BD1B880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shd w:val="clear" w:color="auto" w:fill="F2F2F2" w:themeFill="background1" w:themeFillShade="F2"/>
          </w:tcPr>
          <w:p w14:paraId="0A760F98" w14:textId="77777777" w:rsidR="00942DAB" w:rsidRPr="007C191B" w:rsidRDefault="00942DAB" w:rsidP="00C561A0">
            <w:r w:rsidRPr="007C191B">
              <w:rPr>
                <w:rFonts w:eastAsia="Times New Roman"/>
              </w:rPr>
              <w:t>XII Regulatory action</w:t>
            </w:r>
          </w:p>
        </w:tc>
        <w:tc>
          <w:tcPr>
            <w:tcW w:w="5505" w:type="dxa"/>
            <w:shd w:val="clear" w:color="auto" w:fill="F2F2F2" w:themeFill="background1" w:themeFillShade="F2"/>
          </w:tcPr>
          <w:p w14:paraId="6E40ED05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Replaced by other modules</w:t>
            </w:r>
          </w:p>
        </w:tc>
      </w:tr>
      <w:tr w:rsidR="00942DAB" w:rsidRPr="007C191B" w14:paraId="34D7D297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shd w:val="clear" w:color="auto" w:fill="F2F2F2" w:themeFill="background1" w:themeFillShade="F2"/>
          </w:tcPr>
          <w:p w14:paraId="479FDEB1" w14:textId="77777777" w:rsidR="00942DAB" w:rsidRPr="007C191B" w:rsidRDefault="00942DAB" w:rsidP="00C561A0">
            <w:r w:rsidRPr="007C191B">
              <w:t>XIV International</w:t>
            </w:r>
          </w:p>
        </w:tc>
        <w:tc>
          <w:tcPr>
            <w:tcW w:w="5505" w:type="dxa"/>
            <w:shd w:val="clear" w:color="auto" w:fill="F2F2F2" w:themeFill="background1" w:themeFillShade="F2"/>
          </w:tcPr>
          <w:p w14:paraId="5B2EFE1F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Replaced by web information</w:t>
            </w:r>
          </w:p>
        </w:tc>
      </w:tr>
      <w:tr w:rsidR="00942DAB" w:rsidRPr="007C191B" w14:paraId="6E76C99A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6B6B0D6" w14:textId="77777777" w:rsidR="00942DAB" w:rsidRPr="007C191B" w:rsidRDefault="00942DAB" w:rsidP="00C561A0">
            <w:r w:rsidRPr="007C191B">
              <w:t>XV Safety Communication</w:t>
            </w:r>
          </w:p>
        </w:tc>
        <w:tc>
          <w:tcPr>
            <w:tcW w:w="5505" w:type="dxa"/>
          </w:tcPr>
          <w:p w14:paraId="39AAF49C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1 Published</w:t>
            </w:r>
          </w:p>
        </w:tc>
      </w:tr>
      <w:tr w:rsidR="00942DAB" w:rsidRPr="007C191B" w14:paraId="4E266375" w14:textId="77777777" w:rsidTr="00942DAB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E211D58" w14:textId="77777777" w:rsidR="00942DAB" w:rsidRPr="007C191B" w:rsidRDefault="00942DAB" w:rsidP="00C561A0">
            <w:r w:rsidRPr="007C191B">
              <w:t>XVI RMM</w:t>
            </w:r>
          </w:p>
        </w:tc>
        <w:tc>
          <w:tcPr>
            <w:tcW w:w="5505" w:type="dxa"/>
          </w:tcPr>
          <w:p w14:paraId="376F914F" w14:textId="77777777" w:rsidR="00942DAB" w:rsidRPr="007C191B" w:rsidRDefault="00942DAB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Rev. 2 Published including Addendum 1</w:t>
            </w:r>
          </w:p>
        </w:tc>
      </w:tr>
    </w:tbl>
    <w:p w14:paraId="517F2DFA" w14:textId="77777777" w:rsidR="00942DAB" w:rsidRPr="00243A91" w:rsidRDefault="00942DAB" w:rsidP="00243A91">
      <w:pPr>
        <w:ind w:left="360"/>
        <w:rPr>
          <w:color w:val="000000" w:themeColor="text1"/>
          <w:sz w:val="36"/>
        </w:rPr>
      </w:pPr>
    </w:p>
    <w:p w14:paraId="4AB2469A" w14:textId="77777777" w:rsidR="00243A91" w:rsidRDefault="00243A91" w:rsidP="00800A2F">
      <w:pPr>
        <w:rPr>
          <w:color w:val="000000" w:themeColor="text1"/>
          <w:sz w:val="36"/>
        </w:rPr>
      </w:pPr>
    </w:p>
    <w:p w14:paraId="01C021D0" w14:textId="77777777" w:rsidR="00800A2F" w:rsidRDefault="00800A2F" w:rsidP="00800A2F">
      <w:pPr>
        <w:rPr>
          <w:color w:val="000000" w:themeColor="text1"/>
          <w:sz w:val="36"/>
        </w:rPr>
      </w:pPr>
    </w:p>
    <w:p w14:paraId="77622205" w14:textId="77777777" w:rsidR="001C17FB" w:rsidRDefault="001C17FB" w:rsidP="00A4065D">
      <w:pPr>
        <w:rPr>
          <w:color w:val="000000" w:themeColor="text1"/>
          <w:sz w:val="36"/>
        </w:rPr>
      </w:pPr>
    </w:p>
    <w:p w14:paraId="7878BFA9" w14:textId="77777777" w:rsidR="00D935C8" w:rsidRPr="00D935C8" w:rsidRDefault="00D935C8" w:rsidP="00A4065D">
      <w:pPr>
        <w:rPr>
          <w:color w:val="000000" w:themeColor="text1"/>
          <w:sz w:val="36"/>
        </w:rPr>
      </w:pPr>
    </w:p>
    <w:p w14:paraId="48049017" w14:textId="7BB9426A" w:rsidR="00D935C8" w:rsidRDefault="00D935C8" w:rsidP="00A4065D">
      <w:pPr>
        <w:rPr>
          <w:b/>
          <w:color w:val="000000" w:themeColor="text1"/>
          <w:sz w:val="36"/>
        </w:rPr>
      </w:pPr>
    </w:p>
    <w:p w14:paraId="4045A2D9" w14:textId="77777777" w:rsidR="00D935C8" w:rsidRDefault="00D935C8" w:rsidP="00A4065D">
      <w:pPr>
        <w:rPr>
          <w:color w:val="000000" w:themeColor="text1"/>
          <w:sz w:val="36"/>
        </w:rPr>
      </w:pPr>
    </w:p>
    <w:p w14:paraId="1DFAB7C3" w14:textId="77777777" w:rsidR="00D935C8" w:rsidRPr="00A4065D" w:rsidRDefault="00D935C8" w:rsidP="00A4065D">
      <w:pPr>
        <w:rPr>
          <w:color w:val="000000" w:themeColor="text1"/>
          <w:sz w:val="36"/>
        </w:rPr>
      </w:pPr>
    </w:p>
    <w:p w14:paraId="7B41E592" w14:textId="355283EC" w:rsidR="00A4065D" w:rsidRDefault="00A4065D" w:rsidP="000B7562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             </w:t>
      </w:r>
    </w:p>
    <w:p w14:paraId="049641D9" w14:textId="77777777" w:rsidR="00A4065D" w:rsidRPr="00A4065D" w:rsidRDefault="00A4065D" w:rsidP="000B7562">
      <w:pPr>
        <w:rPr>
          <w:color w:val="000000" w:themeColor="text1"/>
          <w:sz w:val="36"/>
        </w:rPr>
      </w:pPr>
    </w:p>
    <w:tbl>
      <w:tblPr>
        <w:tblStyle w:val="GridTable1Light2"/>
        <w:tblpPr w:leftFromText="180" w:rightFromText="180" w:vertAnchor="text" w:tblpY="6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5B11C4" w:rsidRPr="007C191B" w14:paraId="6D1CE7AB" w14:textId="77777777" w:rsidTr="00C5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9E2F3" w:themeFill="accent1" w:themeFillTint="33"/>
          </w:tcPr>
          <w:p w14:paraId="4432D4DC" w14:textId="77777777" w:rsidR="005B11C4" w:rsidRPr="007C191B" w:rsidRDefault="005B11C4" w:rsidP="00C561A0">
            <w:pPr>
              <w:rPr>
                <w:b w:val="0"/>
                <w:bCs w:val="0"/>
              </w:rPr>
            </w:pPr>
            <w:r w:rsidRPr="007C191B">
              <w:rPr>
                <w:b w:val="0"/>
                <w:bCs w:val="0"/>
              </w:rPr>
              <w:t>Specific modules</w:t>
            </w:r>
          </w:p>
        </w:tc>
      </w:tr>
      <w:tr w:rsidR="005B11C4" w:rsidRPr="007C191B" w14:paraId="66B880BD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F06C9B" w14:textId="77777777" w:rsidR="005B11C4" w:rsidRPr="007C191B" w:rsidRDefault="005B11C4" w:rsidP="00C561A0">
            <w:r w:rsidRPr="007C191B">
              <w:t>P.I Vaccines</w:t>
            </w:r>
          </w:p>
        </w:tc>
        <w:tc>
          <w:tcPr>
            <w:tcW w:w="6237" w:type="dxa"/>
          </w:tcPr>
          <w:p w14:paraId="0A8335ED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5B11C4" w:rsidRPr="007C191B" w14:paraId="22A19493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F2FC2FA" w14:textId="77777777" w:rsidR="005B11C4" w:rsidRPr="007C191B" w:rsidRDefault="005B11C4" w:rsidP="00C561A0">
            <w:r w:rsidRPr="007C191B">
              <w:t>P.II Biologicals</w:t>
            </w:r>
          </w:p>
        </w:tc>
        <w:tc>
          <w:tcPr>
            <w:tcW w:w="6237" w:type="dxa"/>
          </w:tcPr>
          <w:p w14:paraId="7657D55F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5B11C4" w:rsidRPr="007C191B" w14:paraId="34497954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D9702" w14:textId="77777777" w:rsidR="005B11C4" w:rsidRPr="007C191B" w:rsidRDefault="005B11C4" w:rsidP="00C561A0">
            <w:r w:rsidRPr="007C191B">
              <w:t>P.III Pregnancy and breast-feeding</w:t>
            </w:r>
          </w:p>
        </w:tc>
        <w:tc>
          <w:tcPr>
            <w:tcW w:w="6237" w:type="dxa"/>
          </w:tcPr>
          <w:p w14:paraId="0926E5C5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Planned to be released for public consultation in Q1 2018</w:t>
            </w:r>
          </w:p>
        </w:tc>
      </w:tr>
      <w:tr w:rsidR="005B11C4" w:rsidRPr="007C191B" w14:paraId="4255CF2F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C05F4A" w14:textId="77777777" w:rsidR="005B11C4" w:rsidRPr="007C191B" w:rsidRDefault="005B11C4" w:rsidP="00C561A0">
            <w:r w:rsidRPr="007C191B">
              <w:t>P. V Geriatrics</w:t>
            </w:r>
          </w:p>
        </w:tc>
        <w:tc>
          <w:tcPr>
            <w:tcW w:w="6237" w:type="dxa"/>
          </w:tcPr>
          <w:p w14:paraId="4C145035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Planned to be released for public consultation in Q1 2018</w:t>
            </w:r>
          </w:p>
        </w:tc>
      </w:tr>
      <w:tr w:rsidR="005B11C4" w:rsidRPr="007C191B" w14:paraId="1BD86F57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0FA04F4" w14:textId="77777777" w:rsidR="005B11C4" w:rsidRPr="007C191B" w:rsidRDefault="005B11C4" w:rsidP="00C561A0">
            <w:pPr>
              <w:rPr>
                <w:b w:val="0"/>
              </w:rPr>
            </w:pPr>
            <w:r w:rsidRPr="007C191B">
              <w:t>Specific privacy statement</w:t>
            </w:r>
          </w:p>
        </w:tc>
        <w:tc>
          <w:tcPr>
            <w:tcW w:w="6237" w:type="dxa"/>
          </w:tcPr>
          <w:p w14:paraId="429CFE66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5B11C4" w:rsidRPr="007C191B" w14:paraId="3FBC2183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341FBD" w14:textId="77777777" w:rsidR="005B11C4" w:rsidRPr="007C191B" w:rsidRDefault="005B11C4" w:rsidP="00C561A0">
            <w:r w:rsidRPr="007C191B">
              <w:t>Good practice guide on recording, coding, reporting and assessment of medication errors</w:t>
            </w:r>
          </w:p>
        </w:tc>
        <w:tc>
          <w:tcPr>
            <w:tcW w:w="6237" w:type="dxa"/>
          </w:tcPr>
          <w:p w14:paraId="3FB28C46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  <w:tr w:rsidR="005B11C4" w:rsidRPr="007C191B" w14:paraId="0D20E3E5" w14:textId="77777777" w:rsidTr="00C561A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F5E6E64" w14:textId="77777777" w:rsidR="005B11C4" w:rsidRPr="007C191B" w:rsidRDefault="005B11C4" w:rsidP="00C561A0">
            <w:r w:rsidRPr="007C191B">
              <w:t>Good practice guide on risk minimisation and prevention of medication errors</w:t>
            </w:r>
          </w:p>
        </w:tc>
        <w:tc>
          <w:tcPr>
            <w:tcW w:w="6237" w:type="dxa"/>
          </w:tcPr>
          <w:p w14:paraId="54BDB6F6" w14:textId="77777777" w:rsidR="005B11C4" w:rsidRPr="007C191B" w:rsidRDefault="005B11C4" w:rsidP="00C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91B">
              <w:t>Published</w:t>
            </w:r>
          </w:p>
        </w:tc>
      </w:tr>
    </w:tbl>
    <w:p w14:paraId="567FEE0B" w14:textId="04DC09B2" w:rsidR="00636ABB" w:rsidRDefault="00636ABB" w:rsidP="00636ABB">
      <w:pPr>
        <w:ind w:left="360"/>
        <w:rPr>
          <w:b/>
          <w:color w:val="000000" w:themeColor="text1"/>
          <w:sz w:val="36"/>
        </w:rPr>
      </w:pPr>
    </w:p>
    <w:p w14:paraId="086CA225" w14:textId="77777777" w:rsidR="00636ABB" w:rsidRPr="00636ABB" w:rsidRDefault="00636ABB" w:rsidP="00636ABB">
      <w:pPr>
        <w:ind w:left="360"/>
        <w:rPr>
          <w:b/>
          <w:color w:val="000000" w:themeColor="text1"/>
          <w:sz w:val="36"/>
        </w:rPr>
      </w:pPr>
    </w:p>
    <w:p w14:paraId="759DC9B2" w14:textId="77777777" w:rsidR="00250F3C" w:rsidRPr="00250F3C" w:rsidRDefault="00250F3C" w:rsidP="00250F3C">
      <w:pPr>
        <w:rPr>
          <w:color w:val="000000" w:themeColor="text1"/>
          <w:sz w:val="36"/>
        </w:rPr>
      </w:pPr>
    </w:p>
    <w:p w14:paraId="6117CC27" w14:textId="77777777" w:rsidR="00560122" w:rsidRPr="001E1B69" w:rsidRDefault="00560122">
      <w:pPr>
        <w:rPr>
          <w:color w:val="000000" w:themeColor="text1"/>
          <w:sz w:val="36"/>
        </w:rPr>
      </w:pPr>
    </w:p>
    <w:sectPr w:rsidR="00560122" w:rsidRPr="001E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393"/>
    <w:multiLevelType w:val="hybridMultilevel"/>
    <w:tmpl w:val="0BDC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CE3"/>
    <w:multiLevelType w:val="hybridMultilevel"/>
    <w:tmpl w:val="CA68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7C1"/>
    <w:multiLevelType w:val="hybridMultilevel"/>
    <w:tmpl w:val="688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F02CF"/>
    <w:multiLevelType w:val="hybridMultilevel"/>
    <w:tmpl w:val="C7DA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3582"/>
    <w:multiLevelType w:val="hybridMultilevel"/>
    <w:tmpl w:val="01EC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6CEA"/>
    <w:multiLevelType w:val="hybridMultilevel"/>
    <w:tmpl w:val="5A3E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B446A"/>
    <w:multiLevelType w:val="hybridMultilevel"/>
    <w:tmpl w:val="A7DC4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61C48"/>
    <w:multiLevelType w:val="hybridMultilevel"/>
    <w:tmpl w:val="3D10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91984"/>
    <w:multiLevelType w:val="hybridMultilevel"/>
    <w:tmpl w:val="0AA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21"/>
    <w:rsid w:val="000068F0"/>
    <w:rsid w:val="000B7562"/>
    <w:rsid w:val="001C17FB"/>
    <w:rsid w:val="001E1B69"/>
    <w:rsid w:val="00213D7E"/>
    <w:rsid w:val="00243A91"/>
    <w:rsid w:val="00250F3C"/>
    <w:rsid w:val="002B5F5B"/>
    <w:rsid w:val="00333F8F"/>
    <w:rsid w:val="003A69A1"/>
    <w:rsid w:val="00560122"/>
    <w:rsid w:val="005B11C4"/>
    <w:rsid w:val="005C4382"/>
    <w:rsid w:val="00636ABB"/>
    <w:rsid w:val="006B4D5A"/>
    <w:rsid w:val="00800A2F"/>
    <w:rsid w:val="00942DAB"/>
    <w:rsid w:val="00A4065D"/>
    <w:rsid w:val="00A825DD"/>
    <w:rsid w:val="00B60661"/>
    <w:rsid w:val="00BB3737"/>
    <w:rsid w:val="00CA4AFF"/>
    <w:rsid w:val="00D36AFF"/>
    <w:rsid w:val="00D6690A"/>
    <w:rsid w:val="00D67321"/>
    <w:rsid w:val="00D935C8"/>
    <w:rsid w:val="00D967A8"/>
    <w:rsid w:val="00DF4F4D"/>
    <w:rsid w:val="00E12269"/>
    <w:rsid w:val="00F7389A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4676"/>
  <w15:chartTrackingRefBased/>
  <w15:docId w15:val="{B028C236-3B3B-4BCF-8D3B-7D0E7024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69"/>
    <w:pPr>
      <w:ind w:left="720"/>
      <w:contextualSpacing/>
    </w:pPr>
  </w:style>
  <w:style w:type="table" w:styleId="TableGrid">
    <w:name w:val="Table Grid"/>
    <w:basedOn w:val="TableNormal"/>
    <w:uiPriority w:val="39"/>
    <w:rsid w:val="001E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1B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E1B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2">
    <w:name w:val="Grid Table 1 Light2"/>
    <w:basedOn w:val="TableNormal"/>
    <w:uiPriority w:val="46"/>
    <w:rsid w:val="00942DAB"/>
    <w:pPr>
      <w:spacing w:after="0" w:line="240" w:lineRule="auto"/>
    </w:pPr>
    <w:rPr>
      <w:rFonts w:ascii="Calibri" w:eastAsia="Calibri" w:hAnsi="Calibri" w:cs="Times New Roman"/>
      <w:lang w:val="sv-SE" w:eastAsia="sv-S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7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7</cp:revision>
  <dcterms:created xsi:type="dcterms:W3CDTF">2019-01-29T04:07:00Z</dcterms:created>
  <dcterms:modified xsi:type="dcterms:W3CDTF">2019-02-05T12:08:00Z</dcterms:modified>
</cp:coreProperties>
</file>