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3F79" w14:textId="77777777" w:rsidR="00D76F04" w:rsidRDefault="00D76F04" w:rsidP="00D76F04">
      <w:pPr>
        <w:pStyle w:val="a4"/>
        <w:ind w:firstLine="420"/>
      </w:pPr>
      <w:r>
        <w:rPr>
          <w:rFonts w:hint="eastAsia"/>
        </w:rPr>
        <w:t>动车组隧道附加阻力计算公式为：</w:t>
      </w:r>
    </w:p>
    <w:p w14:paraId="1D95BDFB" w14:textId="77777777" w:rsidR="00D76F04" w:rsidRDefault="00D76F04" w:rsidP="00D76F04">
      <w:pPr>
        <w:pStyle w:val="a4"/>
        <w:ind w:firstLine="420"/>
      </w:pPr>
      <m:oMathPara>
        <m:oMath>
          <m:r>
            <m:rPr>
              <m:sty m:val="p"/>
            </m:rPr>
            <w:rPr>
              <w:rFonts w:ascii="Cambria Math" w:hAnsi="Cambria Math"/>
            </w:rPr>
            <m:t>F=0.00116</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+0.02529V+2.64</m:t>
          </m:r>
        </m:oMath>
      </m:oMathPara>
    </w:p>
    <w:p w14:paraId="14A6026E" w14:textId="77777777" w:rsidR="00D76F04" w:rsidRDefault="00D76F04" w:rsidP="00D76F04">
      <w:pPr>
        <w:pStyle w:val="a4"/>
        <w:ind w:firstLine="420"/>
      </w:pPr>
      <w:r>
        <w:rPr>
          <w:rFonts w:hint="eastAsia"/>
        </w:rPr>
        <w:t>普客列车隧道附加阻力计算公式为：</w:t>
      </w:r>
    </w:p>
    <w:p w14:paraId="3FB7F670" w14:textId="77777777" w:rsidR="00D76F04" w:rsidRDefault="00D76F04" w:rsidP="00D76F04">
      <w:pPr>
        <w:pStyle w:val="a4"/>
        <w:ind w:firstLine="420"/>
      </w:pPr>
      <m:oMathPara>
        <m:oMath>
          <m:r>
            <m:rPr>
              <m:sty m:val="p"/>
            </m:rPr>
            <w:rPr>
              <w:rFonts w:ascii="Cambria Math" w:hAnsi="Cambria Math"/>
            </w:rPr>
            <m:t>F=0.0008656</m:t>
          </m:r>
          <m:sSup>
            <m:sSupPr>
              <m:ctrlPr>
                <w:rPr>
                  <w:rFonts w:ascii="Cambria Math" w:hAnsi="Cambria Math"/>
                </w:rPr>
              </m:ctrlPr>
            </m:sSupPr>
            <m:e>
              <m:r>
                <w:rPr>
                  <w:rFonts w:ascii="Cambria Math" w:hAnsi="Cambria Math"/>
                </w:rPr>
                <m:t>V</m:t>
              </m:r>
            </m:e>
            <m:sup>
              <m:r>
                <w:rPr>
                  <w:rFonts w:ascii="Cambria Math" w:hAnsi="Cambria Math"/>
                </w:rPr>
                <m:t>2</m:t>
              </m:r>
            </m:sup>
          </m:sSup>
          <m:r>
            <w:rPr>
              <w:rFonts w:ascii="Cambria Math" w:hAnsi="Cambria Math"/>
            </w:rPr>
            <m:t>+0.01842V+2.64</m:t>
          </m:r>
        </m:oMath>
      </m:oMathPara>
    </w:p>
    <w:p w14:paraId="0F75F8ED" w14:textId="77777777" w:rsidR="00D76F04" w:rsidRDefault="00D76F04" w:rsidP="00D76F04">
      <w:pPr>
        <w:pStyle w:val="a4"/>
        <w:ind w:firstLine="420"/>
      </w:pPr>
      <w:r>
        <w:rPr>
          <w:rFonts w:hint="eastAsia"/>
        </w:rPr>
        <w:t>货物列车隧道附加阻力计算公式为：</w:t>
      </w:r>
    </w:p>
    <w:p w14:paraId="3BDB49CE" w14:textId="77777777" w:rsidR="00D76F04" w:rsidRDefault="00D76F04" w:rsidP="00D76F04">
      <w:pPr>
        <w:pStyle w:val="a4"/>
        <w:ind w:firstLine="420"/>
      </w:pPr>
      <m:oMathPara>
        <m:oMath>
          <m:r>
            <m:rPr>
              <m:sty m:val="p"/>
            </m:rPr>
            <w:rPr>
              <w:rFonts w:ascii="Cambria Math" w:hAnsi="Cambria Math"/>
            </w:rPr>
            <m:t>F=0.006714</m:t>
          </m:r>
          <m:sSup>
            <m:sSupPr>
              <m:ctrlPr>
                <w:rPr>
                  <w:rFonts w:ascii="Cambria Math" w:hAnsi="Cambria Math"/>
                </w:rPr>
              </m:ctrlPr>
            </m:sSupPr>
            <m:e>
              <m:r>
                <w:rPr>
                  <w:rFonts w:ascii="Cambria Math" w:hAnsi="Cambria Math"/>
                </w:rPr>
                <m:t>V</m:t>
              </m:r>
            </m:e>
            <m:sup>
              <m:r>
                <w:rPr>
                  <w:rFonts w:ascii="Cambria Math" w:hAnsi="Cambria Math"/>
                </w:rPr>
                <m:t>2</m:t>
              </m:r>
            </m:sup>
          </m:sSup>
        </m:oMath>
      </m:oMathPara>
    </w:p>
    <w:p w14:paraId="66AB3608" w14:textId="77777777" w:rsidR="00D76F04" w:rsidRDefault="00D76F04" w:rsidP="00D76F04">
      <w:pPr>
        <w:pStyle w:val="a4"/>
        <w:ind w:firstLine="420"/>
      </w:pPr>
      <w:r>
        <w:rPr>
          <w:rFonts w:hint="eastAsia"/>
        </w:rPr>
        <w:t>不同海拔范围内阻力与隧道阻力的变化可以通过参考设计资料得到如下标所示的改变效果。</w:t>
      </w:r>
    </w:p>
    <w:p w14:paraId="5144B4B6" w14:textId="77777777" w:rsidR="00D76F04" w:rsidRDefault="00D76F04" w:rsidP="00D76F04">
      <w:pPr>
        <w:pStyle w:val="a6"/>
      </w:pPr>
      <w:r>
        <w:rPr>
          <w:rFonts w:hint="eastAsia"/>
        </w:rPr>
        <w:t>表</w:t>
      </w:r>
      <w:r>
        <w:t xml:space="preserve"> </w:t>
      </w:r>
      <w:fldSimple w:instr=" STYLEREF 1 \s ">
        <w:r>
          <w:t>2</w:t>
        </w:r>
      </w:fldSimple>
      <w:r>
        <w:noBreakHyphen/>
      </w:r>
      <w:r>
        <w:fldChar w:fldCharType="begin"/>
      </w:r>
      <w:r>
        <w:instrText xml:space="preserve"> SEQ </w:instrText>
      </w:r>
      <w:r>
        <w:rPr>
          <w:rFonts w:hint="eastAsia"/>
        </w:rPr>
        <w:instrText>表</w:instrText>
      </w:r>
      <w:r>
        <w:instrText xml:space="preserve"> \* ARABIC \s 1 </w:instrText>
      </w:r>
      <w:r>
        <w:fldChar w:fldCharType="separate"/>
      </w:r>
      <w:r>
        <w:t>8</w:t>
      </w:r>
      <w:r>
        <w:fldChar w:fldCharType="end"/>
      </w:r>
      <w:r>
        <w:rPr>
          <w:rFonts w:hint="eastAsia"/>
          <w:spacing w:val="-3"/>
        </w:rPr>
        <w:t>不同海拔范围内隧道附加阻力变化</w:t>
      </w:r>
    </w:p>
    <w:tbl>
      <w:tblPr>
        <w:tblW w:w="0" w:type="auto"/>
        <w:jc w:val="center"/>
        <w:tblLayout w:type="fixed"/>
        <w:tblCellMar>
          <w:left w:w="0" w:type="dxa"/>
          <w:right w:w="0" w:type="dxa"/>
        </w:tblCellMar>
        <w:tblLook w:val="04A0" w:firstRow="1" w:lastRow="0" w:firstColumn="1" w:lastColumn="0" w:noHBand="0" w:noVBand="1"/>
      </w:tblPr>
      <w:tblGrid>
        <w:gridCol w:w="1228"/>
        <w:gridCol w:w="2515"/>
        <w:gridCol w:w="3061"/>
      </w:tblGrid>
      <w:tr w:rsidR="00D76F04" w14:paraId="2B0671B6" w14:textId="77777777" w:rsidTr="00D76F04">
        <w:trPr>
          <w:trHeight w:val="272"/>
          <w:jc w:val="center"/>
        </w:trPr>
        <w:tc>
          <w:tcPr>
            <w:tcW w:w="1228" w:type="dxa"/>
            <w:tcBorders>
              <w:top w:val="single" w:sz="12" w:space="0" w:color="000000"/>
              <w:left w:val="nil"/>
              <w:bottom w:val="single" w:sz="4" w:space="0" w:color="000000"/>
              <w:right w:val="nil"/>
            </w:tcBorders>
            <w:hideMark/>
          </w:tcPr>
          <w:p w14:paraId="53D581DB" w14:textId="77777777" w:rsidR="00D76F04" w:rsidRDefault="00D76F04">
            <w:pPr>
              <w:jc w:val="center"/>
              <w:rPr>
                <w:kern w:val="0"/>
              </w:rPr>
            </w:pPr>
            <w:r>
              <w:rPr>
                <w:rFonts w:hint="eastAsia"/>
                <w:kern w:val="0"/>
              </w:rPr>
              <w:t>海拔（</w:t>
            </w:r>
            <w:r>
              <w:rPr>
                <w:kern w:val="0"/>
              </w:rPr>
              <w:t>m</w:t>
            </w:r>
            <w:r>
              <w:rPr>
                <w:rFonts w:hint="eastAsia"/>
                <w:kern w:val="0"/>
              </w:rPr>
              <w:t>）</w:t>
            </w:r>
          </w:p>
        </w:tc>
        <w:tc>
          <w:tcPr>
            <w:tcW w:w="2515" w:type="dxa"/>
            <w:tcBorders>
              <w:top w:val="single" w:sz="12" w:space="0" w:color="000000"/>
              <w:left w:val="nil"/>
              <w:bottom w:val="single" w:sz="4" w:space="0" w:color="000000"/>
              <w:right w:val="nil"/>
            </w:tcBorders>
            <w:hideMark/>
          </w:tcPr>
          <w:p w14:paraId="40E3A34C" w14:textId="77777777" w:rsidR="00D76F04" w:rsidRDefault="00D76F04">
            <w:pPr>
              <w:jc w:val="center"/>
              <w:rPr>
                <w:kern w:val="0"/>
              </w:rPr>
            </w:pPr>
            <w:r>
              <w:rPr>
                <w:rFonts w:hint="eastAsia"/>
                <w:kern w:val="0"/>
              </w:rPr>
              <w:t>阻力降低</w:t>
            </w:r>
            <w:r>
              <w:rPr>
                <w:rFonts w:hint="eastAsia"/>
                <w:spacing w:val="-2"/>
              </w:rPr>
              <w:t>（</w:t>
            </w:r>
            <w:r>
              <w:rPr>
                <w:spacing w:val="-2"/>
              </w:rPr>
              <w:t>52m</w:t>
            </w:r>
            <w:r>
              <w:rPr>
                <w:spacing w:val="-2"/>
                <w:vertAlign w:val="superscript"/>
              </w:rPr>
              <w:t>2</w:t>
            </w:r>
            <w:r>
              <w:rPr>
                <w:rFonts w:hint="eastAsia"/>
                <w:spacing w:val="-2"/>
              </w:rPr>
              <w:t>）（</w:t>
            </w:r>
            <w:r>
              <w:rPr>
                <w:spacing w:val="-2"/>
              </w:rPr>
              <w:t>%</w:t>
            </w:r>
            <w:r>
              <w:rPr>
                <w:rFonts w:hint="eastAsia"/>
                <w:spacing w:val="-2"/>
              </w:rPr>
              <w:t>）</w:t>
            </w:r>
          </w:p>
        </w:tc>
        <w:tc>
          <w:tcPr>
            <w:tcW w:w="3061" w:type="dxa"/>
            <w:tcBorders>
              <w:top w:val="single" w:sz="12" w:space="0" w:color="000000"/>
              <w:left w:val="nil"/>
              <w:bottom w:val="single" w:sz="4" w:space="0" w:color="000000"/>
              <w:right w:val="nil"/>
            </w:tcBorders>
            <w:hideMark/>
          </w:tcPr>
          <w:p w14:paraId="77FC744C" w14:textId="77777777" w:rsidR="00D76F04" w:rsidRDefault="00D76F04">
            <w:pPr>
              <w:pStyle w:val="TableParagraph"/>
              <w:spacing w:line="252" w:lineRule="exact"/>
              <w:ind w:left="105" w:right="101" w:firstLine="412"/>
              <w:rPr>
                <w:rFonts w:eastAsia="宋体"/>
                <w:sz w:val="21"/>
              </w:rPr>
            </w:pPr>
            <w:r>
              <w:rPr>
                <w:rFonts w:eastAsia="宋体" w:hint="eastAsia"/>
                <w:spacing w:val="-2"/>
                <w:sz w:val="21"/>
              </w:rPr>
              <w:t>阻力降低（</w:t>
            </w:r>
            <w:r>
              <w:rPr>
                <w:rFonts w:eastAsia="宋体"/>
                <w:spacing w:val="-2"/>
                <w:sz w:val="21"/>
              </w:rPr>
              <w:t>81.37m</w:t>
            </w:r>
            <w:r>
              <w:rPr>
                <w:rFonts w:eastAsia="宋体"/>
                <w:spacing w:val="-2"/>
                <w:position w:val="7"/>
                <w:sz w:val="14"/>
              </w:rPr>
              <w:t>2</w:t>
            </w:r>
            <w:r>
              <w:rPr>
                <w:rFonts w:eastAsia="宋体" w:hint="eastAsia"/>
                <w:spacing w:val="-2"/>
                <w:sz w:val="21"/>
              </w:rPr>
              <w:t>）（</w:t>
            </w:r>
            <w:r>
              <w:rPr>
                <w:rFonts w:eastAsia="宋体"/>
                <w:spacing w:val="-2"/>
                <w:sz w:val="21"/>
              </w:rPr>
              <w:t>%</w:t>
            </w:r>
            <w:r>
              <w:rPr>
                <w:rFonts w:eastAsia="宋体" w:hint="eastAsia"/>
                <w:spacing w:val="-2"/>
                <w:sz w:val="21"/>
              </w:rPr>
              <w:t>）</w:t>
            </w:r>
          </w:p>
        </w:tc>
      </w:tr>
      <w:tr w:rsidR="00D76F04" w14:paraId="1FF5B1A9" w14:textId="77777777" w:rsidTr="00D76F04">
        <w:trPr>
          <w:trHeight w:val="245"/>
          <w:jc w:val="center"/>
        </w:trPr>
        <w:tc>
          <w:tcPr>
            <w:tcW w:w="1228" w:type="dxa"/>
            <w:tcBorders>
              <w:top w:val="single" w:sz="4" w:space="0" w:color="000000"/>
              <w:left w:val="nil"/>
              <w:bottom w:val="nil"/>
              <w:right w:val="nil"/>
            </w:tcBorders>
            <w:hideMark/>
          </w:tcPr>
          <w:p w14:paraId="31450E63" w14:textId="77777777" w:rsidR="00D76F04" w:rsidRDefault="00D76F04">
            <w:pPr>
              <w:jc w:val="center"/>
              <w:rPr>
                <w:kern w:val="0"/>
              </w:rPr>
            </w:pPr>
            <w:r>
              <w:rPr>
                <w:kern w:val="0"/>
              </w:rPr>
              <w:t>1000-1500</w:t>
            </w:r>
          </w:p>
        </w:tc>
        <w:tc>
          <w:tcPr>
            <w:tcW w:w="2515" w:type="dxa"/>
            <w:tcBorders>
              <w:top w:val="single" w:sz="4" w:space="0" w:color="000000"/>
              <w:left w:val="nil"/>
              <w:bottom w:val="nil"/>
              <w:right w:val="nil"/>
            </w:tcBorders>
            <w:hideMark/>
          </w:tcPr>
          <w:p w14:paraId="4145B971" w14:textId="77777777" w:rsidR="00D76F04" w:rsidRDefault="00D76F04">
            <w:pPr>
              <w:jc w:val="center"/>
              <w:rPr>
                <w:kern w:val="0"/>
              </w:rPr>
            </w:pPr>
            <w:r>
              <w:rPr>
                <w:kern w:val="0"/>
              </w:rPr>
              <w:t>-4.78</w:t>
            </w:r>
          </w:p>
        </w:tc>
        <w:tc>
          <w:tcPr>
            <w:tcW w:w="3061" w:type="dxa"/>
            <w:tcBorders>
              <w:top w:val="single" w:sz="4" w:space="0" w:color="000000"/>
              <w:left w:val="nil"/>
              <w:bottom w:val="nil"/>
              <w:right w:val="nil"/>
            </w:tcBorders>
            <w:hideMark/>
          </w:tcPr>
          <w:p w14:paraId="2AE7F6D9" w14:textId="77777777" w:rsidR="00D76F04" w:rsidRDefault="00D76F04">
            <w:pPr>
              <w:jc w:val="center"/>
              <w:rPr>
                <w:kern w:val="0"/>
              </w:rPr>
            </w:pPr>
            <w:r>
              <w:rPr>
                <w:kern w:val="0"/>
              </w:rPr>
              <w:t>-4.06</w:t>
            </w:r>
          </w:p>
        </w:tc>
      </w:tr>
      <w:tr w:rsidR="00D76F04" w14:paraId="5400DFE0" w14:textId="77777777" w:rsidTr="00D76F04">
        <w:trPr>
          <w:trHeight w:val="241"/>
          <w:jc w:val="center"/>
        </w:trPr>
        <w:tc>
          <w:tcPr>
            <w:tcW w:w="1228" w:type="dxa"/>
            <w:hideMark/>
          </w:tcPr>
          <w:p w14:paraId="2FAD572B" w14:textId="77777777" w:rsidR="00D76F04" w:rsidRDefault="00D76F04">
            <w:pPr>
              <w:jc w:val="center"/>
              <w:rPr>
                <w:kern w:val="0"/>
              </w:rPr>
            </w:pPr>
            <w:r>
              <w:rPr>
                <w:kern w:val="0"/>
              </w:rPr>
              <w:t>1500-2000</w:t>
            </w:r>
          </w:p>
        </w:tc>
        <w:tc>
          <w:tcPr>
            <w:tcW w:w="2515" w:type="dxa"/>
            <w:hideMark/>
          </w:tcPr>
          <w:p w14:paraId="27F5DDFF" w14:textId="77777777" w:rsidR="00D76F04" w:rsidRDefault="00D76F04">
            <w:pPr>
              <w:jc w:val="center"/>
              <w:rPr>
                <w:kern w:val="0"/>
              </w:rPr>
            </w:pPr>
            <w:r>
              <w:rPr>
                <w:kern w:val="0"/>
              </w:rPr>
              <w:t>-9.54</w:t>
            </w:r>
          </w:p>
        </w:tc>
        <w:tc>
          <w:tcPr>
            <w:tcW w:w="3061" w:type="dxa"/>
            <w:hideMark/>
          </w:tcPr>
          <w:p w14:paraId="1E523D28" w14:textId="77777777" w:rsidR="00D76F04" w:rsidRDefault="00D76F04">
            <w:pPr>
              <w:jc w:val="center"/>
              <w:rPr>
                <w:kern w:val="0"/>
              </w:rPr>
            </w:pPr>
            <w:r>
              <w:rPr>
                <w:kern w:val="0"/>
              </w:rPr>
              <w:t>-8.29</w:t>
            </w:r>
          </w:p>
        </w:tc>
      </w:tr>
      <w:tr w:rsidR="00D76F04" w14:paraId="4D3B9851" w14:textId="77777777" w:rsidTr="00D76F04">
        <w:trPr>
          <w:trHeight w:val="242"/>
          <w:jc w:val="center"/>
        </w:trPr>
        <w:tc>
          <w:tcPr>
            <w:tcW w:w="1228" w:type="dxa"/>
            <w:hideMark/>
          </w:tcPr>
          <w:p w14:paraId="409984FE" w14:textId="77777777" w:rsidR="00D76F04" w:rsidRDefault="00D76F04">
            <w:pPr>
              <w:jc w:val="center"/>
              <w:rPr>
                <w:kern w:val="0"/>
              </w:rPr>
            </w:pPr>
            <w:r>
              <w:rPr>
                <w:kern w:val="0"/>
              </w:rPr>
              <w:t>2000-2500</w:t>
            </w:r>
          </w:p>
        </w:tc>
        <w:tc>
          <w:tcPr>
            <w:tcW w:w="2515" w:type="dxa"/>
            <w:hideMark/>
          </w:tcPr>
          <w:p w14:paraId="5C8FDE56" w14:textId="77777777" w:rsidR="00D76F04" w:rsidRDefault="00D76F04">
            <w:pPr>
              <w:jc w:val="center"/>
              <w:rPr>
                <w:kern w:val="0"/>
              </w:rPr>
            </w:pPr>
            <w:r>
              <w:rPr>
                <w:kern w:val="0"/>
              </w:rPr>
              <w:t>-13.81</w:t>
            </w:r>
          </w:p>
        </w:tc>
        <w:tc>
          <w:tcPr>
            <w:tcW w:w="3061" w:type="dxa"/>
            <w:hideMark/>
          </w:tcPr>
          <w:p w14:paraId="16516FD2" w14:textId="77777777" w:rsidR="00D76F04" w:rsidRDefault="00D76F04">
            <w:pPr>
              <w:jc w:val="center"/>
              <w:rPr>
                <w:kern w:val="0"/>
              </w:rPr>
            </w:pPr>
            <w:r>
              <w:rPr>
                <w:kern w:val="0"/>
              </w:rPr>
              <w:t>-12.09</w:t>
            </w:r>
          </w:p>
        </w:tc>
      </w:tr>
      <w:tr w:rsidR="00D76F04" w14:paraId="0CA6A08C" w14:textId="77777777" w:rsidTr="00D76F04">
        <w:trPr>
          <w:trHeight w:val="241"/>
          <w:jc w:val="center"/>
        </w:trPr>
        <w:tc>
          <w:tcPr>
            <w:tcW w:w="1228" w:type="dxa"/>
            <w:hideMark/>
          </w:tcPr>
          <w:p w14:paraId="024F2AC7" w14:textId="77777777" w:rsidR="00D76F04" w:rsidRDefault="00D76F04">
            <w:pPr>
              <w:jc w:val="center"/>
              <w:rPr>
                <w:kern w:val="0"/>
              </w:rPr>
            </w:pPr>
            <w:r>
              <w:rPr>
                <w:kern w:val="0"/>
              </w:rPr>
              <w:t>2500-3000</w:t>
            </w:r>
          </w:p>
        </w:tc>
        <w:tc>
          <w:tcPr>
            <w:tcW w:w="2515" w:type="dxa"/>
            <w:hideMark/>
          </w:tcPr>
          <w:p w14:paraId="3228D57B" w14:textId="77777777" w:rsidR="00D76F04" w:rsidRDefault="00D76F04">
            <w:pPr>
              <w:jc w:val="center"/>
              <w:rPr>
                <w:kern w:val="0"/>
              </w:rPr>
            </w:pPr>
            <w:r>
              <w:rPr>
                <w:kern w:val="0"/>
              </w:rPr>
              <w:t>-16.43</w:t>
            </w:r>
          </w:p>
        </w:tc>
        <w:tc>
          <w:tcPr>
            <w:tcW w:w="3061" w:type="dxa"/>
            <w:hideMark/>
          </w:tcPr>
          <w:p w14:paraId="6392AA92" w14:textId="77777777" w:rsidR="00D76F04" w:rsidRDefault="00D76F04">
            <w:pPr>
              <w:jc w:val="center"/>
              <w:rPr>
                <w:kern w:val="0"/>
              </w:rPr>
            </w:pPr>
            <w:r>
              <w:rPr>
                <w:kern w:val="0"/>
              </w:rPr>
              <w:t>-15.84</w:t>
            </w:r>
          </w:p>
        </w:tc>
      </w:tr>
      <w:tr w:rsidR="00D76F04" w14:paraId="68321CE6" w14:textId="77777777" w:rsidTr="00D76F04">
        <w:trPr>
          <w:trHeight w:val="241"/>
          <w:jc w:val="center"/>
        </w:trPr>
        <w:tc>
          <w:tcPr>
            <w:tcW w:w="1228" w:type="dxa"/>
            <w:hideMark/>
          </w:tcPr>
          <w:p w14:paraId="6F69D7D9" w14:textId="77777777" w:rsidR="00D76F04" w:rsidRDefault="00D76F04">
            <w:pPr>
              <w:jc w:val="center"/>
              <w:rPr>
                <w:kern w:val="0"/>
              </w:rPr>
            </w:pPr>
            <w:r>
              <w:rPr>
                <w:kern w:val="0"/>
              </w:rPr>
              <w:t>3000-3500</w:t>
            </w:r>
          </w:p>
        </w:tc>
        <w:tc>
          <w:tcPr>
            <w:tcW w:w="2515" w:type="dxa"/>
            <w:hideMark/>
          </w:tcPr>
          <w:p w14:paraId="4A8A9A7D" w14:textId="77777777" w:rsidR="00D76F04" w:rsidRDefault="00D76F04">
            <w:pPr>
              <w:jc w:val="center"/>
              <w:rPr>
                <w:kern w:val="0"/>
              </w:rPr>
            </w:pPr>
            <w:r>
              <w:rPr>
                <w:kern w:val="0"/>
              </w:rPr>
              <w:t>-18.72</w:t>
            </w:r>
          </w:p>
        </w:tc>
        <w:tc>
          <w:tcPr>
            <w:tcW w:w="3061" w:type="dxa"/>
            <w:hideMark/>
          </w:tcPr>
          <w:p w14:paraId="42559496" w14:textId="77777777" w:rsidR="00D76F04" w:rsidRDefault="00D76F04">
            <w:pPr>
              <w:jc w:val="center"/>
              <w:rPr>
                <w:kern w:val="0"/>
              </w:rPr>
            </w:pPr>
            <w:r>
              <w:rPr>
                <w:kern w:val="0"/>
              </w:rPr>
              <w:t>-17.61</w:t>
            </w:r>
          </w:p>
        </w:tc>
      </w:tr>
      <w:tr w:rsidR="00D76F04" w14:paraId="1A77B09B" w14:textId="77777777" w:rsidTr="00D76F04">
        <w:trPr>
          <w:trHeight w:val="241"/>
          <w:jc w:val="center"/>
        </w:trPr>
        <w:tc>
          <w:tcPr>
            <w:tcW w:w="1228" w:type="dxa"/>
            <w:hideMark/>
          </w:tcPr>
          <w:p w14:paraId="658B9EA9" w14:textId="77777777" w:rsidR="00D76F04" w:rsidRDefault="00D76F04">
            <w:pPr>
              <w:jc w:val="center"/>
              <w:rPr>
                <w:kern w:val="0"/>
              </w:rPr>
            </w:pPr>
            <w:r>
              <w:rPr>
                <w:kern w:val="0"/>
              </w:rPr>
              <w:t>3500-4000</w:t>
            </w:r>
          </w:p>
        </w:tc>
        <w:tc>
          <w:tcPr>
            <w:tcW w:w="2515" w:type="dxa"/>
            <w:hideMark/>
          </w:tcPr>
          <w:p w14:paraId="3852A3F1" w14:textId="77777777" w:rsidR="00D76F04" w:rsidRDefault="00D76F04">
            <w:pPr>
              <w:jc w:val="center"/>
              <w:rPr>
                <w:kern w:val="0"/>
              </w:rPr>
            </w:pPr>
            <w:r>
              <w:rPr>
                <w:kern w:val="0"/>
              </w:rPr>
              <w:t>-22.36</w:t>
            </w:r>
          </w:p>
        </w:tc>
        <w:tc>
          <w:tcPr>
            <w:tcW w:w="3061" w:type="dxa"/>
            <w:hideMark/>
          </w:tcPr>
          <w:p w14:paraId="556839A1" w14:textId="77777777" w:rsidR="00D76F04" w:rsidRDefault="00D76F04">
            <w:pPr>
              <w:jc w:val="center"/>
              <w:rPr>
                <w:kern w:val="0"/>
              </w:rPr>
            </w:pPr>
            <w:r>
              <w:rPr>
                <w:kern w:val="0"/>
              </w:rPr>
              <w:t>-20.2</w:t>
            </w:r>
          </w:p>
        </w:tc>
      </w:tr>
      <w:tr w:rsidR="00D76F04" w14:paraId="48C94B4A" w14:textId="77777777" w:rsidTr="00D76F04">
        <w:trPr>
          <w:trHeight w:val="238"/>
          <w:jc w:val="center"/>
        </w:trPr>
        <w:tc>
          <w:tcPr>
            <w:tcW w:w="1228" w:type="dxa"/>
            <w:tcBorders>
              <w:top w:val="nil"/>
              <w:left w:val="nil"/>
              <w:bottom w:val="single" w:sz="12" w:space="0" w:color="000000"/>
              <w:right w:val="nil"/>
            </w:tcBorders>
            <w:hideMark/>
          </w:tcPr>
          <w:p w14:paraId="7CBED8FC" w14:textId="77777777" w:rsidR="00D76F04" w:rsidRDefault="00D76F04">
            <w:pPr>
              <w:jc w:val="center"/>
              <w:rPr>
                <w:kern w:val="0"/>
              </w:rPr>
            </w:pPr>
            <w:r>
              <w:rPr>
                <w:kern w:val="0"/>
              </w:rPr>
              <w:t>4000-4500</w:t>
            </w:r>
          </w:p>
        </w:tc>
        <w:tc>
          <w:tcPr>
            <w:tcW w:w="2515" w:type="dxa"/>
            <w:tcBorders>
              <w:top w:val="nil"/>
              <w:left w:val="nil"/>
              <w:bottom w:val="single" w:sz="12" w:space="0" w:color="000000"/>
              <w:right w:val="nil"/>
            </w:tcBorders>
            <w:hideMark/>
          </w:tcPr>
          <w:p w14:paraId="409741F8" w14:textId="77777777" w:rsidR="00D76F04" w:rsidRDefault="00D76F04">
            <w:pPr>
              <w:jc w:val="center"/>
              <w:rPr>
                <w:kern w:val="0"/>
              </w:rPr>
            </w:pPr>
            <w:r>
              <w:rPr>
                <w:kern w:val="0"/>
              </w:rPr>
              <w:t>-27.17</w:t>
            </w:r>
          </w:p>
        </w:tc>
        <w:tc>
          <w:tcPr>
            <w:tcW w:w="3061" w:type="dxa"/>
            <w:tcBorders>
              <w:top w:val="nil"/>
              <w:left w:val="nil"/>
              <w:bottom w:val="single" w:sz="12" w:space="0" w:color="000000"/>
              <w:right w:val="nil"/>
            </w:tcBorders>
            <w:hideMark/>
          </w:tcPr>
          <w:p w14:paraId="05CA9BD7" w14:textId="77777777" w:rsidR="00D76F04" w:rsidRDefault="00D76F04">
            <w:pPr>
              <w:jc w:val="center"/>
              <w:rPr>
                <w:kern w:val="0"/>
              </w:rPr>
            </w:pPr>
            <w:r>
              <w:rPr>
                <w:kern w:val="0"/>
              </w:rPr>
              <w:t>-24.03</w:t>
            </w:r>
          </w:p>
        </w:tc>
      </w:tr>
    </w:tbl>
    <w:p w14:paraId="6D5A3AF5" w14:textId="77777777" w:rsidR="00D76F04" w:rsidRDefault="00D76F04" w:rsidP="00D76F04">
      <w:pPr>
        <w:pStyle w:val="a4"/>
        <w:ind w:firstLine="420"/>
        <w:rPr>
          <w:rFonts w:cstheme="minorBidi"/>
          <w:szCs w:val="20"/>
        </w:rPr>
      </w:pPr>
      <w:r>
        <w:rPr>
          <w:rFonts w:hint="eastAsia"/>
        </w:rPr>
        <w:t>根据最新设计资料，川藏铁路全部隧道的面积取平均值</w:t>
      </w:r>
      <w:r>
        <w:t>81.37</w:t>
      </w:r>
      <w:r>
        <w:rPr>
          <w:rFonts w:hint="eastAsia"/>
        </w:rPr>
        <w:t>㎡。</w:t>
      </w:r>
    </w:p>
    <w:p w14:paraId="3994CA7B" w14:textId="77777777" w:rsidR="00C36384" w:rsidRPr="00D76F04" w:rsidRDefault="00C36384"/>
    <w:sectPr w:rsidR="00C36384" w:rsidRPr="00D76F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719"/>
    <w:rsid w:val="00752719"/>
    <w:rsid w:val="00961FFE"/>
    <w:rsid w:val="00C36384"/>
    <w:rsid w:val="00D76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B0A0"/>
  <w15:chartTrackingRefBased/>
  <w15:docId w15:val="{9738BBA4-C893-45E5-81E1-DFB0FED4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rsid w:val="00D76F04"/>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报告正文 字符"/>
    <w:basedOn w:val="a0"/>
    <w:link w:val="a4"/>
    <w:qFormat/>
    <w:locked/>
    <w:rsid w:val="00D76F04"/>
    <w:rPr>
      <w:rFonts w:ascii="Times" w:eastAsia="宋体" w:hAnsi="Times" w:cs="Times"/>
    </w:rPr>
  </w:style>
  <w:style w:type="paragraph" w:customStyle="1" w:styleId="a4">
    <w:name w:val="报告正文"/>
    <w:basedOn w:val="a"/>
    <w:link w:val="a3"/>
    <w:qFormat/>
    <w:rsid w:val="00D76F04"/>
    <w:pPr>
      <w:spacing w:line="360" w:lineRule="auto"/>
      <w:ind w:firstLineChars="200" w:firstLine="200"/>
    </w:pPr>
    <w:rPr>
      <w:rFonts w:ascii="Times" w:hAnsi="Times" w:cs="Times"/>
      <w:szCs w:val="22"/>
    </w:rPr>
  </w:style>
  <w:style w:type="character" w:customStyle="1" w:styleId="a5">
    <w:name w:val="图表题注 字符"/>
    <w:basedOn w:val="a0"/>
    <w:link w:val="a6"/>
    <w:locked/>
    <w:rsid w:val="00D76F04"/>
    <w:rPr>
      <w:rFonts w:ascii="Times" w:eastAsia="黑体" w:hAnsi="Times" w:cstheme="majorBidi"/>
      <w:szCs w:val="21"/>
    </w:rPr>
  </w:style>
  <w:style w:type="paragraph" w:customStyle="1" w:styleId="a6">
    <w:name w:val="图表题注"/>
    <w:basedOn w:val="a7"/>
    <w:link w:val="a5"/>
    <w:qFormat/>
    <w:rsid w:val="00D76F04"/>
    <w:pPr>
      <w:jc w:val="center"/>
    </w:pPr>
    <w:rPr>
      <w:rFonts w:ascii="Times" w:hAnsi="Times"/>
      <w:sz w:val="21"/>
      <w:szCs w:val="21"/>
    </w:rPr>
  </w:style>
  <w:style w:type="paragraph" w:customStyle="1" w:styleId="TableParagraph">
    <w:name w:val="Table Paragraph"/>
    <w:basedOn w:val="a"/>
    <w:uiPriority w:val="1"/>
    <w:rsid w:val="00D76F04"/>
    <w:pPr>
      <w:spacing w:line="360" w:lineRule="auto"/>
      <w:ind w:firstLineChars="200" w:firstLine="420"/>
      <w:jc w:val="center"/>
    </w:pPr>
    <w:rPr>
      <w:rFonts w:eastAsia="Times New Roman"/>
      <w:sz w:val="24"/>
      <w:szCs w:val="22"/>
    </w:rPr>
  </w:style>
  <w:style w:type="paragraph" w:styleId="2">
    <w:name w:val="Body Text Indent 2"/>
    <w:basedOn w:val="a"/>
    <w:link w:val="20"/>
    <w:uiPriority w:val="99"/>
    <w:semiHidden/>
    <w:unhideWhenUsed/>
    <w:rsid w:val="00D76F04"/>
    <w:pPr>
      <w:spacing w:after="120" w:line="480" w:lineRule="auto"/>
      <w:ind w:leftChars="200" w:left="420"/>
    </w:pPr>
  </w:style>
  <w:style w:type="character" w:customStyle="1" w:styleId="20">
    <w:name w:val="正文文本缩进 2 字符"/>
    <w:basedOn w:val="a0"/>
    <w:link w:val="2"/>
    <w:uiPriority w:val="99"/>
    <w:semiHidden/>
    <w:rsid w:val="00D76F04"/>
    <w:rPr>
      <w:rFonts w:ascii="Times New Roman" w:eastAsia="宋体" w:hAnsi="Times New Roman" w:cs="Times New Roman"/>
      <w:szCs w:val="20"/>
    </w:rPr>
  </w:style>
  <w:style w:type="paragraph" w:styleId="a7">
    <w:name w:val="caption"/>
    <w:basedOn w:val="a"/>
    <w:next w:val="a"/>
    <w:uiPriority w:val="35"/>
    <w:semiHidden/>
    <w:unhideWhenUsed/>
    <w:qFormat/>
    <w:rsid w:val="00D76F04"/>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6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Words>
  <Characters>406</Characters>
  <Application>Microsoft Office Word</Application>
  <DocSecurity>4</DocSecurity>
  <Lines>3</Lines>
  <Paragraphs>1</Paragraphs>
  <ScaleCrop>false</ScaleCrop>
  <Company/>
  <LinksUpToDate>false</LinksUpToDate>
  <CharactersWithSpaces>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郭云辉</dc:creator>
  <cp:keywords/>
  <dc:description/>
  <cp:lastModifiedBy>SWJTU - SUN Yichen</cp:lastModifiedBy>
  <cp:revision>2</cp:revision>
  <dcterms:created xsi:type="dcterms:W3CDTF">2024-01-29T06:51:00Z</dcterms:created>
  <dcterms:modified xsi:type="dcterms:W3CDTF">2024-01-29T06:51:00Z</dcterms:modified>
</cp:coreProperties>
</file>