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A51" w:rsidRPr="00714A51" w:rsidRDefault="00714A51" w:rsidP="00714A51">
      <w:pPr>
        <w:pStyle w:val="NormalWeb"/>
        <w:spacing w:before="0" w:beforeAutospacing="0" w:after="0" w:afterAutospacing="0"/>
        <w:rPr>
          <w:b/>
          <w:sz w:val="28"/>
          <w:szCs w:val="28"/>
        </w:rPr>
      </w:pPr>
      <w:r w:rsidRPr="00714A51">
        <w:rPr>
          <w:b/>
          <w:sz w:val="28"/>
          <w:szCs w:val="28"/>
        </w:rPr>
        <w:t>“Preparing the next generation of homeopathic leaders”</w:t>
      </w:r>
    </w:p>
    <w:p w:rsidR="00714A51" w:rsidRPr="00714A51" w:rsidRDefault="00714A51" w:rsidP="00714A51">
      <w:pPr>
        <w:pStyle w:val="NormalWeb"/>
        <w:spacing w:before="0" w:beforeAutospacing="0" w:after="0" w:afterAutospacing="0"/>
        <w:rPr>
          <w:b/>
          <w:i/>
          <w:sz w:val="22"/>
          <w:szCs w:val="22"/>
        </w:rPr>
      </w:pPr>
      <w:r w:rsidRPr="00714A51">
        <w:rPr>
          <w:i/>
          <w:color w:val="000000"/>
          <w:sz w:val="22"/>
          <w:szCs w:val="22"/>
          <w:shd w:val="clear" w:color="auto" w:fill="FFFFFF"/>
        </w:rPr>
        <w:t xml:space="preserve">A curriculum designed to educate students and professionals instilling the values and benefits of homeopathy. The curriculum imparts knowledge and skills to diagnose, manage, and prevent diseases, and other conditions affecting various individuals. </w:t>
      </w:r>
    </w:p>
    <w:p w:rsidR="00B34562" w:rsidRPr="00714A51" w:rsidRDefault="00B34562" w:rsidP="00B34562">
      <w:pPr>
        <w:pStyle w:val="NormalWeb"/>
        <w:rPr>
          <w:sz w:val="22"/>
          <w:szCs w:val="22"/>
        </w:rPr>
      </w:pPr>
      <w:r w:rsidRPr="00714A51">
        <w:rPr>
          <w:sz w:val="22"/>
          <w:szCs w:val="22"/>
        </w:rPr>
        <w:t>COURSE CURRICULUM</w:t>
      </w:r>
    </w:p>
    <w:p w:rsidR="00B34562" w:rsidRPr="00714A51" w:rsidRDefault="00B34562" w:rsidP="00B34562">
      <w:pPr>
        <w:pStyle w:val="NormalWeb"/>
        <w:rPr>
          <w:sz w:val="22"/>
          <w:szCs w:val="22"/>
        </w:rPr>
      </w:pPr>
      <w:r w:rsidRPr="00714A51">
        <w:rPr>
          <w:sz w:val="22"/>
          <w:szCs w:val="22"/>
        </w:rPr>
        <w:t>Courses are organized as</w:t>
      </w:r>
      <w:r w:rsidR="00672E21" w:rsidRPr="00714A51">
        <w:rPr>
          <w:sz w:val="22"/>
          <w:szCs w:val="22"/>
        </w:rPr>
        <w:t xml:space="preserve"> a 12 day, 24 day</w:t>
      </w:r>
      <w:r w:rsidRPr="00714A51">
        <w:rPr>
          <w:sz w:val="22"/>
          <w:szCs w:val="22"/>
        </w:rPr>
        <w:t>, and 6-month modular clinical workshops requiring increasing levels of proficiency and experience for eligibility.</w:t>
      </w:r>
      <w:r w:rsidR="006C41E6" w:rsidRPr="00714A51">
        <w:rPr>
          <w:sz w:val="22"/>
          <w:szCs w:val="22"/>
        </w:rPr>
        <w:t xml:space="preserve"> </w:t>
      </w:r>
      <w:r w:rsidRPr="00714A51">
        <w:rPr>
          <w:sz w:val="22"/>
          <w:szCs w:val="22"/>
        </w:rPr>
        <w:t xml:space="preserve">The courses are designed in a tiered system, with each level building on the </w:t>
      </w:r>
      <w:r w:rsidR="006C41E6" w:rsidRPr="00714A51">
        <w:rPr>
          <w:sz w:val="22"/>
          <w:szCs w:val="22"/>
        </w:rPr>
        <w:t>next providing</w:t>
      </w:r>
      <w:r w:rsidRPr="00714A51">
        <w:rPr>
          <w:sz w:val="22"/>
          <w:szCs w:val="22"/>
        </w:rPr>
        <w:t xml:space="preserve"> studen</w:t>
      </w:r>
      <w:r w:rsidR="006C41E6" w:rsidRPr="00714A51">
        <w:rPr>
          <w:sz w:val="22"/>
          <w:szCs w:val="22"/>
        </w:rPr>
        <w:t xml:space="preserve">ts with a thorough grounding </w:t>
      </w:r>
      <w:r w:rsidRPr="00714A51">
        <w:rPr>
          <w:sz w:val="22"/>
          <w:szCs w:val="22"/>
        </w:rPr>
        <w:t>and a systematic understanding of the Sensation Method.</w:t>
      </w:r>
    </w:p>
    <w:p w:rsidR="00B34562" w:rsidRPr="00714A51" w:rsidRDefault="00B34562" w:rsidP="00B34562">
      <w:pPr>
        <w:pStyle w:val="NormalWeb"/>
        <w:rPr>
          <w:sz w:val="22"/>
          <w:szCs w:val="22"/>
        </w:rPr>
      </w:pPr>
      <w:r w:rsidRPr="00714A51">
        <w:rPr>
          <w:sz w:val="22"/>
          <w:szCs w:val="22"/>
        </w:rPr>
        <w:t>All courses will cover lectures on the following topics:</w:t>
      </w:r>
    </w:p>
    <w:p w:rsidR="00B34562" w:rsidRPr="00714A51" w:rsidRDefault="00B34562" w:rsidP="00B34562">
      <w:pPr>
        <w:pStyle w:val="NormalWeb"/>
        <w:rPr>
          <w:sz w:val="22"/>
          <w:szCs w:val="22"/>
        </w:rPr>
      </w:pPr>
      <w:r w:rsidRPr="00714A51">
        <w:rPr>
          <w:sz w:val="22"/>
          <w:szCs w:val="22"/>
        </w:rPr>
        <w:t>• Practical application of case taking techniques by integrating the fundamental principles of Classical Homoeopathy with concepts of the Sensation Method</w:t>
      </w:r>
    </w:p>
    <w:p w:rsidR="00B34562" w:rsidRPr="00714A51" w:rsidRDefault="00B34562" w:rsidP="00B34562">
      <w:pPr>
        <w:pStyle w:val="NormalWeb"/>
        <w:rPr>
          <w:sz w:val="22"/>
          <w:szCs w:val="22"/>
        </w:rPr>
      </w:pPr>
      <w:r w:rsidRPr="00714A51">
        <w:rPr>
          <w:sz w:val="22"/>
          <w:szCs w:val="22"/>
        </w:rPr>
        <w:t xml:space="preserve">• Detailed discussions with senior homoeopaths on case-taking, case understanding, and case management. </w:t>
      </w:r>
    </w:p>
    <w:p w:rsidR="00B34562" w:rsidRPr="00714A51" w:rsidRDefault="00B34562" w:rsidP="00B34562">
      <w:pPr>
        <w:pStyle w:val="NormalWeb"/>
        <w:rPr>
          <w:sz w:val="22"/>
          <w:szCs w:val="22"/>
        </w:rPr>
      </w:pPr>
      <w:r w:rsidRPr="00714A51">
        <w:rPr>
          <w:sz w:val="22"/>
          <w:szCs w:val="22"/>
        </w:rPr>
        <w:t>• Learning various questioning techniques with a parallel thought process of the homoeopath</w:t>
      </w:r>
    </w:p>
    <w:p w:rsidR="00B34562" w:rsidRPr="00714A51" w:rsidRDefault="00B34562" w:rsidP="00B34562">
      <w:pPr>
        <w:pStyle w:val="NormalWeb"/>
        <w:rPr>
          <w:sz w:val="22"/>
          <w:szCs w:val="22"/>
        </w:rPr>
      </w:pPr>
      <w:r w:rsidRPr="00714A51">
        <w:rPr>
          <w:sz w:val="22"/>
          <w:szCs w:val="22"/>
        </w:rPr>
        <w:t>• Case Analysis</w:t>
      </w:r>
    </w:p>
    <w:p w:rsidR="00B34562" w:rsidRPr="00714A51" w:rsidRDefault="00B34562" w:rsidP="00B34562">
      <w:pPr>
        <w:pStyle w:val="NormalWeb"/>
        <w:rPr>
          <w:sz w:val="22"/>
          <w:szCs w:val="22"/>
        </w:rPr>
      </w:pPr>
      <w:r w:rsidRPr="00714A51">
        <w:rPr>
          <w:sz w:val="22"/>
          <w:szCs w:val="22"/>
        </w:rPr>
        <w:t>• Differentiating between common and characteristic symptoms</w:t>
      </w:r>
    </w:p>
    <w:p w:rsidR="00B34562" w:rsidRPr="00714A51" w:rsidRDefault="00B34562" w:rsidP="00B34562">
      <w:pPr>
        <w:pStyle w:val="NormalWeb"/>
        <w:rPr>
          <w:sz w:val="22"/>
          <w:szCs w:val="22"/>
        </w:rPr>
      </w:pPr>
      <w:r w:rsidRPr="00714A51">
        <w:rPr>
          <w:sz w:val="22"/>
          <w:szCs w:val="22"/>
        </w:rPr>
        <w:t>• Converting characteristic symptoms into rubrics</w:t>
      </w:r>
    </w:p>
    <w:p w:rsidR="00B34562" w:rsidRPr="00714A51" w:rsidRDefault="00B34562" w:rsidP="00B34562">
      <w:pPr>
        <w:pStyle w:val="NormalWeb"/>
        <w:rPr>
          <w:sz w:val="22"/>
          <w:szCs w:val="22"/>
        </w:rPr>
      </w:pPr>
      <w:r w:rsidRPr="00714A51">
        <w:rPr>
          <w:sz w:val="22"/>
          <w:szCs w:val="22"/>
        </w:rPr>
        <w:t xml:space="preserve">• Practical application of the concepts of </w:t>
      </w:r>
      <w:proofErr w:type="spellStart"/>
      <w:r w:rsidRPr="00714A51">
        <w:rPr>
          <w:sz w:val="22"/>
          <w:szCs w:val="22"/>
        </w:rPr>
        <w:t>Miasms</w:t>
      </w:r>
      <w:proofErr w:type="spellEnd"/>
      <w:r w:rsidRPr="00714A51">
        <w:rPr>
          <w:sz w:val="22"/>
          <w:szCs w:val="22"/>
        </w:rPr>
        <w:t xml:space="preserve"> and Levels of Experience</w:t>
      </w:r>
    </w:p>
    <w:p w:rsidR="00B34562" w:rsidRPr="00714A51" w:rsidRDefault="00B34562" w:rsidP="00B34562">
      <w:pPr>
        <w:pStyle w:val="NormalWeb"/>
        <w:rPr>
          <w:sz w:val="22"/>
          <w:szCs w:val="22"/>
        </w:rPr>
      </w:pPr>
      <w:r w:rsidRPr="00714A51">
        <w:rPr>
          <w:sz w:val="22"/>
          <w:szCs w:val="22"/>
        </w:rPr>
        <w:t>• Understand and distinguishing between Delusion and Sensation</w:t>
      </w:r>
    </w:p>
    <w:p w:rsidR="00B34562" w:rsidRPr="00714A51" w:rsidRDefault="00B34562" w:rsidP="00B34562">
      <w:pPr>
        <w:pStyle w:val="NormalWeb"/>
        <w:rPr>
          <w:sz w:val="22"/>
          <w:szCs w:val="22"/>
        </w:rPr>
      </w:pPr>
      <w:r w:rsidRPr="00714A51">
        <w:rPr>
          <w:sz w:val="22"/>
          <w:szCs w:val="22"/>
        </w:rPr>
        <w:t>• Differentiating between Sensation and Miasm</w:t>
      </w:r>
    </w:p>
    <w:p w:rsidR="00B34562" w:rsidRPr="00714A51" w:rsidRDefault="00B34562" w:rsidP="00B34562">
      <w:pPr>
        <w:pStyle w:val="NormalWeb"/>
        <w:rPr>
          <w:sz w:val="22"/>
          <w:szCs w:val="22"/>
        </w:rPr>
      </w:pPr>
      <w:r w:rsidRPr="00714A51">
        <w:rPr>
          <w:sz w:val="22"/>
          <w:szCs w:val="22"/>
        </w:rPr>
        <w:t>• Deepening students’ understanding of well known remedies from the plant, mineral and animal kingdoms, and integrating them with the Sensation Method</w:t>
      </w:r>
    </w:p>
    <w:p w:rsidR="00B34562" w:rsidRPr="00714A51" w:rsidRDefault="00B34562" w:rsidP="00B34562">
      <w:pPr>
        <w:pStyle w:val="NormalWeb"/>
        <w:rPr>
          <w:sz w:val="22"/>
          <w:szCs w:val="22"/>
        </w:rPr>
      </w:pPr>
      <w:r w:rsidRPr="00714A51">
        <w:rPr>
          <w:sz w:val="22"/>
          <w:szCs w:val="22"/>
        </w:rPr>
        <w:t>• Selecting the right potency and repetition</w:t>
      </w:r>
    </w:p>
    <w:p w:rsidR="00B34562" w:rsidRPr="00714A51" w:rsidRDefault="00B34562" w:rsidP="00B34562">
      <w:pPr>
        <w:pStyle w:val="NormalWeb"/>
        <w:rPr>
          <w:sz w:val="22"/>
          <w:szCs w:val="22"/>
        </w:rPr>
      </w:pPr>
      <w:r w:rsidRPr="00714A51">
        <w:rPr>
          <w:sz w:val="22"/>
          <w:szCs w:val="22"/>
        </w:rPr>
        <w:t xml:space="preserve">• </w:t>
      </w:r>
      <w:r w:rsidR="00672E21" w:rsidRPr="00714A51">
        <w:rPr>
          <w:sz w:val="22"/>
          <w:szCs w:val="22"/>
        </w:rPr>
        <w:t>Managing</w:t>
      </w:r>
      <w:r w:rsidRPr="00714A51">
        <w:rPr>
          <w:sz w:val="22"/>
          <w:szCs w:val="22"/>
        </w:rPr>
        <w:t xml:space="preserve"> acute situations</w:t>
      </w:r>
    </w:p>
    <w:p w:rsidR="00B34562" w:rsidRPr="00714A51" w:rsidRDefault="00672E21" w:rsidP="00B34562">
      <w:pPr>
        <w:pStyle w:val="NormalWeb"/>
        <w:rPr>
          <w:sz w:val="22"/>
          <w:szCs w:val="22"/>
        </w:rPr>
      </w:pPr>
      <w:r w:rsidRPr="00714A51">
        <w:rPr>
          <w:sz w:val="22"/>
          <w:szCs w:val="22"/>
        </w:rPr>
        <w:t>• R</w:t>
      </w:r>
      <w:r w:rsidR="00B34562" w:rsidRPr="00714A51">
        <w:rPr>
          <w:sz w:val="22"/>
          <w:szCs w:val="22"/>
        </w:rPr>
        <w:t>efinement in case taking techniques</w:t>
      </w:r>
    </w:p>
    <w:p w:rsidR="00B34562" w:rsidRPr="00714A51" w:rsidRDefault="00B34562" w:rsidP="00B34562">
      <w:pPr>
        <w:pStyle w:val="NormalWeb"/>
        <w:rPr>
          <w:sz w:val="22"/>
          <w:szCs w:val="22"/>
        </w:rPr>
      </w:pPr>
      <w:r w:rsidRPr="00714A51">
        <w:rPr>
          <w:sz w:val="22"/>
          <w:szCs w:val="22"/>
        </w:rPr>
        <w:t>• Understanding how to deal with patients in denial/ projection/ rationalization/ intellectualization</w:t>
      </w:r>
    </w:p>
    <w:p w:rsidR="00672E21" w:rsidRPr="00714A51" w:rsidRDefault="00B34562" w:rsidP="00672E21">
      <w:pPr>
        <w:pStyle w:val="NormalWeb"/>
        <w:rPr>
          <w:sz w:val="22"/>
          <w:szCs w:val="22"/>
        </w:rPr>
      </w:pPr>
      <w:r w:rsidRPr="00714A51">
        <w:rPr>
          <w:sz w:val="22"/>
          <w:szCs w:val="22"/>
        </w:rPr>
        <w:t>• Determining how deep one should go into a case</w:t>
      </w:r>
    </w:p>
    <w:p w:rsidR="00B34562" w:rsidRPr="00714A51" w:rsidRDefault="00672E21" w:rsidP="00672E21">
      <w:pPr>
        <w:pStyle w:val="NormalWeb"/>
        <w:rPr>
          <w:sz w:val="22"/>
          <w:szCs w:val="22"/>
        </w:rPr>
      </w:pPr>
      <w:r w:rsidRPr="00714A51">
        <w:rPr>
          <w:sz w:val="22"/>
          <w:szCs w:val="22"/>
        </w:rPr>
        <w:t xml:space="preserve">  </w:t>
      </w:r>
      <w:r w:rsidR="00B34562" w:rsidRPr="00714A51">
        <w:rPr>
          <w:sz w:val="22"/>
          <w:szCs w:val="22"/>
        </w:rPr>
        <w:t>How to determine when case taking is complete</w:t>
      </w:r>
    </w:p>
    <w:p w:rsidR="00B34562" w:rsidRPr="00714A51" w:rsidRDefault="0022425E" w:rsidP="00B34562">
      <w:pPr>
        <w:pStyle w:val="NormalWeb"/>
        <w:rPr>
          <w:sz w:val="22"/>
          <w:szCs w:val="22"/>
        </w:rPr>
      </w:pPr>
      <w:r w:rsidRPr="00714A51">
        <w:rPr>
          <w:sz w:val="22"/>
          <w:szCs w:val="22"/>
        </w:rPr>
        <w:lastRenderedPageBreak/>
        <w:t xml:space="preserve">• </w:t>
      </w:r>
      <w:r w:rsidR="00560276" w:rsidRPr="00714A51">
        <w:rPr>
          <w:sz w:val="22"/>
          <w:szCs w:val="22"/>
        </w:rPr>
        <w:t>In-depth exploration</w:t>
      </w:r>
      <w:r w:rsidR="00B34562" w:rsidRPr="00714A51">
        <w:rPr>
          <w:sz w:val="22"/>
          <w:szCs w:val="22"/>
        </w:rPr>
        <w:t xml:space="preserve"> and assessing </w:t>
      </w:r>
      <w:proofErr w:type="spellStart"/>
      <w:r w:rsidR="00B34562" w:rsidRPr="00714A51">
        <w:rPr>
          <w:sz w:val="22"/>
          <w:szCs w:val="22"/>
        </w:rPr>
        <w:t>Miasms</w:t>
      </w:r>
      <w:proofErr w:type="spellEnd"/>
      <w:r w:rsidR="00B34562" w:rsidRPr="00714A51">
        <w:rPr>
          <w:sz w:val="22"/>
          <w:szCs w:val="22"/>
        </w:rPr>
        <w:t xml:space="preserve"> and Levels of Experience in a case</w:t>
      </w:r>
    </w:p>
    <w:p w:rsidR="00B34562" w:rsidRPr="00714A51" w:rsidRDefault="00B34562" w:rsidP="00B34562">
      <w:pPr>
        <w:pStyle w:val="NormalWeb"/>
        <w:rPr>
          <w:sz w:val="22"/>
          <w:szCs w:val="22"/>
        </w:rPr>
      </w:pPr>
      <w:r w:rsidRPr="00714A51">
        <w:rPr>
          <w:sz w:val="22"/>
          <w:szCs w:val="22"/>
        </w:rPr>
        <w:t xml:space="preserve">• </w:t>
      </w:r>
      <w:r w:rsidR="0022425E" w:rsidRPr="00714A51">
        <w:rPr>
          <w:sz w:val="22"/>
          <w:szCs w:val="22"/>
        </w:rPr>
        <w:t>Deeper exploration of</w:t>
      </w:r>
      <w:r w:rsidRPr="00714A51">
        <w:rPr>
          <w:sz w:val="22"/>
          <w:szCs w:val="22"/>
        </w:rPr>
        <w:t xml:space="preserve"> the three kingdoms:</w:t>
      </w:r>
    </w:p>
    <w:p w:rsidR="00B34562" w:rsidRPr="00714A51" w:rsidRDefault="00B34562" w:rsidP="00B34562">
      <w:pPr>
        <w:pStyle w:val="NormalWeb"/>
        <w:rPr>
          <w:sz w:val="22"/>
          <w:szCs w:val="22"/>
        </w:rPr>
      </w:pPr>
      <w:r w:rsidRPr="00714A51">
        <w:rPr>
          <w:sz w:val="22"/>
          <w:szCs w:val="22"/>
        </w:rPr>
        <w:t>Plant kingdom - differentiation between apparently similar families</w:t>
      </w:r>
    </w:p>
    <w:p w:rsidR="00B34562" w:rsidRPr="00714A51" w:rsidRDefault="00B34562" w:rsidP="00B34562">
      <w:pPr>
        <w:pStyle w:val="NormalWeb"/>
        <w:rPr>
          <w:sz w:val="22"/>
          <w:szCs w:val="22"/>
        </w:rPr>
      </w:pPr>
      <w:r w:rsidRPr="00714A51">
        <w:rPr>
          <w:sz w:val="22"/>
          <w:szCs w:val="22"/>
        </w:rPr>
        <w:t>Mineral kingdom - differentiation between the rows</w:t>
      </w:r>
    </w:p>
    <w:p w:rsidR="00B34562" w:rsidRPr="00714A51" w:rsidRDefault="00B34562" w:rsidP="00B34562">
      <w:pPr>
        <w:pStyle w:val="NormalWeb"/>
        <w:rPr>
          <w:sz w:val="22"/>
          <w:szCs w:val="22"/>
        </w:rPr>
      </w:pPr>
      <w:r w:rsidRPr="00714A51">
        <w:rPr>
          <w:sz w:val="22"/>
          <w:szCs w:val="22"/>
        </w:rPr>
        <w:t>Animal kingdom - differentiation between the classes</w:t>
      </w:r>
    </w:p>
    <w:p w:rsidR="00B34562" w:rsidRPr="00714A51" w:rsidRDefault="00B34562" w:rsidP="00B34562">
      <w:pPr>
        <w:pStyle w:val="NormalWeb"/>
        <w:rPr>
          <w:sz w:val="22"/>
          <w:szCs w:val="22"/>
        </w:rPr>
      </w:pPr>
      <w:r w:rsidRPr="00714A51">
        <w:rPr>
          <w:sz w:val="22"/>
          <w:szCs w:val="22"/>
        </w:rPr>
        <w:t xml:space="preserve">• Exploring rare remedy groups like halogens, </w:t>
      </w:r>
      <w:proofErr w:type="spellStart"/>
      <w:r w:rsidRPr="00714A51">
        <w:rPr>
          <w:sz w:val="22"/>
          <w:szCs w:val="22"/>
        </w:rPr>
        <w:t>nosodes</w:t>
      </w:r>
      <w:proofErr w:type="spellEnd"/>
      <w:r w:rsidRPr="00714A51">
        <w:rPr>
          <w:sz w:val="22"/>
          <w:szCs w:val="22"/>
        </w:rPr>
        <w:t xml:space="preserve">, </w:t>
      </w:r>
      <w:proofErr w:type="spellStart"/>
      <w:proofErr w:type="gramStart"/>
      <w:r w:rsidRPr="00714A51">
        <w:rPr>
          <w:sz w:val="22"/>
          <w:szCs w:val="22"/>
        </w:rPr>
        <w:t>sarcodes</w:t>
      </w:r>
      <w:proofErr w:type="spellEnd"/>
      <w:proofErr w:type="gramEnd"/>
    </w:p>
    <w:p w:rsidR="00560276" w:rsidRPr="00714A51" w:rsidRDefault="00B34562" w:rsidP="00B34562">
      <w:pPr>
        <w:pStyle w:val="NormalWeb"/>
        <w:rPr>
          <w:sz w:val="22"/>
          <w:szCs w:val="22"/>
        </w:rPr>
      </w:pPr>
      <w:r w:rsidRPr="00714A51">
        <w:rPr>
          <w:sz w:val="22"/>
          <w:szCs w:val="22"/>
        </w:rPr>
        <w:t xml:space="preserve"> Message from Dr. Rajan </w:t>
      </w:r>
      <w:proofErr w:type="spellStart"/>
      <w:r w:rsidRPr="00714A51">
        <w:rPr>
          <w:sz w:val="22"/>
          <w:szCs w:val="22"/>
        </w:rPr>
        <w:t>Sankaran</w:t>
      </w:r>
      <w:proofErr w:type="spellEnd"/>
      <w:r w:rsidRPr="00714A51">
        <w:rPr>
          <w:sz w:val="22"/>
          <w:szCs w:val="22"/>
        </w:rPr>
        <w:t>:</w:t>
      </w:r>
    </w:p>
    <w:p w:rsidR="00B34562" w:rsidRPr="00714A51" w:rsidRDefault="00560276" w:rsidP="00B34562">
      <w:pPr>
        <w:pStyle w:val="NormalWeb"/>
        <w:rPr>
          <w:sz w:val="22"/>
          <w:szCs w:val="22"/>
        </w:rPr>
      </w:pPr>
      <w:r w:rsidRPr="00714A51">
        <w:rPr>
          <w:sz w:val="22"/>
          <w:szCs w:val="22"/>
        </w:rPr>
        <w:t>“I</w:t>
      </w:r>
      <w:r w:rsidR="00B34562" w:rsidRPr="00714A51">
        <w:rPr>
          <w:sz w:val="22"/>
          <w:szCs w:val="22"/>
        </w:rPr>
        <w:t>t takes 2 weeks to get acclimati</w:t>
      </w:r>
      <w:r w:rsidRPr="00714A51">
        <w:rPr>
          <w:sz w:val="22"/>
          <w:szCs w:val="22"/>
        </w:rPr>
        <w:t xml:space="preserve">zed, to understand </w:t>
      </w:r>
      <w:r w:rsidR="00B34562" w:rsidRPr="00714A51">
        <w:rPr>
          <w:sz w:val="22"/>
          <w:szCs w:val="22"/>
        </w:rPr>
        <w:t>concepts, to see th</w:t>
      </w:r>
      <w:r w:rsidRPr="00714A51">
        <w:rPr>
          <w:sz w:val="22"/>
          <w:szCs w:val="22"/>
        </w:rPr>
        <w:t xml:space="preserve">e different styles of practice and to observe homeopaths </w:t>
      </w:r>
      <w:r w:rsidR="00B34562" w:rsidRPr="00714A51">
        <w:rPr>
          <w:sz w:val="22"/>
          <w:szCs w:val="22"/>
        </w:rPr>
        <w:t xml:space="preserve">practicing the same concepts but applying them in their own unique ways. Once </w:t>
      </w:r>
      <w:r w:rsidRPr="00714A51">
        <w:rPr>
          <w:sz w:val="22"/>
          <w:szCs w:val="22"/>
        </w:rPr>
        <w:t>the student gets acclimatized, they take another 2 weeks to observe the same process</w:t>
      </w:r>
      <w:r w:rsidR="00B34562" w:rsidRPr="00714A51">
        <w:rPr>
          <w:sz w:val="22"/>
          <w:szCs w:val="22"/>
        </w:rPr>
        <w:t xml:space="preserve">, to see it more solidified, and </w:t>
      </w:r>
      <w:r w:rsidRPr="00714A51">
        <w:rPr>
          <w:sz w:val="22"/>
          <w:szCs w:val="22"/>
        </w:rPr>
        <w:t xml:space="preserve">develop the ability </w:t>
      </w:r>
      <w:r w:rsidR="00B34562" w:rsidRPr="00714A51">
        <w:rPr>
          <w:sz w:val="22"/>
          <w:szCs w:val="22"/>
        </w:rPr>
        <w:t>to think and</w:t>
      </w:r>
      <w:r w:rsidRPr="00714A51">
        <w:rPr>
          <w:sz w:val="22"/>
          <w:szCs w:val="22"/>
        </w:rPr>
        <w:t xml:space="preserve"> participate. In this period they also </w:t>
      </w:r>
      <w:r w:rsidR="00B34562" w:rsidRPr="00714A51">
        <w:rPr>
          <w:sz w:val="22"/>
          <w:szCs w:val="22"/>
        </w:rPr>
        <w:t>get to see some of the follow-ups of the earlier cases. Anything less than 24 days is like being a spectator.</w:t>
      </w:r>
    </w:p>
    <w:p w:rsidR="00B34562" w:rsidRPr="00714A51" w:rsidRDefault="00884FA2" w:rsidP="00B34562">
      <w:pPr>
        <w:pStyle w:val="NormalWeb"/>
        <w:rPr>
          <w:sz w:val="22"/>
          <w:szCs w:val="22"/>
        </w:rPr>
      </w:pPr>
      <w:r w:rsidRPr="00714A51">
        <w:rPr>
          <w:sz w:val="22"/>
          <w:szCs w:val="22"/>
        </w:rPr>
        <w:t>I</w:t>
      </w:r>
      <w:r w:rsidR="00B34562" w:rsidRPr="00714A51">
        <w:rPr>
          <w:sz w:val="22"/>
          <w:szCs w:val="22"/>
        </w:rPr>
        <w:t xml:space="preserve"> found</w:t>
      </w:r>
      <w:r w:rsidRPr="00714A51">
        <w:rPr>
          <w:sz w:val="22"/>
          <w:szCs w:val="22"/>
        </w:rPr>
        <w:t xml:space="preserve"> 24 days a very short period of time during my practice</w:t>
      </w:r>
      <w:r w:rsidR="00B34562" w:rsidRPr="00714A51">
        <w:rPr>
          <w:sz w:val="22"/>
          <w:szCs w:val="22"/>
        </w:rPr>
        <w:t>. I believe some of my assistants took many years to learn the technique, refine it, and make it their own. Some of the senior teachers were associated with me for years, and then branched out on their own.</w:t>
      </w:r>
    </w:p>
    <w:p w:rsidR="00B34562" w:rsidRPr="00714A51" w:rsidRDefault="00B34562" w:rsidP="00B34562">
      <w:pPr>
        <w:pStyle w:val="NormalWeb"/>
        <w:rPr>
          <w:sz w:val="22"/>
          <w:szCs w:val="22"/>
        </w:rPr>
      </w:pPr>
      <w:r w:rsidRPr="00714A51">
        <w:rPr>
          <w:sz w:val="22"/>
          <w:szCs w:val="22"/>
        </w:rPr>
        <w:t xml:space="preserve">24 days </w:t>
      </w:r>
      <w:r w:rsidR="00E22677" w:rsidRPr="00714A51">
        <w:rPr>
          <w:sz w:val="22"/>
          <w:szCs w:val="22"/>
        </w:rPr>
        <w:t>is just sampler, a</w:t>
      </w:r>
      <w:r w:rsidRPr="00714A51">
        <w:rPr>
          <w:sz w:val="22"/>
          <w:szCs w:val="22"/>
        </w:rPr>
        <w:t xml:space="preserve">nything less than that </w:t>
      </w:r>
      <w:r w:rsidR="00884FA2" w:rsidRPr="00714A51">
        <w:rPr>
          <w:sz w:val="22"/>
          <w:szCs w:val="22"/>
        </w:rPr>
        <w:t>would only</w:t>
      </w:r>
      <w:r w:rsidRPr="00714A51">
        <w:rPr>
          <w:sz w:val="22"/>
          <w:szCs w:val="22"/>
        </w:rPr>
        <w:t xml:space="preserve"> familiarize you with the concept.”</w:t>
      </w:r>
    </w:p>
    <w:p w:rsidR="00421A97" w:rsidRPr="00714A51" w:rsidRDefault="00421A97">
      <w:pPr>
        <w:rPr>
          <w:rFonts w:ascii="Times New Roman" w:hAnsi="Times New Roman" w:cs="Times New Roman"/>
        </w:rPr>
      </w:pPr>
    </w:p>
    <w:sectPr w:rsidR="00421A97" w:rsidRPr="00714A51" w:rsidSect="00421A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4FB"/>
    <w:multiLevelType w:val="hybridMultilevel"/>
    <w:tmpl w:val="0F10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152CF"/>
    <w:multiLevelType w:val="hybridMultilevel"/>
    <w:tmpl w:val="464C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562"/>
    <w:rsid w:val="000D3337"/>
    <w:rsid w:val="0022425E"/>
    <w:rsid w:val="0027458F"/>
    <w:rsid w:val="00421A97"/>
    <w:rsid w:val="00560276"/>
    <w:rsid w:val="00672E21"/>
    <w:rsid w:val="006C41E6"/>
    <w:rsid w:val="00714A51"/>
    <w:rsid w:val="00884FA2"/>
    <w:rsid w:val="00AF7249"/>
    <w:rsid w:val="00B34562"/>
    <w:rsid w:val="00E22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9355101">
      <w:bodyDiv w:val="1"/>
      <w:marLeft w:val="0"/>
      <w:marRight w:val="0"/>
      <w:marTop w:val="0"/>
      <w:marBottom w:val="0"/>
      <w:divBdr>
        <w:top w:val="none" w:sz="0" w:space="0" w:color="auto"/>
        <w:left w:val="none" w:sz="0" w:space="0" w:color="auto"/>
        <w:bottom w:val="none" w:sz="0" w:space="0" w:color="auto"/>
        <w:right w:val="none" w:sz="0" w:space="0" w:color="auto"/>
      </w:divBdr>
    </w:div>
    <w:div w:id="384137548">
      <w:bodyDiv w:val="1"/>
      <w:marLeft w:val="0"/>
      <w:marRight w:val="0"/>
      <w:marTop w:val="0"/>
      <w:marBottom w:val="0"/>
      <w:divBdr>
        <w:top w:val="none" w:sz="0" w:space="0" w:color="auto"/>
        <w:left w:val="none" w:sz="0" w:space="0" w:color="auto"/>
        <w:bottom w:val="none" w:sz="0" w:space="0" w:color="auto"/>
        <w:right w:val="none" w:sz="0" w:space="0" w:color="auto"/>
      </w:divBdr>
      <w:divsChild>
        <w:div w:id="370153751">
          <w:marLeft w:val="0"/>
          <w:marRight w:val="0"/>
          <w:marTop w:val="0"/>
          <w:marBottom w:val="0"/>
          <w:divBdr>
            <w:top w:val="none" w:sz="0" w:space="0" w:color="auto"/>
            <w:left w:val="none" w:sz="0" w:space="0" w:color="auto"/>
            <w:bottom w:val="none" w:sz="0" w:space="0" w:color="auto"/>
            <w:right w:val="none" w:sz="0" w:space="0" w:color="auto"/>
          </w:divBdr>
        </w:div>
        <w:div w:id="579481013">
          <w:marLeft w:val="0"/>
          <w:marRight w:val="0"/>
          <w:marTop w:val="0"/>
          <w:marBottom w:val="0"/>
          <w:divBdr>
            <w:top w:val="none" w:sz="0" w:space="0" w:color="auto"/>
            <w:left w:val="none" w:sz="0" w:space="0" w:color="auto"/>
            <w:bottom w:val="none" w:sz="0" w:space="0" w:color="auto"/>
            <w:right w:val="none" w:sz="0" w:space="0" w:color="auto"/>
          </w:divBdr>
        </w:div>
      </w:divsChild>
    </w:div>
    <w:div w:id="539173953">
      <w:bodyDiv w:val="1"/>
      <w:marLeft w:val="0"/>
      <w:marRight w:val="0"/>
      <w:marTop w:val="0"/>
      <w:marBottom w:val="0"/>
      <w:divBdr>
        <w:top w:val="none" w:sz="0" w:space="0" w:color="auto"/>
        <w:left w:val="none" w:sz="0" w:space="0" w:color="auto"/>
        <w:bottom w:val="none" w:sz="0" w:space="0" w:color="auto"/>
        <w:right w:val="none" w:sz="0" w:space="0" w:color="auto"/>
      </w:divBdr>
      <w:divsChild>
        <w:div w:id="698312115">
          <w:marLeft w:val="0"/>
          <w:marRight w:val="0"/>
          <w:marTop w:val="0"/>
          <w:marBottom w:val="0"/>
          <w:divBdr>
            <w:top w:val="none" w:sz="0" w:space="0" w:color="auto"/>
            <w:left w:val="none" w:sz="0" w:space="0" w:color="auto"/>
            <w:bottom w:val="none" w:sz="0" w:space="0" w:color="auto"/>
            <w:right w:val="none" w:sz="0" w:space="0" w:color="auto"/>
          </w:divBdr>
          <w:divsChild>
            <w:div w:id="2664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Pankil</dc:creator>
  <cp:lastModifiedBy>Pratima Chabbi</cp:lastModifiedBy>
  <cp:revision>7</cp:revision>
  <dcterms:created xsi:type="dcterms:W3CDTF">2013-04-13T09:59:00Z</dcterms:created>
  <dcterms:modified xsi:type="dcterms:W3CDTF">2013-06-05T17:58:00Z</dcterms:modified>
</cp:coreProperties>
</file>