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9F5" w:rsidRDefault="00F629F5" w:rsidP="00F629F5">
      <w:r>
        <w:t>color extraction</w:t>
      </w:r>
    </w:p>
    <w:p w:rsidR="00F629F5" w:rsidRDefault="00F629F5" w:rsidP="00F629F5">
      <w:pPr>
        <w:pStyle w:val="ListParagraph"/>
        <w:numPr>
          <w:ilvl w:val="0"/>
          <w:numId w:val="1"/>
        </w:numPr>
      </w:pPr>
      <w:proofErr w:type="spellStart"/>
      <w:r>
        <w:t>Kmeans</w:t>
      </w:r>
      <w:proofErr w:type="spellEnd"/>
    </w:p>
    <w:p w:rsidR="00F629F5" w:rsidRDefault="00F629F5" w:rsidP="00F629F5">
      <w:pPr>
        <w:pStyle w:val="ListParagraph"/>
        <w:numPr>
          <w:ilvl w:val="0"/>
          <w:numId w:val="2"/>
        </w:numPr>
      </w:pPr>
      <w:r>
        <w:t>introduction</w:t>
      </w:r>
    </w:p>
    <w:p w:rsidR="00EC7CA2" w:rsidRDefault="00F629F5" w:rsidP="00F629F5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F629F5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Pr="00F629F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-means clustering aims to </w:t>
      </w:r>
      <w:hyperlink r:id="rId5" w:tooltip="Partition of a set" w:history="1">
        <w:r w:rsidRPr="00F629F5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partition</w:t>
        </w:r>
      </w:hyperlink>
      <w:r w:rsidRPr="00F629F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Pr="00F629F5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Pr="00F629F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observations into </w:t>
      </w:r>
      <w:r w:rsidRPr="00F629F5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Pr="00F629F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clusters in which each observation belongs to the </w:t>
      </w:r>
      <w:hyperlink r:id="rId6" w:tooltip="Cluster (statistics)" w:history="1">
        <w:r w:rsidRPr="00F629F5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cluster</w:t>
        </w:r>
      </w:hyperlink>
      <w:r w:rsidRPr="00F629F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with the nearest </w:t>
      </w:r>
      <w:hyperlink r:id="rId7" w:tooltip="Mean" w:history="1">
        <w:r w:rsidRPr="00F629F5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mean</w:t>
        </w:r>
      </w:hyperlink>
      <w:r w:rsidRPr="00F629F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serving as a prototype of the cluster. This results in a partitioning of the data space into </w:t>
      </w:r>
      <w:proofErr w:type="spellStart"/>
      <w:r w:rsidRPr="00F629F5">
        <w:rPr>
          <w:rFonts w:ascii="Times New Roman" w:eastAsia="Times New Roman" w:hAnsi="Times New Roman" w:cs="Times New Roman"/>
        </w:rPr>
        <w:fldChar w:fldCharType="begin"/>
      </w:r>
      <w:r w:rsidRPr="00F629F5">
        <w:rPr>
          <w:rFonts w:ascii="Times New Roman" w:eastAsia="Times New Roman" w:hAnsi="Times New Roman" w:cs="Times New Roman"/>
        </w:rPr>
        <w:instrText xml:space="preserve"> HYPERLINK "https://en.wikipedia.org/wiki/Voronoi_cell" \o "Voronoi cell" </w:instrText>
      </w:r>
      <w:r w:rsidRPr="00F629F5">
        <w:rPr>
          <w:rFonts w:ascii="Times New Roman" w:eastAsia="Times New Roman" w:hAnsi="Times New Roman" w:cs="Times New Roman"/>
        </w:rPr>
        <w:fldChar w:fldCharType="separate"/>
      </w:r>
      <w:r w:rsidRPr="00F629F5">
        <w:rPr>
          <w:rFonts w:ascii="Arial" w:eastAsia="Times New Roman" w:hAnsi="Arial" w:cs="Arial"/>
          <w:color w:val="0B0080"/>
          <w:sz w:val="21"/>
          <w:szCs w:val="21"/>
          <w:u w:val="single"/>
          <w:shd w:val="clear" w:color="auto" w:fill="FFFFFF"/>
        </w:rPr>
        <w:t>Voronoi</w:t>
      </w:r>
      <w:proofErr w:type="spellEnd"/>
      <w:r w:rsidRPr="00F629F5">
        <w:rPr>
          <w:rFonts w:ascii="Arial" w:eastAsia="Times New Roman" w:hAnsi="Arial" w:cs="Arial"/>
          <w:color w:val="0B0080"/>
          <w:sz w:val="21"/>
          <w:szCs w:val="21"/>
          <w:u w:val="single"/>
          <w:shd w:val="clear" w:color="auto" w:fill="FFFFFF"/>
        </w:rPr>
        <w:t xml:space="preserve"> cells</w:t>
      </w:r>
      <w:r w:rsidRPr="00F629F5">
        <w:rPr>
          <w:rFonts w:ascii="Times New Roman" w:eastAsia="Times New Roman" w:hAnsi="Times New Roman" w:cs="Times New Roman"/>
        </w:rPr>
        <w:fldChar w:fldCharType="end"/>
      </w:r>
      <w:r w:rsidRPr="00F629F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r w:rsidR="00EC7CA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</w:t>
      </w:r>
      <w:hyperlink r:id="rId8" w:history="1">
        <w:r w:rsidR="00EC7CA2" w:rsidRPr="00F36B51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https://en.wikipedia.org/wiki/K-means_clustering</w:t>
        </w:r>
      </w:hyperlink>
      <w:r w:rsidR="00EC7CA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</w:p>
    <w:p w:rsidR="00EC7CA2" w:rsidRPr="00EC7CA2" w:rsidRDefault="00EC7CA2" w:rsidP="00F629F5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:rsidR="00F629F5" w:rsidRDefault="00F629F5" w:rsidP="00F629F5">
      <w:pPr>
        <w:pStyle w:val="ListParagraph"/>
        <w:numPr>
          <w:ilvl w:val="0"/>
          <w:numId w:val="2"/>
        </w:numPr>
      </w:pPr>
      <w:r>
        <w:t>details</w:t>
      </w:r>
    </w:p>
    <w:p w:rsidR="00BA5B27" w:rsidRDefault="00BA5B27" w:rsidP="00BA5B27">
      <w:pPr>
        <w:pStyle w:val="ListParagraph"/>
        <w:ind w:left="1080"/>
      </w:pPr>
      <w:r>
        <w:t xml:space="preserve">Given an initial set of k means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>
        <w:t>, the algorithm proceeds by alternating between two steps:</w:t>
      </w:r>
    </w:p>
    <w:p w:rsidR="00BA5B27" w:rsidRDefault="00BA5B27" w:rsidP="00BA5B27">
      <w:pPr>
        <w:pStyle w:val="ListParagraph"/>
        <w:numPr>
          <w:ilvl w:val="1"/>
          <w:numId w:val="2"/>
        </w:numPr>
      </w:pPr>
      <w:r>
        <w:t>assignment step</w:t>
      </w:r>
    </w:p>
    <w:p w:rsidR="00BA5B27" w:rsidRDefault="00BA5B27" w:rsidP="00BA5B27">
      <w:pPr>
        <w:ind w:left="1080"/>
      </w:pPr>
      <w:r>
        <w:t>Assign each observation to the cluster whose mean</w:t>
      </w:r>
      <w:r w:rsidR="00115094">
        <w:t xml:space="preserve"> has the least squared Euclidean distance, this is intuitively the “nearest” mean. (Mathematically, </w:t>
      </w:r>
      <w:proofErr w:type="spellStart"/>
      <w:r w:rsidR="00115094">
        <w:t>Voronoi</w:t>
      </w:r>
      <w:proofErr w:type="spellEnd"/>
      <w:r w:rsidR="00115094">
        <w:t xml:space="preserve"> diagram generated by the means is applied to partition the observation).</w:t>
      </w:r>
    </w:p>
    <w:p w:rsidR="00F629F5" w:rsidRPr="005957C7" w:rsidRDefault="00115094" w:rsidP="00F629F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∀j,1≤j≤k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957C7" w:rsidRDefault="005957C7" w:rsidP="00F629F5">
      <w:pPr>
        <w:pStyle w:val="ListParagraph"/>
      </w:pPr>
      <w:r>
        <w:t xml:space="preserve">where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assigned to exactly one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t xml:space="preserve">, even if it could be assigned to two or more of them. </w:t>
      </w:r>
    </w:p>
    <w:p w:rsidR="005957C7" w:rsidRDefault="005957C7" w:rsidP="005957C7">
      <w:pPr>
        <w:pStyle w:val="ListParagraph"/>
        <w:numPr>
          <w:ilvl w:val="1"/>
          <w:numId w:val="2"/>
        </w:numPr>
      </w:pPr>
      <w:r>
        <w:t>update step</w:t>
      </w:r>
    </w:p>
    <w:p w:rsidR="005957C7" w:rsidRDefault="00ED1DD8" w:rsidP="005957C7">
      <w:pPr>
        <w:pStyle w:val="ListParagraph"/>
        <w:ind w:left="1440"/>
      </w:pPr>
      <w:r>
        <w:t>We then c</w:t>
      </w:r>
      <w:r w:rsidR="005957C7">
        <w:t xml:space="preserve">alculate the new means to be the centroids of the observations in the new cluster. </w:t>
      </w:r>
    </w:p>
    <w:p w:rsidR="00EC7CA2" w:rsidRPr="00CA1A1E" w:rsidRDefault="00EC7CA2" w:rsidP="005957C7">
      <w:pPr>
        <w:pStyle w:val="ListParagraph"/>
        <w:ind w:left="144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t+1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)</m:t>
                      </m:r>
                    </m:sup>
                  </m:sSubSup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sup>
              </m:sSub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CA1A1E" w:rsidRDefault="00CA1A1E" w:rsidP="00CA1A1E">
      <w:pPr>
        <w:pStyle w:val="ListParagraph"/>
        <w:numPr>
          <w:ilvl w:val="0"/>
          <w:numId w:val="2"/>
        </w:numPr>
      </w:pPr>
      <w:r>
        <w:t>application</w:t>
      </w:r>
    </w:p>
    <w:p w:rsidR="00CA1A1E" w:rsidRDefault="00ED1DD8" w:rsidP="00CA1A1E">
      <w:pPr>
        <w:pStyle w:val="ListParagraph"/>
        <w:ind w:left="1080"/>
      </w:pPr>
      <w:r>
        <w:t xml:space="preserve">Given that the distance used by k-means clustering algorithm is squared Euclidean distance, it </w:t>
      </w:r>
      <w:r w:rsidR="00CA1A1E">
        <w:t xml:space="preserve">is a natural fit for color quantization in both RGB color space and CIE L*a*b* color space. </w:t>
      </w:r>
      <w:r w:rsidR="00BD35BD">
        <w:t xml:space="preserve">For these </w:t>
      </w:r>
      <w:proofErr w:type="gramStart"/>
      <w:r w:rsidR="00BD35BD">
        <w:t>two color</w:t>
      </w:r>
      <w:proofErr w:type="gramEnd"/>
      <w:r w:rsidR="00BD35BD">
        <w:t xml:space="preserve"> spaces, there are three channels </w:t>
      </w:r>
      <w:r w:rsidR="007C1DEF">
        <w:t>in each one representing different color-related information, so we can use squared Euclidean distance to find the centroids of the color cluster</w:t>
      </w:r>
      <w:r w:rsidR="008E6D5E">
        <w:t>s</w:t>
      </w:r>
      <w:r w:rsidR="007C1DEF">
        <w:t xml:space="preserve"> which are selected to the part of the color theme palette. </w:t>
      </w:r>
    </w:p>
    <w:p w:rsidR="00862D6A" w:rsidRDefault="00862D6A" w:rsidP="00CA1A1E">
      <w:pPr>
        <w:pStyle w:val="ListParagraph"/>
        <w:ind w:left="1080"/>
      </w:pPr>
      <w:r>
        <w:t xml:space="preserve">After obtaining the color theme palette of the image, all colors can be remapped into the nearest selected color based on the squared Euclidean distance. </w:t>
      </w:r>
      <w:r w:rsidR="00BA3250">
        <w:t>(</w:t>
      </w:r>
      <w:hyperlink r:id="rId9" w:history="1">
        <w:r w:rsidR="00BA3250" w:rsidRPr="00F36B51">
          <w:rPr>
            <w:rStyle w:val="Hyperlink"/>
          </w:rPr>
          <w:t>https://lmcaraig.com/color-quantization-using-k-means/#selectionwithkmeans</w:t>
        </w:r>
      </w:hyperlink>
      <w:r w:rsidR="00BA3250">
        <w:t>)</w:t>
      </w:r>
    </w:p>
    <w:p w:rsidR="00BA3250" w:rsidRDefault="00BA3250" w:rsidP="00CA1A1E">
      <w:pPr>
        <w:pStyle w:val="ListParagraph"/>
        <w:ind w:left="1080"/>
      </w:pPr>
      <w:bookmarkStart w:id="0" w:name="_GoBack"/>
      <w:bookmarkEnd w:id="0"/>
    </w:p>
    <w:sectPr w:rsidR="00BA3250" w:rsidSect="00A00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4979"/>
    <w:multiLevelType w:val="multilevel"/>
    <w:tmpl w:val="62CA54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BD37868"/>
    <w:multiLevelType w:val="hybridMultilevel"/>
    <w:tmpl w:val="B35415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F5"/>
    <w:rsid w:val="00115094"/>
    <w:rsid w:val="00297580"/>
    <w:rsid w:val="005957C7"/>
    <w:rsid w:val="007C1DEF"/>
    <w:rsid w:val="00862D6A"/>
    <w:rsid w:val="008E6D5E"/>
    <w:rsid w:val="00A002EC"/>
    <w:rsid w:val="00BA3250"/>
    <w:rsid w:val="00BA5B27"/>
    <w:rsid w:val="00BD35BD"/>
    <w:rsid w:val="00CA1A1E"/>
    <w:rsid w:val="00EC7CA2"/>
    <w:rsid w:val="00ED1DD8"/>
    <w:rsid w:val="00F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392CE"/>
  <w15:chartTrackingRefBased/>
  <w15:docId w15:val="{9BEAC01E-2E63-CC45-B380-F23C4E77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9F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A5B2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C7C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means_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uster_(statistics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artition_of_a_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mcaraig.com/color-quantization-using-k-means/#selectionwithk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Wei</dc:creator>
  <cp:keywords/>
  <dc:description/>
  <cp:lastModifiedBy>L. Wei</cp:lastModifiedBy>
  <cp:revision>6</cp:revision>
  <dcterms:created xsi:type="dcterms:W3CDTF">2018-11-17T15:57:00Z</dcterms:created>
  <dcterms:modified xsi:type="dcterms:W3CDTF">2018-11-17T18:58:00Z</dcterms:modified>
</cp:coreProperties>
</file>