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2025 全国大学生数学建模竞赛 · C题</w:t>
      </w:r>
    </w:p>
    <w:p>
      <w:pPr>
        <w:pStyle w:val="Title"/>
      </w:pPr>
      <w:r>
        <w:t>NIPT 的时点选择与胎儿异常判定</w:t>
      </w:r>
    </w:p>
    <w:p>
      <w:pPr>
        <w:spacing w:after="360"/>
      </w:pPr>
      <w:r>
        <w:rPr>
          <w:rFonts w:ascii="Calibri" w:hAnsi="Calibri" w:eastAsia="Microsoft YaHei"/>
          <w:color w:val="5B6573"/>
          <w:sz w:val="22"/>
        </w:rPr>
        <w:t>混合效应 · 区间删失 AFT · 分组交叉验证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9000"/>
      </w:tblGrid>
      <w:tr>
        <w:tc>
          <w:tcPr>
            <w:tcW w:type="dxa" w:w="9000"/>
            <w:shd w:fill="F4F6F9"/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>摘要</w:t>
              <w:br/>
              <w:t>本文对 267 名男胎孕妇的 1082 条重复检测记录和 147 名女胎孕妇的 605 条记录进行建模。问题一采用随机截距混合效应模型；问题二、三把首次达到 4% Y 浓度视为区间删失事件，建立对数正态 AFT 模型；问题四按孕妇分组进行五折分类验证。结果显示孕周对 Y 浓度有显著正效应，BMI 有显著负效应；仅 BMI 模型给出 13周3天至19周5天的四档推荐时点；女胎逻辑回归 ROC-AUC 为 0.826。结论仅适用于附件数据和赛题假设，不构成临床建议。</w:t>
            </w:r>
          </w:p>
        </w:tc>
      </w:tr>
    </w:tbl>
    <w:p>
      <w:pPr>
        <w:spacing w:before="160" w:after="280"/>
      </w:pPr>
      <w:r>
        <w:rPr>
          <w:rFonts w:ascii="Calibri" w:hAnsi="Calibri" w:eastAsia="Microsoft YaHei"/>
          <w:b/>
          <w:color w:val="16324F"/>
        </w:rPr>
        <w:t xml:space="preserve">关键词  </w:t>
      </w:r>
      <w:r>
        <w:t>NIPT  ·  混合效应模型  ·  区间删失  ·  BMI 分组  ·  分组交叉验证</w:t>
      </w:r>
    </w:p>
    <w:p>
      <w:pPr>
        <w:pStyle w:val="Heading1"/>
      </w:pPr>
      <w:r>
        <w:t>1 题目与数据</w:t>
      </w:r>
    </w:p>
    <w:p>
      <w:r>
        <w:t>NIPT 利用母体血液中的胎儿游离 DNA 进行染色体异常筛查。题目要求分析男胎 Y 染色体浓度与孕周、BMI 等因素的关系，为不同 BMI 人群选择检测时点，并对女胎异常进行判定。附件包含同一孕妇的多次采血和重复检测，因此分析与验证均以孕妇代码为分组单位。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154"/>
        <w:gridCol w:w="1154"/>
        <w:gridCol w:w="1154"/>
        <w:gridCol w:w="1442"/>
        <w:gridCol w:w="1346"/>
        <w:gridCol w:w="1250"/>
        <w:gridCol w:w="1500"/>
      </w:tblGrid>
      <w:tr>
        <w:trPr>
          <w:tblHeader w:val="true"/>
        </w:trPr>
        <w:tc>
          <w:tcPr>
            <w:tcW w:type="dxa" w:w="1154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工作表</w:t>
            </w:r>
          </w:p>
        </w:tc>
        <w:tc>
          <w:tcPr>
            <w:tcW w:type="dxa" w:w="1154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记录数</w:t>
            </w:r>
          </w:p>
        </w:tc>
        <w:tc>
          <w:tcPr>
            <w:tcW w:type="dxa" w:w="1154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孕妇数</w:t>
            </w:r>
          </w:p>
        </w:tc>
        <w:tc>
          <w:tcPr>
            <w:tcW w:type="dxa" w:w="1442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平均重复</w:t>
            </w:r>
          </w:p>
        </w:tc>
        <w:tc>
          <w:tcPr>
            <w:tcW w:type="dxa" w:w="1346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孕周缺失</w:t>
            </w:r>
          </w:p>
        </w:tc>
        <w:tc>
          <w:tcPr>
            <w:tcW w:type="dxa" w:w="125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阳性数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阳性率</w:t>
            </w:r>
          </w:p>
        </w:tc>
      </w:tr>
      <w:tr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男胎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1082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267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4.052</w:t>
            </w:r>
          </w:p>
        </w:tc>
        <w:tc>
          <w:tcPr>
            <w:tcW w:type="dxa" w:w="134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937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0.866</w:t>
            </w:r>
          </w:p>
        </w:tc>
      </w:tr>
      <w:tr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女胎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605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147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4.116</w:t>
            </w:r>
          </w:p>
        </w:tc>
        <w:tc>
          <w:tcPr>
            <w:tcW w:type="dxa" w:w="134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67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0.111</w:t>
            </w:r>
          </w:p>
        </w:tc>
      </w:tr>
    </w:tbl>
    <w:p>
      <w:pPr>
        <w:spacing w:after="0"/>
      </w:pPr>
    </w:p>
    <w:p>
      <w:pPr>
        <w:pStyle w:val="TableCitation"/>
      </w:pPr>
      <w:r>
        <w:t>表 1  数据概览。女胎阳性标签来自附件“染色体的非整倍体”字段。</w:t>
      </w:r>
    </w:p>
    <w:p>
      <w:pPr>
        <w:pStyle w:val="Heading2"/>
      </w:pPr>
      <w:r>
        <w:t>建模约束</w:t>
      </w:r>
    </w:p>
    <w:p>
      <w:r>
        <w:rPr>
          <w:rFonts w:ascii="Calibri" w:hAnsi="Calibri" w:eastAsia="Microsoft YaHei"/>
          <w:b/>
          <w:color w:val="16324F"/>
        </w:rPr>
        <w:t>A1</w:t>
      </w:r>
      <w:r>
        <w:t xml:space="preserve">  同一孕妇多次检测共享稳定个体差异，观测之间存在组内相关。</w:t>
      </w:r>
    </w:p>
    <w:p>
      <w:r>
        <w:rPr>
          <w:rFonts w:ascii="Calibri" w:hAnsi="Calibri" w:eastAsia="Microsoft YaHei"/>
          <w:b/>
          <w:color w:val="16324F"/>
        </w:rPr>
        <w:t>A2</w:t>
      </w:r>
      <w:r>
        <w:t xml:space="preserve">  最后一次未达标与首次达标之间包含真实达标时点；首次观测即达标属于左删失。</w:t>
      </w:r>
    </w:p>
    <w:p>
      <w:r>
        <w:rPr>
          <w:rFonts w:ascii="Calibri" w:hAnsi="Calibri" w:eastAsia="Microsoft YaHei"/>
          <w:b/>
          <w:color w:val="16324F"/>
        </w:rPr>
        <w:t>A3</w:t>
      </w:r>
      <w:r>
        <w:t xml:space="preserve">  推荐时点为组内预测达标比例首次达到 90% 的孕周。</w:t>
      </w:r>
    </w:p>
    <w:p>
      <w:r>
        <w:rPr>
          <w:rFonts w:ascii="Calibri" w:hAnsi="Calibri" w:eastAsia="Microsoft YaHei"/>
          <w:b/>
          <w:color w:val="16324F"/>
        </w:rPr>
        <w:t>A4</w:t>
      </w:r>
      <w:r>
        <w:t xml:space="preserve">  时点模型只使用检测前可获得变量，避免检测后信息泄漏。</w:t>
      </w:r>
    </w:p>
    <w:p>
      <w:pPr>
        <w:pStyle w:val="Heading1"/>
        <w:pageBreakBefore/>
      </w:pPr>
      <w:r>
        <w:t>2 问题一：Y 浓度关系</w:t>
      </w:r>
    </w:p>
    <w:p>
      <w:r>
        <w:t>为处理同一孕妇多次检测的组内相关，建立随机截距混合效应模型。响应变量采用 log(Y 浓度)，固定效应包括孕周一次项和二次项、BMI、孕周与 BMI 交互、年龄、GC 含量和过滤读段比例。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6324F"/>
          <w:sz w:val="21"/>
        </w:rPr>
        <w:t>log Yᵢⱼ = β₀ + β₁Wc + β₂Wc² + β₃Bc + β₄WcBc + β₅Ac + β₆GCc + β₇Fc + uᵢ + εᵢⱼ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019"/>
        <w:gridCol w:w="1442"/>
        <w:gridCol w:w="1731"/>
        <w:gridCol w:w="3808"/>
      </w:tblGrid>
      <w:tr>
        <w:trPr>
          <w:tblHeader w:val="true"/>
        </w:trPr>
        <w:tc>
          <w:tcPr>
            <w:tcW w:type="dxa" w:w="2019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指标</w:t>
            </w:r>
          </w:p>
        </w:tc>
        <w:tc>
          <w:tcPr>
            <w:tcW w:type="dxa" w:w="1442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估计</w:t>
            </w:r>
          </w:p>
        </w:tc>
        <w:tc>
          <w:tcPr>
            <w:tcW w:type="dxa" w:w="1731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p 值</w:t>
            </w:r>
          </w:p>
        </w:tc>
        <w:tc>
          <w:tcPr>
            <w:tcW w:type="dxa" w:w="380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解释</w:t>
            </w:r>
          </w:p>
        </w:tc>
      </w:tr>
      <w:tr>
        <w:tc>
          <w:tcPr>
            <w:tcW w:type="dxa" w:w="201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孕周一次项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0.0382</w:t>
            </w:r>
          </w:p>
        </w:tc>
        <w:tc>
          <w:tcPr>
            <w:tcW w:type="dxa" w:w="173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3.23×10⁻⁴⁸</w:t>
            </w:r>
          </w:p>
        </w:tc>
        <w:tc>
          <w:tcPr>
            <w:tcW w:type="dxa" w:w="38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显著正效应</w:t>
            </w:r>
          </w:p>
        </w:tc>
      </w:tr>
      <w:tr>
        <w:tc>
          <w:tcPr>
            <w:tcW w:type="dxa" w:w="201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孕周二次项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0.00237</w:t>
            </w:r>
          </w:p>
        </w:tc>
        <w:tc>
          <w:tcPr>
            <w:tcW w:type="dxa" w:w="173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8.35×10⁻⁶</w:t>
            </w:r>
          </w:p>
        </w:tc>
        <w:tc>
          <w:tcPr>
            <w:tcW w:type="dxa" w:w="38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存在非线性</w:t>
            </w:r>
          </w:p>
        </w:tc>
      </w:tr>
      <w:tr>
        <w:tc>
          <w:tcPr>
            <w:tcW w:type="dxa" w:w="201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BMI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-0.0224</w:t>
            </w:r>
          </w:p>
        </w:tc>
        <w:tc>
          <w:tcPr>
            <w:tcW w:type="dxa" w:w="173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0.00258</w:t>
            </w:r>
          </w:p>
        </w:tc>
        <w:tc>
          <w:tcPr>
            <w:tcW w:type="dxa" w:w="38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显著负效应</w:t>
            </w:r>
          </w:p>
        </w:tc>
      </w:tr>
      <w:tr>
        <w:tc>
          <w:tcPr>
            <w:tcW w:type="dxa" w:w="201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孕周×BMI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0.000664</w:t>
            </w:r>
          </w:p>
        </w:tc>
        <w:tc>
          <w:tcPr>
            <w:tcW w:type="dxa" w:w="173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0.326</w:t>
            </w:r>
          </w:p>
        </w:tc>
        <w:tc>
          <w:tcPr>
            <w:tcW w:type="dxa" w:w="38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交互不显著</w:t>
            </w:r>
          </w:p>
        </w:tc>
      </w:tr>
      <w:tr>
        <w:tc>
          <w:tcPr>
            <w:tcW w:type="dxa" w:w="201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GC 含量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6.950</w:t>
            </w:r>
          </w:p>
        </w:tc>
        <w:tc>
          <w:tcPr>
            <w:tcW w:type="dxa" w:w="173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0.00947</w:t>
            </w:r>
          </w:p>
        </w:tc>
        <w:tc>
          <w:tcPr>
            <w:tcW w:type="dxa" w:w="38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质量因素显著</w:t>
            </w:r>
          </w:p>
        </w:tc>
      </w:tr>
    </w:tbl>
    <w:p>
      <w:pPr>
        <w:spacing w:after="0"/>
      </w:pPr>
    </w:p>
    <w:p>
      <w:pPr>
        <w:pStyle w:val="TableCitation"/>
      </w:pPr>
      <w:r>
        <w:t>表 2  混合效应模型的关键固定效应。完整系数见 tables/q1_mixed_effects.csv。</w:t>
      </w:r>
    </w:p>
    <w:p>
      <w:r>
        <w:t>模型成功收敛。ICC=0.7318，边际 R²=0.1440，条件 R²=0.7705，说明孕妇之间的稳定差异是主要变异来源。按孕妇分组的五折 MAE 为 0.0270；组外 R² 略为负值，表明仅凭固定人口变量难以精确预测新孕妇的单次浓度。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61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relationsh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1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孕周、BMI 与男胎 Y 染色体浓度关系</w:t>
      </w:r>
    </w:p>
    <w:p>
      <w:pPr>
        <w:pStyle w:val="Heading1"/>
        <w:pageBreakBefore/>
      </w:pPr>
      <w:r>
        <w:t>3 问题二：BMI 分组与时点</w:t>
      </w:r>
    </w:p>
    <w:p>
      <w:r>
        <w:t>对每名孕妇构造首次达到 4% 的时间区间 (Lᵢ,Uᵢ]，并建立仅含 BMI 的对数正态 AFT 模型。四个连续 BMI 区间通过动态规划确定，在每组至少 35 人的条件下，最小化组内个体 90% 达标分位数的离差。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6324F"/>
          <w:sz w:val="21"/>
        </w:rPr>
        <w:t>log Tᵢ = α₀ + α₁BMIᵢ + σεᵢ，εᵢ ~ N(0,1)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865"/>
        <w:gridCol w:w="2500"/>
        <w:gridCol w:w="1154"/>
        <w:gridCol w:w="2115"/>
        <w:gridCol w:w="2366"/>
      </w:tblGrid>
      <w:tr>
        <w:trPr>
          <w:tblHeader w:val="true"/>
        </w:trPr>
        <w:tc>
          <w:tcPr>
            <w:tcW w:type="dxa" w:w="865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组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BMI 区间</w:t>
            </w:r>
          </w:p>
        </w:tc>
        <w:tc>
          <w:tcPr>
            <w:tcW w:type="dxa" w:w="1154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人数</w:t>
            </w:r>
          </w:p>
        </w:tc>
        <w:tc>
          <w:tcPr>
            <w:tcW w:type="dxa" w:w="2115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推荐时点</w:t>
            </w:r>
          </w:p>
        </w:tc>
        <w:tc>
          <w:tcPr>
            <w:tcW w:type="dxa" w:w="2366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达标比例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[20.70, 30.19]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70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13w+3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0.9016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2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[30.29, 32.50]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89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14w+4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0.9003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3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[32.56, 35.35]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73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16w+2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0.9020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4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[35.38, 46.88]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35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19w+5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0.9016</w:t>
            </w:r>
          </w:p>
        </w:tc>
      </w:tr>
    </w:tbl>
    <w:p>
      <w:pPr>
        <w:spacing w:after="0"/>
      </w:pPr>
    </w:p>
    <w:p>
      <w:pPr>
        <w:pStyle w:val="TableCitation"/>
      </w:pPr>
      <w:r>
        <w:t>表 3  问题二的 BMI 分组与推荐检测时点；各组预测达标比例均不低于 0.90。</w:t>
      </w:r>
    </w:p>
    <w:p>
      <w:pPr>
        <w:pStyle w:val="Heading1"/>
      </w:pPr>
      <w:r>
        <w:t>4 问题三：多因素修正</w:t>
      </w:r>
    </w:p>
    <w:p>
      <w:r>
        <w:t>在 BMI 基础上加入年龄、身高、受孕方式、怀孕次数和生产次数，仍采用区间删失 AFT。检测后才能获得的 Z 值、读段比例和 Y 浓度不进入时点模型。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865"/>
        <w:gridCol w:w="2500"/>
        <w:gridCol w:w="1154"/>
        <w:gridCol w:w="2115"/>
        <w:gridCol w:w="2366"/>
      </w:tblGrid>
      <w:tr>
        <w:trPr>
          <w:tblHeader w:val="true"/>
        </w:trPr>
        <w:tc>
          <w:tcPr>
            <w:tcW w:type="dxa" w:w="865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组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BMI 区间</w:t>
            </w:r>
          </w:p>
        </w:tc>
        <w:tc>
          <w:tcPr>
            <w:tcW w:type="dxa" w:w="1154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人数</w:t>
            </w:r>
          </w:p>
        </w:tc>
        <w:tc>
          <w:tcPr>
            <w:tcW w:type="dxa" w:w="2115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推荐时点</w:t>
            </w:r>
          </w:p>
        </w:tc>
        <w:tc>
          <w:tcPr>
            <w:tcW w:type="dxa" w:w="2366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达标比例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[20.70, 31.40]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126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13w+6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0.9033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2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[31.41, 32.95]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50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15w+2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0.9008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3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[33.01, 35.35]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56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16w+3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0.9003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4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[35.38, 46.88]</w:t>
            </w:r>
          </w:p>
        </w:tc>
        <w:tc>
          <w:tcPr>
            <w:tcW w:type="dxa" w:w="11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35</w:t>
            </w:r>
          </w:p>
        </w:tc>
        <w:tc>
          <w:tcPr>
            <w:tcW w:type="dxa" w:w="211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19w+5</w:t>
            </w:r>
          </w:p>
        </w:tc>
        <w:tc>
          <w:tcPr>
            <w:tcW w:type="dxa" w:w="236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0.9020</w:t>
            </w:r>
          </w:p>
        </w:tc>
      </w:tr>
    </w:tbl>
    <w:p>
      <w:pPr>
        <w:spacing w:after="0"/>
      </w:pPr>
    </w:p>
    <w:p>
      <w:pPr>
        <w:pStyle w:val="TableCitation"/>
      </w:pPr>
      <w:r>
        <w:t>表 4  多因素修正后的分组建议。</w:t>
      </w:r>
    </w:p>
    <w:p>
      <w:r>
        <w:t>多因素模型 AIC=364.38，高于仅 BMI 模型的 358.57。因此，多因素路线用于刻画异质性和风险修正，不宣称其拟合优于 BMI 主模型。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575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q3_reach_prob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7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两条路线下各 BMI 组的预测达标概率</w:t>
      </w:r>
    </w:p>
    <w:p>
      <w:pPr>
        <w:pStyle w:val="Heading1"/>
      </w:pPr>
      <w:r>
        <w:t>5 检测误差与稳健性</w:t>
      </w:r>
    </w:p>
    <w:p>
      <w:r>
        <w:t>将达标阈值分别设为 3.5%、4.0% 和 4.5%，每次重新构造删失区间并重新拟合。相对 4.0% 基准，推荐时点最多变化 17 天；高 BMI 组对阈值误差更敏感。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221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q3_error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2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推荐时点相对 4.0% 基准的变化天数</w:t>
      </w:r>
    </w:p>
    <w:p>
      <w:r>
        <w:t>删失构成为：左删失 218 人、区间删失 42 人、右删失 7 人。直接把首次观测周当作达标周会系统性推迟估计，区间删失模型更符合附件的观测机制，但结果仍依赖对数正态分布假设。</w:t>
      </w:r>
    </w:p>
    <w:p>
      <w:pPr>
        <w:pStyle w:val="Heading1"/>
      </w:pPr>
      <w:r>
        <w:t>6 问题四：女胎异常判定</w:t>
      </w:r>
    </w:p>
    <w:p>
      <w:r>
        <w:t>以 Z13、Z18、Z21、ZX、X 浓度、GC 指标、读段数及比例、BMI、年龄和孕周为输入，比较逻辑回归、随机森林、直方图梯度提升和传统 Z 阈值。五折划分始终保证同一孕妇只出现在一个折中。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560"/>
        <w:gridCol w:w="1288"/>
        <w:gridCol w:w="1288"/>
        <w:gridCol w:w="1288"/>
        <w:gridCol w:w="1288"/>
        <w:gridCol w:w="1288"/>
      </w:tblGrid>
      <w:tr>
        <w:trPr>
          <w:tblHeader w:val="true"/>
        </w:trPr>
        <w:tc>
          <w:tcPr>
            <w:tcW w:type="dxa" w:w="25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模型</w:t>
            </w:r>
          </w:p>
        </w:tc>
        <w:tc>
          <w:tcPr>
            <w:tcW w:type="dxa" w:w="128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ROC-AUC</w:t>
            </w:r>
          </w:p>
        </w:tc>
        <w:tc>
          <w:tcPr>
            <w:tcW w:type="dxa" w:w="128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PR-AUC</w:t>
            </w:r>
          </w:p>
        </w:tc>
        <w:tc>
          <w:tcPr>
            <w:tcW w:type="dxa" w:w="128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召回率</w:t>
            </w:r>
          </w:p>
        </w:tc>
        <w:tc>
          <w:tcPr>
            <w:tcW w:type="dxa" w:w="128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特异度</w:t>
            </w:r>
          </w:p>
        </w:tc>
        <w:tc>
          <w:tcPr>
            <w:tcW w:type="dxa" w:w="1288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F1</w:t>
            </w:r>
          </w:p>
        </w:tc>
      </w:tr>
      <w:tr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分组逻辑回归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0.826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0.479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0.746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0.768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0.413</w:t>
            </w:r>
          </w:p>
        </w:tc>
      </w:tr>
      <w:tr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随机森林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0.790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0.386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0.343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0.946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0.387</w:t>
            </w:r>
          </w:p>
        </w:tc>
      </w:tr>
      <w:tr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直方图梯度提升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0.768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0.401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0.373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0.929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0.385</w:t>
            </w:r>
          </w:p>
        </w:tc>
      </w:tr>
      <w:tr>
        <w:tc>
          <w:tcPr>
            <w:tcW w:type="dxa" w:w="2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传统 |Z|≥3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0.479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0.109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0.060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0.924</w:t>
            </w:r>
          </w:p>
        </w:tc>
        <w:tc>
          <w:tcPr>
            <w:tcW w:type="dxa" w:w="12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0252B"/>
                <w:sz w:val="18"/>
              </w:rPr>
              <w:t>0.071</w:t>
            </w:r>
          </w:p>
        </w:tc>
      </w:tr>
    </w:tbl>
    <w:p>
      <w:pPr>
        <w:spacing w:after="0"/>
      </w:pPr>
    </w:p>
    <w:p>
      <w:pPr>
        <w:pStyle w:val="TableCitation"/>
      </w:pPr>
      <w:r>
        <w:t>表 5  按孕妇分组五折交叉验证。阳性率较低，PR-AUC 比准确率更有解释价值。</w:t>
      </w:r>
    </w:p>
    <w:p>
      <w:r>
        <w:t>分组逻辑回归的排序能力最好且可解释性强。阈值 0.5 下，TN=413、FP=125、FN=17、TP=50，对应召回率 0.746、特异度 0.768。传统 |Z|≥3 在本附件上表现较弱，说明异常标签不能由单次三条常染色体 Z 值完全复现。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7405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roc_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4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女胎异常判定的 ROC 与 PR 曲线</w:t>
      </w:r>
    </w:p>
    <w:p>
      <w:r>
        <w:t>类别加权输出只作为筛查分数。嵌套孕妇分组 Platt 校准将 Brier 分数由 0.158 降至 0.081，ECE=0.035；校准仍需独立样本复核。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769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alibration_thresh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6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主模型概率校准与阈值权衡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2228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nfusion_coeffic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2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主模型混淆矩阵与标准化系数</w:t>
      </w:r>
    </w:p>
    <w:p>
      <w:pPr>
        <w:pStyle w:val="Heading1"/>
      </w:pPr>
      <w:r>
        <w:t>7 结论与边界</w:t>
      </w:r>
    </w:p>
    <w:p>
      <w:r>
        <w:rPr>
          <w:rFonts w:ascii="Calibri" w:hAnsi="Calibri" w:eastAsia="Microsoft YaHei"/>
          <w:b/>
          <w:color w:val="16324F"/>
        </w:rPr>
        <w:t>问题一：</w:t>
      </w:r>
      <w:r>
        <w:t>孕周增加与 Y 浓度上升显著相关，BMI 增加与 Y 浓度下降显著相关；ICC=0.732 说明个体差异不可忽略。</w:t>
      </w:r>
    </w:p>
    <w:p>
      <w:r>
        <w:rPr>
          <w:rFonts w:ascii="Calibri" w:hAnsi="Calibri" w:eastAsia="Microsoft YaHei"/>
          <w:b/>
          <w:color w:val="16324F"/>
        </w:rPr>
        <w:t>问题二：</w:t>
      </w:r>
      <w:r>
        <w:t>仅 BMI 路线给出四档时点 13周3天、14周4天、16周2天和19周5天。</w:t>
      </w:r>
    </w:p>
    <w:p>
      <w:r>
        <w:rPr>
          <w:rFonts w:ascii="Calibri" w:hAnsi="Calibri" w:eastAsia="Microsoft YaHei"/>
          <w:b/>
          <w:color w:val="16324F"/>
        </w:rPr>
        <w:t>问题三：</w:t>
      </w:r>
      <w:r>
        <w:t>多因素路线给出 13周6天、15周2天、16周3天和19周5天；其 AIC 更高，因此只作为异质性修正。</w:t>
      </w:r>
    </w:p>
    <w:p>
      <w:r>
        <w:rPr>
          <w:rFonts w:ascii="Calibri" w:hAnsi="Calibri" w:eastAsia="Microsoft YaHei"/>
          <w:b/>
          <w:color w:val="16324F"/>
        </w:rPr>
        <w:t>问题四：</w:t>
      </w:r>
      <w:r>
        <w:t>分组逻辑回归 ROC-AUC=0.826、PR-AUC=0.479，优于传统 Z 阈值。</w:t>
      </w:r>
    </w:p>
    <w:p>
      <w:pPr>
        <w:pStyle w:val="Heading2"/>
      </w:pPr>
      <w:r>
        <w:t>适用范围</w:t>
      </w:r>
    </w:p>
    <w:p>
      <w:r>
        <w:t>附件样本以高 BMI 孕妇为主，不能直接外推到一般孕妇。大量首次观测即达标使左删失占比较高，女胎阳性仅 67 条，均需要外部样本重新校准。模型输出只用于数学建模竞赛，不构成医学诊断或临床建议。</w:t>
      </w:r>
    </w:p>
    <w:p>
      <w:pPr>
        <w:pStyle w:val="Heading2"/>
      </w:pPr>
      <w:r>
        <w:t>参考文献</w:t>
      </w:r>
    </w:p>
    <w:p>
      <w:pPr>
        <w:spacing w:after="40" w:line="240" w:lineRule="auto"/>
        <w:ind w:left="317" w:hanging="317"/>
      </w:pPr>
      <w:r>
        <w:rPr>
          <w:rFonts w:ascii="Calibri" w:hAnsi="Calibri" w:eastAsia="Microsoft YaHei"/>
          <w:color w:val="20252B"/>
          <w:sz w:val="18"/>
        </w:rPr>
        <w:t>[1] 全国大学生数学建模竞赛组委会. 2025 年高教社杯全国大学生数学建模竞赛赛题, 2025.</w:t>
      </w:r>
    </w:p>
    <w:p>
      <w:pPr>
        <w:spacing w:after="40" w:line="240" w:lineRule="auto"/>
        <w:ind w:left="317" w:hanging="317"/>
      </w:pPr>
      <w:r>
        <w:rPr>
          <w:rFonts w:ascii="Calibri" w:hAnsi="Calibri" w:eastAsia="Microsoft YaHei"/>
          <w:color w:val="20252B"/>
          <w:sz w:val="18"/>
        </w:rPr>
        <w:t>[2] Deng C, et al. Maternal and fetal factors influencing fetal fraction. 2023. PMID: 37114008.</w:t>
      </w:r>
    </w:p>
    <w:p>
      <w:pPr>
        <w:spacing w:after="40" w:line="240" w:lineRule="auto"/>
        <w:ind w:left="317" w:hanging="317"/>
      </w:pPr>
      <w:r>
        <w:rPr>
          <w:rFonts w:ascii="Calibri" w:hAnsi="Calibri" w:eastAsia="Microsoft YaHei"/>
          <w:color w:val="20252B"/>
          <w:sz w:val="18"/>
        </w:rPr>
        <w:t>[3] Gazdarica J, et al. Insights into non-informative results from non-invasive prenatal screening. 2024. PMID: 38452118.</w:t>
      </w:r>
    </w:p>
    <w:p>
      <w:pPr>
        <w:spacing w:after="40" w:line="240" w:lineRule="auto"/>
        <w:ind w:left="317" w:hanging="317"/>
      </w:pPr>
      <w:r>
        <w:rPr>
          <w:rFonts w:ascii="Calibri" w:hAnsi="Calibri" w:eastAsia="Microsoft YaHei"/>
          <w:color w:val="20252B"/>
          <w:sz w:val="18"/>
        </w:rPr>
        <w:t>[4] Rolnik DL, et al. Influence of Body Mass Index on Fetal Fraction Increase With Gestation and Cell-Free DNA Test Failure. 2018. PMID: 29995742.</w:t>
      </w:r>
    </w:p>
    <w:p>
      <w:pPr>
        <w:spacing w:after="40" w:line="240" w:lineRule="auto"/>
        <w:ind w:left="317" w:hanging="317"/>
      </w:pPr>
      <w:r>
        <w:rPr>
          <w:rFonts w:ascii="Calibri" w:hAnsi="Calibri" w:eastAsia="Microsoft YaHei"/>
          <w:color w:val="20252B"/>
          <w:sz w:val="18"/>
        </w:rPr>
        <w:t>[5] Zhang X, et al. Evaluation of the Z-score accuracy of noninvasive prenatal testing for fetal trisomies 13, 18 and 21. 2021. PMID: 33480032.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2025 CUMCM C题  |  NIPT 时点选择与异常判定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both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 w:eastAsia="Microsoft YaHei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