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Organization-Wide Licensing</w:t>
      </w:r>
    </w:p>
    <w:p>
      <w:pPr>
        <w:pStyle w:val="Subtitle"/>
      </w:pPr>
      <w:r>
        <w:t>Estimated Maryland market pricing | Effective July 2026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c>
          <w:tcPr>
            <w:tcW w:type="dxa" w:w="9120"/>
            <w:shd w:fill="EAF5F3"/>
            <w:tcMar>
              <w:top w:w="145" w:type="dxa"/>
              <w:start w:w="190" w:type="dxa"/>
              <w:bottom w:w="145" w:type="dxa"/>
              <w:end w:w="1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2"/>
              </w:rPr>
              <w:t>Scalable continuing education and workforce training for Maryland organizations with five or more staff.</w:t>
            </w:r>
          </w:p>
        </w:tc>
      </w:tr>
    </w:tbl>
    <w:p>
      <w:r>
        <w:t>The rates below are recommended starting prices based on comparable continuing-education subscriptions, group webinars, and LMS implementation services.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2200"/>
        <w:gridCol w:w="5200"/>
        <w:gridCol w:w="1720"/>
      </w:tblGrid>
      <w:tr>
        <w:tc>
          <w:tcPr>
            <w:tcW w:type="dxa" w:w="2200"/>
            <w:shd w:fill="17324D"/>
            <w:tcMar>
              <w:top w:w="110" w:type="dxa"/>
              <w:start w:w="135" w:type="dxa"/>
              <w:bottom w:w="110" w:type="dxa"/>
              <w:end w:w="13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SOLUTION</w:t>
            </w:r>
          </w:p>
        </w:tc>
        <w:tc>
          <w:tcPr>
            <w:tcW w:type="dxa" w:w="5200"/>
            <w:shd w:fill="17324D"/>
            <w:tcMar>
              <w:top w:w="110" w:type="dxa"/>
              <w:start w:w="135" w:type="dxa"/>
              <w:bottom w:w="110" w:type="dxa"/>
              <w:end w:w="13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WHAT’S INCLUDED</w:t>
            </w:r>
          </w:p>
        </w:tc>
        <w:tc>
          <w:tcPr>
            <w:tcW w:type="dxa" w:w="1720"/>
            <w:shd w:fill="17324D"/>
            <w:tcMar>
              <w:top w:w="110" w:type="dxa"/>
              <w:start w:w="135" w:type="dxa"/>
              <w:bottom w:w="110" w:type="dxa"/>
              <w:end w:w="13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PRICING</w:t>
            </w:r>
          </w:p>
        </w:tc>
      </w:tr>
      <w:tr>
        <w:tc>
          <w:tcPr>
            <w:tcW w:type="dxa" w:w="2200"/>
            <w:shd w:fill="FFFFFF"/>
            <w:tcMar>
              <w:top w:w="105" w:type="dxa"/>
              <w:start w:w="135" w:type="dxa"/>
              <w:bottom w:w="105" w:type="dxa"/>
              <w:end w:w="13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Annual Site License</w:t>
            </w:r>
          </w:p>
        </w:tc>
        <w:tc>
          <w:tcPr>
            <w:tcW w:type="dxa" w:w="5200"/>
            <w:shd w:fill="FFFFFF"/>
            <w:tcMar>
              <w:top w:w="105" w:type="dxa"/>
              <w:start w:w="135" w:type="dxa"/>
              <w:bottom w:w="105" w:type="dxa"/>
              <w:end w:w="13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24D"/>
                <w:sz w:val="18"/>
              </w:rPr>
              <w:t>Unlimited access to selected self-paced courses. 5–24 staff: $1,500; 25–49: $3,000; 50–99: $5,500; 100–199: $9,500.</w:t>
            </w:r>
          </w:p>
        </w:tc>
        <w:tc>
          <w:tcPr>
            <w:tcW w:type="dxa" w:w="1720"/>
            <w:shd w:fill="FFFFFF"/>
            <w:tcMar>
              <w:top w:w="105" w:type="dxa"/>
              <w:start w:w="135" w:type="dxa"/>
              <w:bottom w:w="105" w:type="dxa"/>
              <w:end w:w="13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B7F79"/>
                <w:sz w:val="17"/>
              </w:rPr>
              <w:t>FROM</w:t>
              <w:br/>
              <w:t>$1,500/YR</w:t>
            </w:r>
          </w:p>
        </w:tc>
      </w:tr>
      <w:tr>
        <w:tc>
          <w:tcPr>
            <w:tcW w:type="dxa" w:w="2200"/>
            <w:shd w:fill="F3F6F8"/>
            <w:tcMar>
              <w:top w:w="105" w:type="dxa"/>
              <w:start w:w="135" w:type="dxa"/>
              <w:bottom w:w="105" w:type="dxa"/>
              <w:end w:w="13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Private Live Webinar</w:t>
            </w:r>
          </w:p>
        </w:tc>
        <w:tc>
          <w:tcPr>
            <w:tcW w:type="dxa" w:w="5200"/>
            <w:shd w:fill="F3F6F8"/>
            <w:tcMar>
              <w:top w:w="105" w:type="dxa"/>
              <w:start w:w="135" w:type="dxa"/>
              <w:bottom w:w="105" w:type="dxa"/>
              <w:end w:w="13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24D"/>
                <w:sz w:val="18"/>
              </w:rPr>
              <w:t>One 90–120 minute instructor-led session. Up to 25: $1,500; 26–50: $2,250; 51–100: $3,500; 101–200: $5,500.</w:t>
            </w:r>
          </w:p>
        </w:tc>
        <w:tc>
          <w:tcPr>
            <w:tcW w:type="dxa" w:w="1720"/>
            <w:shd w:fill="F3F6F8"/>
            <w:tcMar>
              <w:top w:w="105" w:type="dxa"/>
              <w:start w:w="135" w:type="dxa"/>
              <w:bottom w:w="105" w:type="dxa"/>
              <w:end w:w="13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B7F79"/>
                <w:sz w:val="17"/>
              </w:rPr>
              <w:t>FROM</w:t>
              <w:br/>
              <w:t>$1,500</w:t>
            </w:r>
          </w:p>
        </w:tc>
      </w:tr>
      <w:tr>
        <w:tc>
          <w:tcPr>
            <w:tcW w:type="dxa" w:w="2200"/>
            <w:shd w:fill="FFFFFF"/>
            <w:tcMar>
              <w:top w:w="105" w:type="dxa"/>
              <w:start w:w="135" w:type="dxa"/>
              <w:bottom w:w="105" w:type="dxa"/>
              <w:end w:w="13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Custom LMS Integration</w:t>
            </w:r>
          </w:p>
        </w:tc>
        <w:tc>
          <w:tcPr>
            <w:tcW w:type="dxa" w:w="5200"/>
            <w:shd w:fill="FFFFFF"/>
            <w:tcMar>
              <w:top w:w="105" w:type="dxa"/>
              <w:start w:w="135" w:type="dxa"/>
              <w:bottom w:w="105" w:type="dxa"/>
              <w:end w:w="13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24D"/>
                <w:sz w:val="18"/>
              </w:rPr>
              <w:t>Standard course setup/package transfer: $1,500–$3,500. Advanced SSO, data mapping, or API work: $5,000–$12,500.</w:t>
            </w:r>
          </w:p>
        </w:tc>
        <w:tc>
          <w:tcPr>
            <w:tcW w:type="dxa" w:w="1720"/>
            <w:shd w:fill="FFFFFF"/>
            <w:tcMar>
              <w:top w:w="105" w:type="dxa"/>
              <w:start w:w="135" w:type="dxa"/>
              <w:bottom w:w="105" w:type="dxa"/>
              <w:end w:w="13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B7F79"/>
                <w:sz w:val="17"/>
              </w:rPr>
              <w:t>FROM</w:t>
              <w:br/>
              <w:t>$1,500</w:t>
            </w:r>
          </w:p>
        </w:tc>
      </w:tr>
      <w:tr>
        <w:tc>
          <w:tcPr>
            <w:tcW w:type="dxa" w:w="2200"/>
            <w:shd w:fill="F3F6F8"/>
            <w:tcMar>
              <w:top w:w="105" w:type="dxa"/>
              <w:start w:w="135" w:type="dxa"/>
              <w:bottom w:w="105" w:type="dxa"/>
              <w:end w:w="13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Branded Certificates</w:t>
            </w:r>
          </w:p>
        </w:tc>
        <w:tc>
          <w:tcPr>
            <w:tcW w:type="dxa" w:w="5200"/>
            <w:shd w:fill="F3F6F8"/>
            <w:tcMar>
              <w:top w:w="105" w:type="dxa"/>
              <w:start w:w="135" w:type="dxa"/>
              <w:bottom w:w="105" w:type="dxa"/>
              <w:end w:w="13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24D"/>
                <w:sz w:val="18"/>
              </w:rPr>
              <w:t>One-time setup for up to three certificate templates with organization name and logo. Additional templates: $125 each.</w:t>
            </w:r>
          </w:p>
        </w:tc>
        <w:tc>
          <w:tcPr>
            <w:tcW w:type="dxa" w:w="1720"/>
            <w:shd w:fill="F3F6F8"/>
            <w:tcMar>
              <w:top w:w="105" w:type="dxa"/>
              <w:start w:w="135" w:type="dxa"/>
              <w:bottom w:w="105" w:type="dxa"/>
              <w:end w:w="13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B7F79"/>
                <w:sz w:val="17"/>
              </w:rPr>
              <w:t>$350</w:t>
              <w:br/>
              <w:t>SETUP</w:t>
            </w:r>
          </w:p>
        </w:tc>
      </w:tr>
      <w:tr>
        <w:tc>
          <w:tcPr>
            <w:tcW w:type="dxa" w:w="2200"/>
            <w:shd w:fill="FFFFFF"/>
            <w:tcMar>
              <w:top w:w="105" w:type="dxa"/>
              <w:start w:w="135" w:type="dxa"/>
              <w:bottom w:w="105" w:type="dxa"/>
              <w:end w:w="13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CEU &amp; Compliance Reporting</w:t>
            </w:r>
          </w:p>
        </w:tc>
        <w:tc>
          <w:tcPr>
            <w:tcW w:type="dxa" w:w="5200"/>
            <w:shd w:fill="FFFFFF"/>
            <w:tcMar>
              <w:top w:w="105" w:type="dxa"/>
              <w:start w:w="135" w:type="dxa"/>
              <w:bottom w:w="105" w:type="dxa"/>
              <w:end w:w="13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24D"/>
                <w:sz w:val="18"/>
              </w:rPr>
              <w:t>Annual centralized tracking and quarterly reports. Up to 49 staff: $1,200; 50–99: $2,400; 100–199: $4,200.</w:t>
            </w:r>
          </w:p>
        </w:tc>
        <w:tc>
          <w:tcPr>
            <w:tcW w:type="dxa" w:w="1720"/>
            <w:shd w:fill="FFFFFF"/>
            <w:tcMar>
              <w:top w:w="105" w:type="dxa"/>
              <w:start w:w="135" w:type="dxa"/>
              <w:bottom w:w="105" w:type="dxa"/>
              <w:end w:w="13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B7F79"/>
                <w:sz w:val="17"/>
              </w:rPr>
              <w:t>FROM</w:t>
              <w:br/>
              <w:t>$1,200/YR</w:t>
            </w:r>
          </w:p>
        </w:tc>
      </w:tr>
    </w:tbl>
    <w:p>
      <w:pPr>
        <w:pStyle w:val="Heading1"/>
      </w:pPr>
      <w:r>
        <w:t>Optional Delivery &amp; Volume Pricing</w:t>
      </w:r>
    </w:p>
    <w:p>
      <w:pPr>
        <w:pStyle w:val="ListBullet"/>
        <w:spacing w:after="40"/>
        <w:ind w:left="360" w:hanging="245"/>
      </w:pPr>
      <w:r>
        <w:rPr>
          <w:rFonts w:ascii="Aptos" w:hAnsi="Aptos"/>
          <w:b w:val="0"/>
          <w:color w:val="17324D"/>
          <w:sz w:val="18"/>
        </w:rPr>
        <w:t>Half-day on-site training: starting at $3,500, plus travel outside the Baltimore–Washington region</w:t>
      </w:r>
    </w:p>
    <w:p>
      <w:pPr>
        <w:pStyle w:val="ListBullet"/>
        <w:spacing w:after="40"/>
        <w:ind w:left="360" w:hanging="245"/>
      </w:pPr>
      <w:r>
        <w:rPr>
          <w:rFonts w:ascii="Aptos" w:hAnsi="Aptos"/>
          <w:b w:val="0"/>
          <w:color w:val="17324D"/>
          <w:sz w:val="18"/>
        </w:rPr>
        <w:t>Full-day on-site training: starting at $5,500, plus travel</w:t>
      </w:r>
    </w:p>
    <w:p>
      <w:pPr>
        <w:pStyle w:val="ListBullet"/>
        <w:spacing w:after="40"/>
        <w:ind w:left="360" w:hanging="245"/>
      </w:pPr>
      <w:r>
        <w:rPr>
          <w:rFonts w:ascii="Aptos" w:hAnsi="Aptos"/>
          <w:b w:val="0"/>
          <w:color w:val="17324D"/>
          <w:sz w:val="18"/>
        </w:rPr>
        <w:t>Three-webinar series: 10% discount; six or more webinars: 15% discount</w:t>
      </w:r>
    </w:p>
    <w:p>
      <w:pPr>
        <w:pStyle w:val="ListBullet"/>
        <w:spacing w:after="40"/>
        <w:ind w:left="360" w:hanging="245"/>
      </w:pPr>
      <w:r>
        <w:rPr>
          <w:rFonts w:ascii="Aptos" w:hAnsi="Aptos"/>
          <w:b w:val="0"/>
          <w:color w:val="17324D"/>
          <w:sz w:val="18"/>
        </w:rPr>
        <w:t>Organizations with 200+ staff: customized enterprise proposal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00"/>
        <w:gridCol w:w="3020"/>
      </w:tblGrid>
      <w:tr>
        <w:tc>
          <w:tcPr>
            <w:tcW w:type="dxa" w:w="6100"/>
            <w:shd w:fill="1B7F79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2"/>
              </w:rPr>
              <w:t>READY TO TRAIN YOUR TEAM?</w:t>
            </w:r>
          </w:p>
        </w:tc>
        <w:tc>
          <w:tcPr>
            <w:tcW w:type="dxa" w:w="3020"/>
            <w:shd w:fill="1B7F79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REQUEST A PROPOSAL</w:t>
            </w:r>
          </w:p>
        </w:tc>
      </w:tr>
    </w:tbl>
    <w:p>
      <w:pPr>
        <w:spacing w:before="120" w:after="0"/>
        <w:jc w:val="center"/>
      </w:pPr>
      <w:r>
        <w:rPr>
          <w:rFonts w:ascii="Aptos" w:hAnsi="Aptos"/>
          <w:b w:val="0"/>
          <w:color w:val="5E6B75"/>
          <w:sz w:val="17"/>
        </w:rPr>
        <w:t>Estimated rates, not a binding quote. Final pricing depends on course count, CE approvals, customization, technology requirements, travel, and reporting frequency.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E6B75"/>
        <w:sz w:val="16"/>
      </w:rPr>
      <w:t>Organization-Wide Licensing  |  Maryland estimated market pricing  | 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color w:val="1B7F79"/>
        <w:sz w:val="17"/>
      </w:rPr>
      <w:t>ORGANIZATIONAL TRAINING SOLUTIONS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32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1B7F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 w:val="0"/>
      <w:i/>
      <w:iCs/>
      <w:color w:val="5E6B7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Organization-Wide Licensing Pricing Sheet</dc:title>
  <dc:subject>Organizational training options and custom pricing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