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CD143ED" w14:textId="77777777" w:rsidR="009621AA" w:rsidRDefault="00724E52">
      <w:pPr>
        <w:spacing w:after="60"/>
      </w:pPr>
      <w:r w:rsidRPr="00724E52">
        <w:rPr>
          <w:b/>
          <w:bCs/>
          <w:color w:val="1F4E5F"/>
          <w:sz w:val="44"/>
          <w:szCs w:val="44"/>
        </w:rPr>
        <w:t>Provider Performance Assessment UX Guide</w:t>
      </w:r>
    </w:p>
    <w:p w14:paraId="36988751" w14:textId="77777777" w:rsidR="009621AA" w:rsidRDefault="00515CDB">
      <w:pPr>
        <w:spacing w:after="320"/>
      </w:pPr>
      <w:r w:rsidRPr="00515CDB">
        <w:rPr>
          <w:color w:val="5A6B72"/>
          <w:sz w:val="24"/>
          <w:szCs w:val="24"/>
        </w:rPr>
        <w:t xml:space="preserve">A handoff </w:t>
      </w:r>
      <w:proofErr w:type="gramStart"/>
      <w:r w:rsidRPr="00515CDB">
        <w:rPr>
          <w:color w:val="5A6B72"/>
          <w:sz w:val="24"/>
          <w:szCs w:val="24"/>
        </w:rPr>
        <w:t>outline</w:t>
      </w:r>
      <w:proofErr w:type="gramEnd"/>
      <w:r w:rsidRPr="00515CDB">
        <w:rPr>
          <w:color w:val="5A6B72"/>
          <w:sz w:val="24"/>
          <w:szCs w:val="24"/>
        </w:rPr>
        <w:t xml:space="preserve"> for sustaining and extending the PPA user experience after UX transition</w:t>
      </w:r>
    </w:p>
    <w:tbl>
      <w:tblPr>
        <w:tblW w:w="9360" w:type="dxa"/>
        <w:tblCellMar>
          <w:left w:w="0" w:type="dxa"/>
          <w:right w:w="0" w:type="dxa"/>
        </w:tblCellMar>
        <w:tblLook w:val="04A0" w:firstRow="1" w:lastRow="0" w:firstColumn="1" w:lastColumn="0" w:noHBand="0" w:noVBand="1"/>
      </w:tblPr>
      <w:tblGrid>
        <w:gridCol w:w="2400"/>
        <w:gridCol w:w="6960"/>
      </w:tblGrid>
      <w:tr w:rsidR="00515CDB" w14:paraId="5DD18DA4" w14:textId="77777777">
        <w:trPr>
          <w:tblHeader/>
        </w:trPr>
        <w:tc>
          <w:tcPr>
            <w:tcW w:w="2400" w:type="dxa"/>
            <w:tcBorders>
              <w:top w:val="single" w:sz="8" w:space="0" w:color="C8CFD3"/>
              <w:left w:val="single" w:sz="8" w:space="0" w:color="C8CFD3"/>
              <w:bottom w:val="single" w:sz="8" w:space="0" w:color="C8CFD3"/>
              <w:right w:val="single" w:sz="8" w:space="0" w:color="C8CFD3"/>
            </w:tcBorders>
            <w:shd w:val="clear" w:color="auto" w:fill="1F4E5F"/>
            <w:tcMar>
              <w:top w:w="80" w:type="dxa"/>
              <w:left w:w="120" w:type="dxa"/>
              <w:bottom w:w="80" w:type="dxa"/>
              <w:right w:w="120" w:type="dxa"/>
            </w:tcMar>
            <w:hideMark/>
          </w:tcPr>
          <w:p w14:paraId="6994A3BE" w14:textId="77777777" w:rsidR="00515CDB" w:rsidRDefault="00515CDB">
            <w:r>
              <w:rPr>
                <w:b/>
                <w:bCs/>
                <w:color w:val="FFFFFF"/>
                <w:sz w:val="20"/>
                <w:szCs w:val="20"/>
              </w:rPr>
              <w:t>Field</w:t>
            </w:r>
          </w:p>
        </w:tc>
        <w:tc>
          <w:tcPr>
            <w:tcW w:w="6960" w:type="dxa"/>
            <w:tcBorders>
              <w:top w:val="single" w:sz="8" w:space="0" w:color="C8CFD3"/>
              <w:left w:val="nil"/>
              <w:bottom w:val="single" w:sz="8" w:space="0" w:color="C8CFD3"/>
              <w:right w:val="single" w:sz="8" w:space="0" w:color="C8CFD3"/>
            </w:tcBorders>
            <w:shd w:val="clear" w:color="auto" w:fill="1F4E5F"/>
            <w:tcMar>
              <w:top w:w="80" w:type="dxa"/>
              <w:left w:w="120" w:type="dxa"/>
              <w:bottom w:w="80" w:type="dxa"/>
              <w:right w:w="120" w:type="dxa"/>
            </w:tcMar>
            <w:hideMark/>
          </w:tcPr>
          <w:p w14:paraId="065AA0A5" w14:textId="77777777" w:rsidR="00515CDB" w:rsidRDefault="00515CDB">
            <w:r>
              <w:rPr>
                <w:b/>
                <w:bCs/>
                <w:color w:val="FFFFFF"/>
                <w:sz w:val="20"/>
                <w:szCs w:val="20"/>
              </w:rPr>
              <w:t>Value</w:t>
            </w:r>
          </w:p>
        </w:tc>
      </w:tr>
      <w:tr w:rsidR="00515CDB" w14:paraId="7ED6874B" w14:textId="77777777">
        <w:tc>
          <w:tcPr>
            <w:tcW w:w="2400" w:type="dxa"/>
            <w:tcBorders>
              <w:top w:val="nil"/>
              <w:left w:val="single" w:sz="8" w:space="0" w:color="C8CFD3"/>
              <w:bottom w:val="single" w:sz="8" w:space="0" w:color="C8CFD3"/>
              <w:right w:val="single" w:sz="8" w:space="0" w:color="C8CFD3"/>
            </w:tcBorders>
            <w:tcMar>
              <w:top w:w="80" w:type="dxa"/>
              <w:left w:w="120" w:type="dxa"/>
              <w:bottom w:w="80" w:type="dxa"/>
              <w:right w:w="120" w:type="dxa"/>
            </w:tcMar>
            <w:hideMark/>
          </w:tcPr>
          <w:p w14:paraId="4B33B328" w14:textId="77777777" w:rsidR="00515CDB" w:rsidRDefault="00515CDB">
            <w:r>
              <w:rPr>
                <w:sz w:val="20"/>
                <w:szCs w:val="20"/>
              </w:rPr>
              <w:t>Audience</w:t>
            </w:r>
          </w:p>
        </w:tc>
        <w:tc>
          <w:tcPr>
            <w:tcW w:w="6960" w:type="dxa"/>
            <w:tcBorders>
              <w:top w:val="nil"/>
              <w:left w:val="nil"/>
              <w:bottom w:val="single" w:sz="8" w:space="0" w:color="C8CFD3"/>
              <w:right w:val="single" w:sz="8" w:space="0" w:color="C8CFD3"/>
            </w:tcBorders>
            <w:tcMar>
              <w:top w:w="80" w:type="dxa"/>
              <w:left w:w="120" w:type="dxa"/>
              <w:bottom w:w="80" w:type="dxa"/>
              <w:right w:w="120" w:type="dxa"/>
            </w:tcMar>
            <w:hideMark/>
          </w:tcPr>
          <w:p w14:paraId="196CD28F" w14:textId="77777777" w:rsidR="00515CDB" w:rsidRDefault="00515CDB">
            <w:r>
              <w:rPr>
                <w:sz w:val="20"/>
                <w:szCs w:val="20"/>
              </w:rPr>
              <w:t>PPA product, design, analytics, engineering, provider strategy, and support teams</w:t>
            </w:r>
          </w:p>
        </w:tc>
      </w:tr>
      <w:tr w:rsidR="00515CDB" w14:paraId="46060828" w14:textId="77777777">
        <w:tc>
          <w:tcPr>
            <w:tcW w:w="2400" w:type="dxa"/>
            <w:tcBorders>
              <w:top w:val="nil"/>
              <w:left w:val="single" w:sz="8" w:space="0" w:color="C8CFD3"/>
              <w:bottom w:val="single" w:sz="8" w:space="0" w:color="C8CFD3"/>
              <w:right w:val="single" w:sz="8" w:space="0" w:color="C8CFD3"/>
            </w:tcBorders>
            <w:shd w:val="clear" w:color="auto" w:fill="EFF3F5"/>
            <w:tcMar>
              <w:top w:w="80" w:type="dxa"/>
              <w:left w:w="120" w:type="dxa"/>
              <w:bottom w:w="80" w:type="dxa"/>
              <w:right w:w="120" w:type="dxa"/>
            </w:tcMar>
            <w:hideMark/>
          </w:tcPr>
          <w:p w14:paraId="0711562A" w14:textId="77777777" w:rsidR="00515CDB" w:rsidRDefault="00515CDB">
            <w:r>
              <w:rPr>
                <w:color w:val="000000"/>
                <w:sz w:val="20"/>
                <w:szCs w:val="20"/>
              </w:rPr>
              <w:t>Document owner</w:t>
            </w:r>
          </w:p>
        </w:tc>
        <w:tc>
          <w:tcPr>
            <w:tcW w:w="6960" w:type="dxa"/>
            <w:tcBorders>
              <w:top w:val="nil"/>
              <w:left w:val="nil"/>
              <w:bottom w:val="single" w:sz="8" w:space="0" w:color="C8CFD3"/>
              <w:right w:val="single" w:sz="8" w:space="0" w:color="C8CFD3"/>
            </w:tcBorders>
            <w:shd w:val="clear" w:color="auto" w:fill="EFF3F5"/>
            <w:tcMar>
              <w:top w:w="80" w:type="dxa"/>
              <w:left w:w="120" w:type="dxa"/>
              <w:bottom w:w="80" w:type="dxa"/>
              <w:right w:w="120" w:type="dxa"/>
            </w:tcMar>
            <w:hideMark/>
          </w:tcPr>
          <w:p w14:paraId="3F233DC8" w14:textId="7D17C50F" w:rsidR="00515CDB" w:rsidRDefault="00BB0D4C">
            <w:r>
              <w:rPr>
                <w:color w:val="000000"/>
                <w:sz w:val="20"/>
                <w:szCs w:val="20"/>
              </w:rPr>
              <w:t>Shannon Brown (must update after Sept. 4, 2026)</w:t>
            </w:r>
          </w:p>
        </w:tc>
      </w:tr>
      <w:tr w:rsidR="00515CDB" w14:paraId="4BD44F59" w14:textId="77777777">
        <w:tc>
          <w:tcPr>
            <w:tcW w:w="2400" w:type="dxa"/>
            <w:tcBorders>
              <w:top w:val="nil"/>
              <w:left w:val="single" w:sz="8" w:space="0" w:color="C8CFD3"/>
              <w:bottom w:val="single" w:sz="8" w:space="0" w:color="C8CFD3"/>
              <w:right w:val="single" w:sz="8" w:space="0" w:color="C8CFD3"/>
            </w:tcBorders>
            <w:tcMar>
              <w:top w:w="80" w:type="dxa"/>
              <w:left w:w="120" w:type="dxa"/>
              <w:bottom w:w="80" w:type="dxa"/>
              <w:right w:w="120" w:type="dxa"/>
            </w:tcMar>
            <w:hideMark/>
          </w:tcPr>
          <w:p w14:paraId="7073D2F3" w14:textId="77777777" w:rsidR="00515CDB" w:rsidRDefault="00515CDB">
            <w:r>
              <w:rPr>
                <w:sz w:val="20"/>
                <w:szCs w:val="20"/>
              </w:rPr>
              <w:t>Version</w:t>
            </w:r>
          </w:p>
        </w:tc>
        <w:tc>
          <w:tcPr>
            <w:tcW w:w="6960" w:type="dxa"/>
            <w:tcBorders>
              <w:top w:val="nil"/>
              <w:left w:val="nil"/>
              <w:bottom w:val="single" w:sz="8" w:space="0" w:color="C8CFD3"/>
              <w:right w:val="single" w:sz="8" w:space="0" w:color="C8CFD3"/>
            </w:tcBorders>
            <w:tcMar>
              <w:top w:w="80" w:type="dxa"/>
              <w:left w:w="120" w:type="dxa"/>
              <w:bottom w:w="80" w:type="dxa"/>
              <w:right w:w="120" w:type="dxa"/>
            </w:tcMar>
            <w:hideMark/>
          </w:tcPr>
          <w:p w14:paraId="2670AE1D" w14:textId="77777777" w:rsidR="00515CDB" w:rsidRDefault="00515CDB">
            <w:r>
              <w:rPr>
                <w:sz w:val="20"/>
                <w:szCs w:val="20"/>
              </w:rPr>
              <w:t>1.0 outline</w:t>
            </w:r>
          </w:p>
        </w:tc>
      </w:tr>
      <w:tr w:rsidR="00515CDB" w14:paraId="7C6DA1BF" w14:textId="77777777">
        <w:tc>
          <w:tcPr>
            <w:tcW w:w="2400" w:type="dxa"/>
            <w:tcBorders>
              <w:top w:val="nil"/>
              <w:left w:val="single" w:sz="8" w:space="0" w:color="C8CFD3"/>
              <w:bottom w:val="single" w:sz="8" w:space="0" w:color="C8CFD3"/>
              <w:right w:val="single" w:sz="8" w:space="0" w:color="C8CFD3"/>
            </w:tcBorders>
            <w:shd w:val="clear" w:color="auto" w:fill="EFF3F5"/>
            <w:tcMar>
              <w:top w:w="80" w:type="dxa"/>
              <w:left w:w="120" w:type="dxa"/>
              <w:bottom w:w="80" w:type="dxa"/>
              <w:right w:w="120" w:type="dxa"/>
            </w:tcMar>
            <w:hideMark/>
          </w:tcPr>
          <w:p w14:paraId="2AF4E7BE" w14:textId="77777777" w:rsidR="00515CDB" w:rsidRDefault="00515CDB">
            <w:r>
              <w:rPr>
                <w:color w:val="000000"/>
                <w:sz w:val="20"/>
                <w:szCs w:val="20"/>
              </w:rPr>
              <w:t>Last reviewed</w:t>
            </w:r>
          </w:p>
        </w:tc>
        <w:tc>
          <w:tcPr>
            <w:tcW w:w="6960" w:type="dxa"/>
            <w:tcBorders>
              <w:top w:val="nil"/>
              <w:left w:val="nil"/>
              <w:bottom w:val="single" w:sz="8" w:space="0" w:color="C8CFD3"/>
              <w:right w:val="single" w:sz="8" w:space="0" w:color="C8CFD3"/>
            </w:tcBorders>
            <w:shd w:val="clear" w:color="auto" w:fill="EFF3F5"/>
            <w:tcMar>
              <w:top w:w="80" w:type="dxa"/>
              <w:left w:w="120" w:type="dxa"/>
              <w:bottom w:w="80" w:type="dxa"/>
              <w:right w:w="120" w:type="dxa"/>
            </w:tcMar>
            <w:hideMark/>
          </w:tcPr>
          <w:p w14:paraId="106B38C5" w14:textId="4B44089B" w:rsidR="00515CDB" w:rsidRDefault="00CB130F">
            <w:r>
              <w:t>July 28, 2026</w:t>
            </w:r>
          </w:p>
        </w:tc>
      </w:tr>
      <w:tr w:rsidR="00515CDB" w14:paraId="4D2F65E7" w14:textId="77777777">
        <w:tc>
          <w:tcPr>
            <w:tcW w:w="2400" w:type="dxa"/>
            <w:tcBorders>
              <w:top w:val="nil"/>
              <w:left w:val="single" w:sz="8" w:space="0" w:color="C8CFD3"/>
              <w:bottom w:val="single" w:sz="8" w:space="0" w:color="C8CFD3"/>
              <w:right w:val="single" w:sz="8" w:space="0" w:color="C8CFD3"/>
            </w:tcBorders>
            <w:tcMar>
              <w:top w:w="80" w:type="dxa"/>
              <w:left w:w="120" w:type="dxa"/>
              <w:bottom w:w="80" w:type="dxa"/>
              <w:right w:w="120" w:type="dxa"/>
            </w:tcMar>
            <w:hideMark/>
          </w:tcPr>
          <w:p w14:paraId="14E327D5" w14:textId="77777777" w:rsidR="00515CDB" w:rsidRDefault="00515CDB">
            <w:r>
              <w:rPr>
                <w:sz w:val="20"/>
                <w:szCs w:val="20"/>
              </w:rPr>
              <w:t>Next review due</w:t>
            </w:r>
          </w:p>
        </w:tc>
        <w:tc>
          <w:tcPr>
            <w:tcW w:w="6960" w:type="dxa"/>
            <w:tcBorders>
              <w:top w:val="nil"/>
              <w:left w:val="nil"/>
              <w:bottom w:val="single" w:sz="8" w:space="0" w:color="C8CFD3"/>
              <w:right w:val="single" w:sz="8" w:space="0" w:color="C8CFD3"/>
            </w:tcBorders>
            <w:tcMar>
              <w:top w:w="80" w:type="dxa"/>
              <w:left w:w="120" w:type="dxa"/>
              <w:bottom w:w="80" w:type="dxa"/>
              <w:right w:w="120" w:type="dxa"/>
            </w:tcMar>
            <w:hideMark/>
          </w:tcPr>
          <w:p w14:paraId="697BCB33" w14:textId="178ACE06" w:rsidR="00515CDB" w:rsidRDefault="00CB130F">
            <w:r>
              <w:rPr>
                <w:sz w:val="20"/>
                <w:szCs w:val="20"/>
              </w:rPr>
              <w:t>Quarterly; TBD</w:t>
            </w:r>
          </w:p>
        </w:tc>
      </w:tr>
    </w:tbl>
    <w:p w14:paraId="35847592" w14:textId="77777777" w:rsidR="009621AA" w:rsidRDefault="00014148" w:rsidP="00EA0B10">
      <w:pPr>
        <w:pStyle w:val="Heading1"/>
        <w:spacing w:after="160"/>
        <w:rPr>
          <w:rFonts w:cstheme="minorBidi"/>
        </w:rPr>
      </w:pPr>
      <w:r w:rsidRPr="00EA0B10">
        <w:rPr>
          <w:rFonts w:cstheme="minorBidi"/>
        </w:rPr>
        <w:t xml:space="preserve">How to use this </w:t>
      </w:r>
      <w:r w:rsidR="00EA0B10" w:rsidRPr="00EA0B10">
        <w:rPr>
          <w:rFonts w:cstheme="minorBidi"/>
        </w:rPr>
        <w:t>guide</w:t>
      </w:r>
    </w:p>
    <w:p w14:paraId="1EEEB3A0" w14:textId="77777777" w:rsidR="009621AA" w:rsidRDefault="006D221F">
      <w:pPr>
        <w:spacing w:after="120"/>
      </w:pPr>
      <w:r w:rsidRPr="006D221F">
        <w:t>Use this document as the UX continuity outline for the Provider Performance Assessment tool. It captures the experience strategy, core workflows, design principles, research inputs, decision rules, and handoff expectations needed to keep PPA useful after the current UX lead has transitioned.</w:t>
      </w:r>
    </w:p>
    <w:p w14:paraId="5FFABB97" w14:textId="3BF732FE" w:rsidR="00A73E94" w:rsidRDefault="00D20645" w:rsidP="005C0FAA">
      <w:pPr>
        <w:spacing w:after="120"/>
      </w:pPr>
      <w:r w:rsidRPr="00D20645">
        <w:rPr>
          <w:b/>
          <w:bCs/>
        </w:rPr>
        <w:t>The central UX rule:</w:t>
      </w:r>
      <w:r w:rsidRPr="00D20645">
        <w:t xml:space="preserve"> PPA should help users move from “what is happening?” to “why does it matter?” to “what should I do next?” Do not add metrics, pages, or tables unless they support that workflow.</w:t>
      </w:r>
    </w:p>
    <w:p w14:paraId="3BE6A1E7" w14:textId="77777777" w:rsidR="00A73E94" w:rsidRDefault="00A73E94" w:rsidP="00A73E94">
      <w:pPr>
        <w:pStyle w:val="Heading1"/>
        <w:spacing w:after="160"/>
      </w:pPr>
      <w:r>
        <w:t>Assets</w:t>
      </w:r>
    </w:p>
    <w:p w14:paraId="41C94045" w14:textId="1A060E64" w:rsidR="00F334DE" w:rsidRDefault="00F334DE" w:rsidP="00A73E94">
      <w:pPr>
        <w:spacing w:after="120"/>
      </w:pPr>
      <w:r>
        <w:t xml:space="preserve">All files are on GitHub:  </w:t>
      </w:r>
      <w:hyperlink r:id="rId5" w:history="1">
        <w:r w:rsidRPr="00033721">
          <w:rPr>
            <w:rStyle w:val="Hyperlink"/>
          </w:rPr>
          <w:t>sunshi</w:t>
        </w:r>
        <w:r w:rsidRPr="00033721">
          <w:rPr>
            <w:rStyle w:val="Hyperlink"/>
          </w:rPr>
          <w:t>n</w:t>
        </w:r>
        <w:r w:rsidRPr="00033721">
          <w:rPr>
            <w:rStyle w:val="Hyperlink"/>
          </w:rPr>
          <w:t>e</w:t>
        </w:r>
        <w:r w:rsidR="004D7B21" w:rsidRPr="00033721">
          <w:rPr>
            <w:rStyle w:val="Hyperlink"/>
          </w:rPr>
          <w:t xml:space="preserve">3840 / </w:t>
        </w:r>
        <w:proofErr w:type="spellStart"/>
        <w:r w:rsidR="004D7B21" w:rsidRPr="00033721">
          <w:rPr>
            <w:rStyle w:val="Hyperlink"/>
          </w:rPr>
          <w:t>MedEcon</w:t>
        </w:r>
        <w:proofErr w:type="spellEnd"/>
      </w:hyperlink>
    </w:p>
    <w:p w14:paraId="19DDFEA6" w14:textId="48500B2B" w:rsidR="00A73E94" w:rsidRDefault="00A73E94" w:rsidP="00A73E94">
      <w:pPr>
        <w:spacing w:after="120"/>
      </w:pPr>
      <w:r>
        <w:t>All prototypes were built in Windsurf (AI).</w:t>
      </w:r>
    </w:p>
    <w:tbl>
      <w:tblPr>
        <w:tblW w:w="9720" w:type="dxa"/>
        <w:tblBorders>
          <w:top w:val="single" w:sz="2" w:space="0" w:color="C8CFD3"/>
          <w:left w:val="single" w:sz="2" w:space="0" w:color="C8CFD3"/>
          <w:bottom w:val="single" w:sz="2" w:space="0" w:color="C8CFD3"/>
          <w:right w:val="single" w:sz="2" w:space="0" w:color="C8CFD3"/>
          <w:insideH w:val="single" w:sz="2" w:space="0" w:color="C8CFD3"/>
          <w:insideV w:val="single" w:sz="2" w:space="0" w:color="C8CFD3"/>
        </w:tblBorders>
        <w:tblCellMar>
          <w:left w:w="10" w:type="dxa"/>
          <w:right w:w="10" w:type="dxa"/>
        </w:tblCellMar>
        <w:tblLook w:val="04A0" w:firstRow="1" w:lastRow="0" w:firstColumn="1" w:lastColumn="0" w:noHBand="0" w:noVBand="1"/>
      </w:tblPr>
      <w:tblGrid>
        <w:gridCol w:w="1800"/>
        <w:gridCol w:w="2067"/>
        <w:gridCol w:w="5853"/>
      </w:tblGrid>
      <w:tr w:rsidR="00A73E94" w14:paraId="20351BA9" w14:textId="77777777" w:rsidTr="00B7322F">
        <w:trPr>
          <w:tblHeader/>
        </w:trPr>
        <w:tc>
          <w:tcPr>
            <w:tcW w:w="1800" w:type="dxa"/>
            <w:shd w:val="clear" w:color="auto" w:fill="1F4E5F"/>
            <w:tcMar>
              <w:top w:w="80" w:type="dxa"/>
              <w:left w:w="120" w:type="dxa"/>
              <w:bottom w:w="80" w:type="dxa"/>
              <w:right w:w="120" w:type="dxa"/>
            </w:tcMar>
          </w:tcPr>
          <w:p w14:paraId="747EF713" w14:textId="77777777" w:rsidR="00A73E94" w:rsidRDefault="00A73E94" w:rsidP="00B7322F">
            <w:r>
              <w:rPr>
                <w:b/>
                <w:bCs/>
                <w:color w:val="FFFFFF"/>
                <w:sz w:val="20"/>
                <w:szCs w:val="20"/>
              </w:rPr>
              <w:t>Section</w:t>
            </w:r>
          </w:p>
        </w:tc>
        <w:tc>
          <w:tcPr>
            <w:tcW w:w="2067" w:type="dxa"/>
            <w:shd w:val="clear" w:color="auto" w:fill="1F4E5F"/>
            <w:tcMar>
              <w:top w:w="80" w:type="dxa"/>
              <w:left w:w="120" w:type="dxa"/>
              <w:bottom w:w="80" w:type="dxa"/>
              <w:right w:w="120" w:type="dxa"/>
            </w:tcMar>
          </w:tcPr>
          <w:p w14:paraId="45D98CC3" w14:textId="77777777" w:rsidR="00A73E94" w:rsidRDefault="00A73E94" w:rsidP="00B7322F">
            <w:r>
              <w:rPr>
                <w:b/>
                <w:bCs/>
                <w:color w:val="FFFFFF"/>
                <w:sz w:val="20"/>
                <w:szCs w:val="20"/>
              </w:rPr>
              <w:t>Links</w:t>
            </w:r>
          </w:p>
        </w:tc>
        <w:tc>
          <w:tcPr>
            <w:tcW w:w="5853" w:type="dxa"/>
            <w:shd w:val="clear" w:color="auto" w:fill="1F4E5F"/>
            <w:tcMar>
              <w:top w:w="80" w:type="dxa"/>
              <w:left w:w="120" w:type="dxa"/>
              <w:bottom w:w="80" w:type="dxa"/>
              <w:right w:w="120" w:type="dxa"/>
            </w:tcMar>
          </w:tcPr>
          <w:p w14:paraId="45F9EE3B" w14:textId="77777777" w:rsidR="00A73E94" w:rsidRDefault="00A73E94" w:rsidP="00B7322F">
            <w:r>
              <w:rPr>
                <w:b/>
                <w:bCs/>
                <w:color w:val="FFFFFF"/>
                <w:sz w:val="20"/>
                <w:szCs w:val="20"/>
              </w:rPr>
              <w:t>Notes</w:t>
            </w:r>
          </w:p>
        </w:tc>
      </w:tr>
      <w:tr w:rsidR="00A73E94" w14:paraId="66E422A6" w14:textId="77777777" w:rsidTr="00B7322F">
        <w:tc>
          <w:tcPr>
            <w:tcW w:w="1800" w:type="dxa"/>
            <w:tcMar>
              <w:top w:w="80" w:type="dxa"/>
              <w:left w:w="120" w:type="dxa"/>
              <w:bottom w:w="80" w:type="dxa"/>
              <w:right w:w="120" w:type="dxa"/>
            </w:tcMar>
          </w:tcPr>
          <w:p w14:paraId="3072EE26" w14:textId="77777777" w:rsidR="00A73E94" w:rsidRPr="001E08E5" w:rsidRDefault="00A73E94" w:rsidP="00B7322F">
            <w:r w:rsidRPr="001E08E5">
              <w:rPr>
                <w:b/>
                <w:bCs/>
              </w:rPr>
              <w:t>Style Guide</w:t>
            </w:r>
          </w:p>
        </w:tc>
        <w:tc>
          <w:tcPr>
            <w:tcW w:w="2067" w:type="dxa"/>
            <w:tcMar>
              <w:top w:w="80" w:type="dxa"/>
              <w:left w:w="120" w:type="dxa"/>
              <w:bottom w:w="80" w:type="dxa"/>
              <w:right w:w="120" w:type="dxa"/>
            </w:tcMar>
          </w:tcPr>
          <w:p w14:paraId="4426F3C8" w14:textId="445C2918" w:rsidR="00A73E94" w:rsidRPr="001E08E5" w:rsidRDefault="00A73E94" w:rsidP="00B7322F">
            <w:hyperlink r:id="rId6" w:history="1">
              <w:r w:rsidRPr="00BC1E3A">
                <w:rPr>
                  <w:rStyle w:val="Hyperlink"/>
                </w:rPr>
                <w:t>Guide Link</w:t>
              </w:r>
            </w:hyperlink>
          </w:p>
        </w:tc>
        <w:tc>
          <w:tcPr>
            <w:tcW w:w="5853" w:type="dxa"/>
            <w:tcMar>
              <w:top w:w="80" w:type="dxa"/>
              <w:left w:w="120" w:type="dxa"/>
              <w:bottom w:w="80" w:type="dxa"/>
              <w:right w:w="120" w:type="dxa"/>
            </w:tcMar>
          </w:tcPr>
          <w:p w14:paraId="2563208A" w14:textId="77777777" w:rsidR="00A73E94" w:rsidRPr="001E08E5" w:rsidRDefault="00A73E94" w:rsidP="00B7322F">
            <w:r w:rsidRPr="00C15D0C">
              <w:t>This file documents the PPA tool’s approved colors, fonts, layouts, visualization standards, and reusable interface components. It also includes</w:t>
            </w:r>
            <w:r>
              <w:t xml:space="preserve"> HTML snippets to </w:t>
            </w:r>
            <w:r w:rsidRPr="00C15D0C">
              <w:t>support engineering implementation and</w:t>
            </w:r>
            <w:r>
              <w:t xml:space="preserve"> a link to the Power BI template for the BI solution.</w:t>
            </w:r>
          </w:p>
        </w:tc>
      </w:tr>
      <w:tr w:rsidR="00A73E94" w14:paraId="7BD1442A" w14:textId="77777777" w:rsidTr="00B7322F">
        <w:tc>
          <w:tcPr>
            <w:tcW w:w="1800" w:type="dxa"/>
            <w:shd w:val="clear" w:color="auto" w:fill="EFF3F5"/>
            <w:tcMar>
              <w:top w:w="80" w:type="dxa"/>
              <w:left w:w="120" w:type="dxa"/>
              <w:bottom w:w="80" w:type="dxa"/>
              <w:right w:w="120" w:type="dxa"/>
            </w:tcMar>
          </w:tcPr>
          <w:p w14:paraId="5912364F" w14:textId="77777777" w:rsidR="00A73E94" w:rsidRPr="001E08E5" w:rsidRDefault="00A73E94" w:rsidP="00B7322F">
            <w:pPr>
              <w:rPr>
                <w:b/>
                <w:bCs/>
              </w:rPr>
            </w:pPr>
            <w:r w:rsidRPr="001E08E5">
              <w:rPr>
                <w:b/>
                <w:bCs/>
              </w:rPr>
              <w:t xml:space="preserve">Pharmacy </w:t>
            </w:r>
          </w:p>
        </w:tc>
        <w:tc>
          <w:tcPr>
            <w:tcW w:w="2067" w:type="dxa"/>
            <w:shd w:val="clear" w:color="auto" w:fill="EFF3F5"/>
            <w:tcMar>
              <w:top w:w="80" w:type="dxa"/>
              <w:left w:w="120" w:type="dxa"/>
              <w:bottom w:w="80" w:type="dxa"/>
              <w:right w:w="120" w:type="dxa"/>
            </w:tcMar>
          </w:tcPr>
          <w:p w14:paraId="2ABA6624" w14:textId="30A92A26" w:rsidR="00A73E94" w:rsidRPr="001E08E5" w:rsidRDefault="00A73E94" w:rsidP="00B7322F">
            <w:hyperlink r:id="rId7" w:anchor=":~:text=Usability%20Testing-,Lean%20Canvas%20PPA%20Pharmacy.docx,-pharmacy_dashboard_v4.2.html" w:history="1">
              <w:r w:rsidRPr="007C2DEC">
                <w:rPr>
                  <w:rStyle w:val="Hyperlink"/>
                </w:rPr>
                <w:t>Lean Canvas</w:t>
              </w:r>
            </w:hyperlink>
          </w:p>
          <w:p w14:paraId="4BED4D11" w14:textId="0A55EBA7" w:rsidR="00A73E94" w:rsidRPr="001E08E5" w:rsidRDefault="00A73E94" w:rsidP="00B7322F">
            <w:hyperlink r:id="rId8" w:history="1">
              <w:r w:rsidRPr="00F27ABD">
                <w:rPr>
                  <w:rStyle w:val="Hyperlink"/>
                </w:rPr>
                <w:t>Prototype</w:t>
              </w:r>
            </w:hyperlink>
            <w:r w:rsidRPr="001E08E5">
              <w:t xml:space="preserve"> </w:t>
            </w:r>
          </w:p>
        </w:tc>
        <w:tc>
          <w:tcPr>
            <w:tcW w:w="5853" w:type="dxa"/>
            <w:shd w:val="clear" w:color="auto" w:fill="EFF3F5"/>
            <w:tcMar>
              <w:top w:w="80" w:type="dxa"/>
              <w:left w:w="120" w:type="dxa"/>
              <w:bottom w:w="80" w:type="dxa"/>
              <w:right w:w="120" w:type="dxa"/>
            </w:tcMar>
          </w:tcPr>
          <w:p w14:paraId="69B264C8" w14:textId="77777777" w:rsidR="00A73E94" w:rsidRPr="001E08E5" w:rsidRDefault="00A73E94" w:rsidP="00B7322F">
            <w:r w:rsidRPr="006E1319">
              <w:rPr>
                <w:color w:val="000000"/>
              </w:rPr>
              <w:t>This</w:t>
            </w:r>
            <w:r w:rsidRPr="001E08E5">
              <w:t xml:space="preserve"> section </w:t>
            </w:r>
            <w:r w:rsidRPr="006E1319">
              <w:rPr>
                <w:color w:val="000000"/>
              </w:rPr>
              <w:t>is</w:t>
            </w:r>
            <w:r w:rsidRPr="001E08E5">
              <w:t xml:space="preserve"> the most </w:t>
            </w:r>
            <w:r w:rsidRPr="006E1319">
              <w:rPr>
                <w:color w:val="000000"/>
              </w:rPr>
              <w:t>mature area</w:t>
            </w:r>
            <w:r w:rsidRPr="001E08E5">
              <w:t xml:space="preserve"> of </w:t>
            </w:r>
            <w:r w:rsidRPr="006E1319">
              <w:rPr>
                <w:color w:val="000000"/>
              </w:rPr>
              <w:t>the current PPA experience.</w:t>
            </w:r>
            <w:r>
              <w:t xml:space="preserve"> The Lean Canvas </w:t>
            </w:r>
            <w:r w:rsidRPr="006E1319">
              <w:rPr>
                <w:color w:val="000000"/>
              </w:rPr>
              <w:t>is substantially complete</w:t>
            </w:r>
            <w:r>
              <w:t xml:space="preserve">, and the prototype </w:t>
            </w:r>
            <w:r w:rsidRPr="006E1319">
              <w:rPr>
                <w:color w:val="000000"/>
              </w:rPr>
              <w:t>has been</w:t>
            </w:r>
            <w:r>
              <w:t xml:space="preserve"> thoroughly </w:t>
            </w:r>
            <w:r w:rsidRPr="006E1319">
              <w:rPr>
                <w:color w:val="000000"/>
              </w:rPr>
              <w:t xml:space="preserve">reviewed </w:t>
            </w:r>
            <w:r>
              <w:t xml:space="preserve">with </w:t>
            </w:r>
            <w:r w:rsidRPr="006E1319">
              <w:rPr>
                <w:color w:val="000000"/>
              </w:rPr>
              <w:t xml:space="preserve">both </w:t>
            </w:r>
            <w:r>
              <w:t>stakeholders and end users.</w:t>
            </w:r>
          </w:p>
        </w:tc>
      </w:tr>
      <w:tr w:rsidR="00A73E94" w14:paraId="7DC35B9A" w14:textId="77777777" w:rsidTr="00B7322F">
        <w:tc>
          <w:tcPr>
            <w:tcW w:w="1800" w:type="dxa"/>
            <w:tcMar>
              <w:top w:w="80" w:type="dxa"/>
              <w:left w:w="120" w:type="dxa"/>
              <w:bottom w:w="80" w:type="dxa"/>
              <w:right w:w="120" w:type="dxa"/>
            </w:tcMar>
          </w:tcPr>
          <w:p w14:paraId="2630F499" w14:textId="77777777" w:rsidR="00A73E94" w:rsidRPr="001E08E5" w:rsidRDefault="00A73E94" w:rsidP="00B7322F">
            <w:r w:rsidRPr="001E08E5">
              <w:rPr>
                <w:b/>
                <w:bCs/>
              </w:rPr>
              <w:t>Care Management</w:t>
            </w:r>
          </w:p>
        </w:tc>
        <w:tc>
          <w:tcPr>
            <w:tcW w:w="2067" w:type="dxa"/>
            <w:tcMar>
              <w:top w:w="80" w:type="dxa"/>
              <w:left w:w="120" w:type="dxa"/>
              <w:bottom w:w="80" w:type="dxa"/>
              <w:right w:w="120" w:type="dxa"/>
            </w:tcMar>
          </w:tcPr>
          <w:p w14:paraId="3F24564B" w14:textId="5F02240D" w:rsidR="00A73E94" w:rsidRPr="001E08E5" w:rsidRDefault="00A73E94" w:rsidP="00B7322F">
            <w:hyperlink r:id="rId9" w:history="1">
              <w:r w:rsidRPr="00F27ABD">
                <w:rPr>
                  <w:rStyle w:val="Hyperlink"/>
                </w:rPr>
                <w:t>Lean Canvas</w:t>
              </w:r>
            </w:hyperlink>
          </w:p>
          <w:p w14:paraId="700F4460" w14:textId="402C6D80" w:rsidR="00A73E94" w:rsidRPr="001E08E5" w:rsidRDefault="00A73E94" w:rsidP="00B7322F">
            <w:hyperlink r:id="rId10" w:history="1">
              <w:r w:rsidRPr="00D45866">
                <w:rPr>
                  <w:rStyle w:val="Hyperlink"/>
                </w:rPr>
                <w:t>Prototype</w:t>
              </w:r>
            </w:hyperlink>
          </w:p>
        </w:tc>
        <w:tc>
          <w:tcPr>
            <w:tcW w:w="5853" w:type="dxa"/>
            <w:tcMar>
              <w:top w:w="80" w:type="dxa"/>
              <w:left w:w="120" w:type="dxa"/>
              <w:bottom w:w="80" w:type="dxa"/>
              <w:right w:w="120" w:type="dxa"/>
            </w:tcMar>
          </w:tcPr>
          <w:p w14:paraId="14BEFB82" w14:textId="77777777" w:rsidR="00A73E94" w:rsidRPr="001E08E5" w:rsidRDefault="00A73E94" w:rsidP="00B7322F">
            <w:r w:rsidRPr="00094F89">
              <w:t>This</w:t>
            </w:r>
            <w:r w:rsidRPr="001E08E5">
              <w:t xml:space="preserve"> section </w:t>
            </w:r>
            <w:r w:rsidRPr="00094F89">
              <w:t xml:space="preserve">is approximately </w:t>
            </w:r>
            <w:r>
              <w:t xml:space="preserve">70% </w:t>
            </w:r>
            <w:r w:rsidRPr="00094F89">
              <w:t>complete</w:t>
            </w:r>
            <w:r>
              <w:t xml:space="preserve"> and </w:t>
            </w:r>
            <w:r w:rsidRPr="00094F89">
              <w:t xml:space="preserve">is </w:t>
            </w:r>
            <w:r>
              <w:t xml:space="preserve">likely to meet </w:t>
            </w:r>
            <w:r w:rsidRPr="00094F89">
              <w:t xml:space="preserve">core </w:t>
            </w:r>
            <w:r>
              <w:t>end</w:t>
            </w:r>
            <w:r w:rsidRPr="00094F89">
              <w:t>-</w:t>
            </w:r>
            <w:r>
              <w:t xml:space="preserve">user needs. However, the </w:t>
            </w:r>
            <w:r w:rsidRPr="00094F89">
              <w:t xml:space="preserve">underlying </w:t>
            </w:r>
            <w:r>
              <w:t xml:space="preserve">data </w:t>
            </w:r>
            <w:r w:rsidRPr="00094F89">
              <w:t>may</w:t>
            </w:r>
            <w:r>
              <w:t xml:space="preserve"> not </w:t>
            </w:r>
            <w:r w:rsidRPr="00094F89">
              <w:t xml:space="preserve">yet be available </w:t>
            </w:r>
            <w:r>
              <w:t xml:space="preserve">in </w:t>
            </w:r>
            <w:r w:rsidRPr="00094F89">
              <w:t>Snowflake</w:t>
            </w:r>
            <w:r>
              <w:t xml:space="preserve"> in a usable </w:t>
            </w:r>
            <w:r w:rsidRPr="00094F89">
              <w:t>format. Stakeholders have</w:t>
            </w:r>
            <w:r>
              <w:t xml:space="preserve"> also </w:t>
            </w:r>
            <w:r w:rsidRPr="00094F89">
              <w:t>not reached a decision on whether</w:t>
            </w:r>
            <w:r>
              <w:t xml:space="preserve"> duplicate KPIs should </w:t>
            </w:r>
            <w:r w:rsidRPr="00094F89">
              <w:t xml:space="preserve">appear in both the </w:t>
            </w:r>
            <w:r>
              <w:t xml:space="preserve">Portfolio section and the Care Management section </w:t>
            </w:r>
            <w:r w:rsidRPr="00094F89">
              <w:t>of the PPA tool.</w:t>
            </w:r>
            <w:r>
              <w:t xml:space="preserve"> From a UX perspective, </w:t>
            </w:r>
            <w:r w:rsidRPr="00094F89">
              <w:t xml:space="preserve">presenting the full KPI story within the Care Management context is preferred </w:t>
            </w:r>
            <w:r w:rsidRPr="00094F89">
              <w:lastRenderedPageBreak/>
              <w:t>because it allows users to interpret insights without navigating across multiple areas of the tool.</w:t>
            </w:r>
          </w:p>
        </w:tc>
      </w:tr>
      <w:tr w:rsidR="00A73E94" w14:paraId="3D329344" w14:textId="77777777" w:rsidTr="00B7322F">
        <w:tc>
          <w:tcPr>
            <w:tcW w:w="1800" w:type="dxa"/>
            <w:shd w:val="clear" w:color="auto" w:fill="EFF3F5"/>
            <w:tcMar>
              <w:top w:w="80" w:type="dxa"/>
              <w:left w:w="120" w:type="dxa"/>
              <w:bottom w:w="80" w:type="dxa"/>
              <w:right w:w="120" w:type="dxa"/>
            </w:tcMar>
          </w:tcPr>
          <w:p w14:paraId="4A9E17AF" w14:textId="77777777" w:rsidR="00A73E94" w:rsidRPr="001E08E5" w:rsidRDefault="00A73E94" w:rsidP="00B7322F">
            <w:r w:rsidRPr="001E08E5">
              <w:rPr>
                <w:b/>
                <w:bCs/>
              </w:rPr>
              <w:lastRenderedPageBreak/>
              <w:t>Quality</w:t>
            </w:r>
          </w:p>
        </w:tc>
        <w:tc>
          <w:tcPr>
            <w:tcW w:w="2067" w:type="dxa"/>
            <w:shd w:val="clear" w:color="auto" w:fill="EFF3F5"/>
            <w:tcMar>
              <w:top w:w="80" w:type="dxa"/>
              <w:left w:w="120" w:type="dxa"/>
              <w:bottom w:w="80" w:type="dxa"/>
              <w:right w:w="120" w:type="dxa"/>
            </w:tcMar>
          </w:tcPr>
          <w:p w14:paraId="2DFF6E44" w14:textId="017964E1" w:rsidR="00A73E94" w:rsidRPr="001E08E5" w:rsidRDefault="00A73E94" w:rsidP="00B7322F">
            <w:hyperlink r:id="rId11" w:history="1">
              <w:r w:rsidRPr="007B2359">
                <w:rPr>
                  <w:rStyle w:val="Hyperlink"/>
                </w:rPr>
                <w:t>Lean Canvas</w:t>
              </w:r>
            </w:hyperlink>
          </w:p>
          <w:p w14:paraId="3B35EA70" w14:textId="0C2E3EC0" w:rsidR="00A73E94" w:rsidRPr="001E08E5" w:rsidRDefault="00A73E94" w:rsidP="00B7322F">
            <w:hyperlink r:id="rId12" w:history="1">
              <w:r w:rsidRPr="007B2359">
                <w:rPr>
                  <w:rStyle w:val="Hyperlink"/>
                </w:rPr>
                <w:t>Wireframes</w:t>
              </w:r>
            </w:hyperlink>
          </w:p>
        </w:tc>
        <w:tc>
          <w:tcPr>
            <w:tcW w:w="5853" w:type="dxa"/>
            <w:shd w:val="clear" w:color="auto" w:fill="EFF3F5"/>
            <w:tcMar>
              <w:top w:w="80" w:type="dxa"/>
              <w:left w:w="120" w:type="dxa"/>
              <w:bottom w:w="80" w:type="dxa"/>
              <w:right w:w="120" w:type="dxa"/>
            </w:tcMar>
          </w:tcPr>
          <w:p w14:paraId="1E6FAC52" w14:textId="77777777" w:rsidR="00A73E94" w:rsidRPr="001E08E5" w:rsidRDefault="00A73E94" w:rsidP="00B7322F">
            <w:r>
              <w:t xml:space="preserve">The Lean Canvas was </w:t>
            </w:r>
            <w:r w:rsidRPr="003A7E56">
              <w:rPr>
                <w:color w:val="000000"/>
              </w:rPr>
              <w:t>initiated</w:t>
            </w:r>
            <w:r>
              <w:t xml:space="preserve"> but not completed. Low</w:t>
            </w:r>
            <w:r w:rsidRPr="003A7E56">
              <w:rPr>
                <w:color w:val="000000"/>
              </w:rPr>
              <w:t>-</w:t>
            </w:r>
            <w:r>
              <w:t xml:space="preserve">fidelity wireframes were </w:t>
            </w:r>
            <w:r w:rsidRPr="003A7E56">
              <w:rPr>
                <w:color w:val="000000"/>
              </w:rPr>
              <w:t>created from</w:t>
            </w:r>
            <w:r>
              <w:t xml:space="preserve"> stakeholder meeting notes</w:t>
            </w:r>
            <w:r w:rsidRPr="003A7E56">
              <w:rPr>
                <w:color w:val="000000"/>
              </w:rPr>
              <w:t>; however,</w:t>
            </w:r>
            <w:r>
              <w:t xml:space="preserve"> the effort </w:t>
            </w:r>
            <w:r w:rsidRPr="003A7E56">
              <w:rPr>
                <w:color w:val="000000"/>
              </w:rPr>
              <w:t>paused</w:t>
            </w:r>
            <w:r>
              <w:t xml:space="preserve"> when stakeholders </w:t>
            </w:r>
            <w:r w:rsidRPr="003A7E56">
              <w:rPr>
                <w:color w:val="000000"/>
              </w:rPr>
              <w:t>were unable to determine whether a dedicated Quality</w:t>
            </w:r>
            <w:r>
              <w:t xml:space="preserve"> section was necessary or </w:t>
            </w:r>
            <w:r w:rsidRPr="003A7E56">
              <w:rPr>
                <w:color w:val="000000"/>
              </w:rPr>
              <w:t>whether</w:t>
            </w:r>
            <w:r>
              <w:t xml:space="preserve"> the Q.RA dashboard </w:t>
            </w:r>
            <w:r w:rsidRPr="003A7E56">
              <w:rPr>
                <w:color w:val="000000"/>
              </w:rPr>
              <w:t>sufficiently addressed</w:t>
            </w:r>
            <w:r>
              <w:t xml:space="preserve"> end</w:t>
            </w:r>
            <w:r w:rsidRPr="003A7E56">
              <w:rPr>
                <w:color w:val="000000"/>
              </w:rPr>
              <w:t>-user needs</w:t>
            </w:r>
            <w:r>
              <w:t>.</w:t>
            </w:r>
          </w:p>
        </w:tc>
      </w:tr>
      <w:tr w:rsidR="00A73E94" w14:paraId="0BD79855" w14:textId="77777777" w:rsidTr="00B7322F">
        <w:tc>
          <w:tcPr>
            <w:tcW w:w="1800" w:type="dxa"/>
            <w:tcMar>
              <w:top w:w="80" w:type="dxa"/>
              <w:left w:w="120" w:type="dxa"/>
              <w:bottom w:w="80" w:type="dxa"/>
              <w:right w:w="120" w:type="dxa"/>
            </w:tcMar>
          </w:tcPr>
          <w:p w14:paraId="58486A7F" w14:textId="77777777" w:rsidR="00A73E94" w:rsidRPr="001E08E5" w:rsidRDefault="00A73E94" w:rsidP="00B7322F">
            <w:r w:rsidRPr="001E08E5">
              <w:rPr>
                <w:b/>
                <w:bCs/>
              </w:rPr>
              <w:t>Experience</w:t>
            </w:r>
          </w:p>
        </w:tc>
        <w:tc>
          <w:tcPr>
            <w:tcW w:w="2067" w:type="dxa"/>
            <w:tcMar>
              <w:top w:w="80" w:type="dxa"/>
              <w:left w:w="120" w:type="dxa"/>
              <w:bottom w:w="80" w:type="dxa"/>
              <w:right w:w="120" w:type="dxa"/>
            </w:tcMar>
          </w:tcPr>
          <w:p w14:paraId="6D2A7F52" w14:textId="77777777" w:rsidR="00A73E94" w:rsidRPr="001E08E5" w:rsidRDefault="00A73E94" w:rsidP="00B7322F"/>
        </w:tc>
        <w:tc>
          <w:tcPr>
            <w:tcW w:w="5853" w:type="dxa"/>
            <w:tcMar>
              <w:top w:w="80" w:type="dxa"/>
              <w:left w:w="120" w:type="dxa"/>
              <w:bottom w:w="80" w:type="dxa"/>
              <w:right w:w="120" w:type="dxa"/>
            </w:tcMar>
          </w:tcPr>
          <w:p w14:paraId="1263704B" w14:textId="77777777" w:rsidR="00A73E94" w:rsidRPr="001E08E5" w:rsidRDefault="00A73E94" w:rsidP="00B7322F">
            <w:r w:rsidRPr="001A7F78">
              <w:t>This is a new section. Initial</w:t>
            </w:r>
            <w:r>
              <w:t xml:space="preserve"> Lean Canvas sessions with end users </w:t>
            </w:r>
            <w:r w:rsidRPr="001A7F78">
              <w:t xml:space="preserve">are being scheduled </w:t>
            </w:r>
            <w:r>
              <w:t>as of July 28, 2026.</w:t>
            </w:r>
          </w:p>
        </w:tc>
      </w:tr>
      <w:tr w:rsidR="00A73E94" w14:paraId="380456C1" w14:textId="77777777" w:rsidTr="00B7322F">
        <w:tc>
          <w:tcPr>
            <w:tcW w:w="1800" w:type="dxa"/>
            <w:shd w:val="clear" w:color="auto" w:fill="F0F4F6"/>
            <w:tcMar>
              <w:top w:w="80" w:type="dxa"/>
              <w:left w:w="120" w:type="dxa"/>
              <w:bottom w:w="80" w:type="dxa"/>
              <w:right w:w="120" w:type="dxa"/>
            </w:tcMar>
          </w:tcPr>
          <w:p w14:paraId="68FBB95C" w14:textId="77777777" w:rsidR="00A73E94" w:rsidRPr="001E08E5" w:rsidRDefault="00A73E94" w:rsidP="00B7322F">
            <w:pPr>
              <w:rPr>
                <w:b/>
                <w:bCs/>
              </w:rPr>
            </w:pPr>
            <w:r>
              <w:rPr>
                <w:b/>
                <w:bCs/>
              </w:rPr>
              <w:t>Scorecards</w:t>
            </w:r>
          </w:p>
        </w:tc>
        <w:tc>
          <w:tcPr>
            <w:tcW w:w="2067" w:type="dxa"/>
            <w:shd w:val="clear" w:color="auto" w:fill="F0F4F6"/>
            <w:tcMar>
              <w:top w:w="80" w:type="dxa"/>
              <w:left w:w="120" w:type="dxa"/>
              <w:bottom w:w="80" w:type="dxa"/>
              <w:right w:w="120" w:type="dxa"/>
            </w:tcMar>
          </w:tcPr>
          <w:p w14:paraId="1C02FF60" w14:textId="73FD56E2" w:rsidR="00A73E94" w:rsidRDefault="00A73E94" w:rsidP="00B7322F">
            <w:hyperlink r:id="rId13" w:history="1">
              <w:r w:rsidRPr="00853CF0">
                <w:rPr>
                  <w:rStyle w:val="Hyperlink"/>
                </w:rPr>
                <w:t>Focus Group Findings</w:t>
              </w:r>
            </w:hyperlink>
          </w:p>
          <w:p w14:paraId="3A0BD081" w14:textId="784BA872" w:rsidR="00A73E94" w:rsidRPr="001E08E5" w:rsidRDefault="00A73E94" w:rsidP="00B7322F">
            <w:hyperlink r:id="rId14" w:history="1">
              <w:r w:rsidRPr="00F53209">
                <w:rPr>
                  <w:rStyle w:val="Hyperlink"/>
                </w:rPr>
                <w:t>Portfolio Prototype</w:t>
              </w:r>
            </w:hyperlink>
            <w:r>
              <w:t xml:space="preserve"> </w:t>
            </w:r>
            <w:hyperlink r:id="rId15" w:history="1">
              <w:r w:rsidRPr="00853CF0">
                <w:rPr>
                  <w:rStyle w:val="Hyperlink"/>
                </w:rPr>
                <w:t>Provider Prototype</w:t>
              </w:r>
            </w:hyperlink>
          </w:p>
        </w:tc>
        <w:tc>
          <w:tcPr>
            <w:tcW w:w="5853" w:type="dxa"/>
            <w:shd w:val="clear" w:color="auto" w:fill="F0F4F6"/>
            <w:tcMar>
              <w:top w:w="80" w:type="dxa"/>
              <w:left w:w="120" w:type="dxa"/>
              <w:bottom w:w="80" w:type="dxa"/>
              <w:right w:w="120" w:type="dxa"/>
            </w:tcMar>
          </w:tcPr>
          <w:p w14:paraId="724ABB67" w14:textId="77777777" w:rsidR="00A73E94" w:rsidRDefault="00A73E94" w:rsidP="00B7322F">
            <w:r>
              <w:t xml:space="preserve">The scorecards were already functional when </w:t>
            </w:r>
            <w:r w:rsidRPr="00945D23">
              <w:rPr>
                <w:color w:val="000000"/>
              </w:rPr>
              <w:t xml:space="preserve">UX became involved; therefore, </w:t>
            </w:r>
            <w:r>
              <w:t xml:space="preserve">the </w:t>
            </w:r>
            <w:r w:rsidRPr="00945D23">
              <w:rPr>
                <w:color w:val="000000"/>
              </w:rPr>
              <w:t>team conducted</w:t>
            </w:r>
            <w:r>
              <w:t xml:space="preserve"> usability testing focus groups</w:t>
            </w:r>
            <w:r w:rsidRPr="00945D23">
              <w:rPr>
                <w:color w:val="000000"/>
              </w:rPr>
              <w:t xml:space="preserve"> rather than beginning with a Lean Canvas exercise.</w:t>
            </w:r>
            <w:r>
              <w:t xml:space="preserve"> The </w:t>
            </w:r>
            <w:r w:rsidRPr="00945D23">
              <w:rPr>
                <w:color w:val="000000"/>
              </w:rPr>
              <w:t>resulting artifacts included a</w:t>
            </w:r>
            <w:r>
              <w:t xml:space="preserve"> Focus Group Findings </w:t>
            </w:r>
            <w:r w:rsidRPr="00945D23">
              <w:rPr>
                <w:color w:val="000000"/>
              </w:rPr>
              <w:t xml:space="preserve">document </w:t>
            </w:r>
            <w:r>
              <w:t xml:space="preserve">and two </w:t>
            </w:r>
            <w:r w:rsidRPr="00945D23">
              <w:rPr>
                <w:color w:val="000000"/>
              </w:rPr>
              <w:t xml:space="preserve">supporting </w:t>
            </w:r>
            <w:r>
              <w:t>mockups</w:t>
            </w:r>
            <w:r w:rsidRPr="00945D23">
              <w:rPr>
                <w:color w:val="000000"/>
              </w:rPr>
              <w:t xml:space="preserve">: </w:t>
            </w:r>
            <w:r>
              <w:t>Portfolio and Provider</w:t>
            </w:r>
            <w:r w:rsidRPr="00945D23">
              <w:rPr>
                <w:color w:val="000000"/>
              </w:rPr>
              <w:t>.</w:t>
            </w:r>
          </w:p>
        </w:tc>
      </w:tr>
      <w:tr w:rsidR="00A73E94" w14:paraId="715F31C2" w14:textId="77777777" w:rsidTr="00B7322F">
        <w:tc>
          <w:tcPr>
            <w:tcW w:w="1800" w:type="dxa"/>
            <w:shd w:val="clear" w:color="auto" w:fill="FFFFFF" w:themeFill="background1"/>
            <w:tcMar>
              <w:top w:w="80" w:type="dxa"/>
              <w:left w:w="120" w:type="dxa"/>
              <w:bottom w:w="80" w:type="dxa"/>
              <w:right w:w="120" w:type="dxa"/>
            </w:tcMar>
          </w:tcPr>
          <w:p w14:paraId="1980F904" w14:textId="77777777" w:rsidR="00A73E94" w:rsidRDefault="00A73E94" w:rsidP="00B7322F">
            <w:pPr>
              <w:rPr>
                <w:b/>
                <w:bCs/>
              </w:rPr>
            </w:pPr>
            <w:r>
              <w:rPr>
                <w:b/>
                <w:bCs/>
              </w:rPr>
              <w:t>Flash 2.0</w:t>
            </w:r>
          </w:p>
        </w:tc>
        <w:tc>
          <w:tcPr>
            <w:tcW w:w="2067" w:type="dxa"/>
            <w:shd w:val="clear" w:color="auto" w:fill="FFFFFF" w:themeFill="background1"/>
            <w:tcMar>
              <w:top w:w="80" w:type="dxa"/>
              <w:left w:w="120" w:type="dxa"/>
              <w:bottom w:w="80" w:type="dxa"/>
              <w:right w:w="120" w:type="dxa"/>
            </w:tcMar>
          </w:tcPr>
          <w:p w14:paraId="03DDCC33" w14:textId="765F6580" w:rsidR="00A73E94" w:rsidRDefault="00AA5F0F" w:rsidP="00B7322F">
            <w:hyperlink r:id="rId16" w:history="1">
              <w:r w:rsidR="00A73E94" w:rsidRPr="00AA5F0F">
                <w:rPr>
                  <w:rStyle w:val="Hyperlink"/>
                </w:rPr>
                <w:t>Prototype</w:t>
              </w:r>
            </w:hyperlink>
          </w:p>
        </w:tc>
        <w:tc>
          <w:tcPr>
            <w:tcW w:w="5853" w:type="dxa"/>
            <w:shd w:val="clear" w:color="auto" w:fill="FFFFFF" w:themeFill="background1"/>
            <w:tcMar>
              <w:top w:w="80" w:type="dxa"/>
              <w:left w:w="120" w:type="dxa"/>
              <w:bottom w:w="80" w:type="dxa"/>
              <w:right w:w="120" w:type="dxa"/>
            </w:tcMar>
          </w:tcPr>
          <w:p w14:paraId="6EEF676A" w14:textId="77777777" w:rsidR="00A73E94" w:rsidRDefault="00A73E94" w:rsidP="00B7322F">
            <w:r>
              <w:t>I worked directly with Peter Lauterbach to modify and improve the UX of the existing Flash prototype.</w:t>
            </w:r>
          </w:p>
        </w:tc>
      </w:tr>
    </w:tbl>
    <w:p w14:paraId="3E837D44" w14:textId="2CED8B53" w:rsidR="00A73E94" w:rsidRPr="00A73E94" w:rsidRDefault="00A73E94" w:rsidP="00A73E94">
      <w:pPr>
        <w:pStyle w:val="Heading1"/>
        <w:spacing w:after="160"/>
        <w:rPr>
          <w:b/>
          <w:bCs/>
          <w:sz w:val="20"/>
          <w:szCs w:val="20"/>
        </w:rPr>
      </w:pPr>
      <w:r w:rsidRPr="00A73E94">
        <w:rPr>
          <w:b/>
          <w:bCs/>
          <w:sz w:val="20"/>
          <w:szCs w:val="20"/>
        </w:rPr>
        <w:t>UX PROCESS</w:t>
      </w:r>
    </w:p>
    <w:p w14:paraId="7E4063A6" w14:textId="22872922" w:rsidR="00373FF0" w:rsidRDefault="00373FF0" w:rsidP="00373FF0">
      <w:pPr>
        <w:pStyle w:val="Heading1"/>
        <w:spacing w:after="160"/>
      </w:pPr>
      <w:r>
        <w:t xml:space="preserve">Phase 1 — </w:t>
      </w:r>
      <w:r w:rsidR="0025115E">
        <w:t>Lean Canvas</w:t>
      </w:r>
    </w:p>
    <w:p w14:paraId="574C4079" w14:textId="77777777" w:rsidR="00EF45C1" w:rsidRDefault="003274FE" w:rsidP="003274FE">
      <w:pPr>
        <w:spacing w:after="120"/>
      </w:pPr>
      <w:r w:rsidRPr="003274FE">
        <w:rPr>
          <w:b/>
          <w:bCs/>
        </w:rPr>
        <w:t xml:space="preserve">Template: </w:t>
      </w:r>
      <w:hyperlink r:id="rId17" w:history="1">
        <w:r w:rsidRPr="003274FE">
          <w:rPr>
            <w:rStyle w:val="Hyperlink"/>
          </w:rPr>
          <w:t>Lean-UX-Canvas-Template-v4-12.31.2024</w:t>
        </w:r>
      </w:hyperlink>
    </w:p>
    <w:p w14:paraId="7462C8F0" w14:textId="03F84643" w:rsidR="003274FE" w:rsidRPr="00EF45C1" w:rsidRDefault="00F671E2" w:rsidP="003274FE">
      <w:pPr>
        <w:spacing w:after="120"/>
      </w:pPr>
      <w:r>
        <w:rPr>
          <w:b/>
          <w:bCs/>
        </w:rPr>
        <w:t>How To</w:t>
      </w:r>
      <w:r w:rsidR="00EF45C1" w:rsidRPr="00EF45C1">
        <w:rPr>
          <w:b/>
          <w:bCs/>
        </w:rPr>
        <w:t xml:space="preserve">:  </w:t>
      </w:r>
      <w:hyperlink r:id="rId18" w:history="1">
        <w:r>
          <w:rPr>
            <w:rStyle w:val="Hyperlink"/>
          </w:rPr>
          <w:t xml:space="preserve">Creating a Minimum Lovable Product with Lean Canvas  </w:t>
        </w:r>
      </w:hyperlink>
      <w:r w:rsidR="003274FE" w:rsidRPr="00EF45C1">
        <w:t xml:space="preserve"> </w:t>
      </w:r>
    </w:p>
    <w:p w14:paraId="5220D6ED" w14:textId="77777777" w:rsidR="00BA7669" w:rsidRDefault="00BA7669" w:rsidP="00BA7669">
      <w:pPr>
        <w:spacing w:after="120"/>
        <w:rPr>
          <w:b/>
          <w:bCs/>
        </w:rPr>
      </w:pPr>
      <w:r w:rsidRPr="00BA7669">
        <w:rPr>
          <w:b/>
          <w:bCs/>
        </w:rPr>
        <w:t>What it Does:</w:t>
      </w:r>
    </w:p>
    <w:p w14:paraId="547879AD" w14:textId="77777777" w:rsidR="00B165A1" w:rsidRDefault="00B165A1" w:rsidP="00B165A1">
      <w:pPr>
        <w:spacing w:after="120"/>
      </w:pPr>
      <w:r w:rsidRPr="002B23F6">
        <w:t xml:space="preserve">Use Lean Canvas at the start of PPA work to align the product team, business stakeholders, analytics partners, and UX around the problem being solved before prototype or build decisions are made. </w:t>
      </w:r>
    </w:p>
    <w:p w14:paraId="4C560E5B" w14:textId="11004341" w:rsidR="00BA7669" w:rsidRDefault="00BA7669" w:rsidP="00BA7669">
      <w:pPr>
        <w:spacing w:after="120"/>
      </w:pPr>
      <w:r>
        <w:t>The tool</w:t>
      </w:r>
      <w:r w:rsidRPr="002B23F6">
        <w:t xml:space="preserve"> defines the business case, primary users, provider performance questions, data needs, use cases, existing solution gaps, success measures, and launch/support considerations. It works by bringing stakeholders into a structured working session, capturing concise answers, and flagging discovery gaps that must be resolved before moving forward. </w:t>
      </w:r>
    </w:p>
    <w:p w14:paraId="0293DA51" w14:textId="3A64E86F" w:rsidR="00BA7669" w:rsidRPr="00BA7669" w:rsidRDefault="00BA7669">
      <w:pPr>
        <w:spacing w:after="120"/>
        <w:rPr>
          <w:b/>
          <w:bCs/>
        </w:rPr>
      </w:pPr>
      <w:r>
        <w:rPr>
          <w:b/>
          <w:bCs/>
        </w:rPr>
        <w:t>Benefits:</w:t>
      </w:r>
    </w:p>
    <w:p w14:paraId="6D1D7ED8" w14:textId="72BFB06B" w:rsidR="00082CD5" w:rsidRDefault="00E0557F">
      <w:pPr>
        <w:spacing w:after="120"/>
      </w:pPr>
      <w:r>
        <w:t>Starting a project with Lean Canvas</w:t>
      </w:r>
      <w:r w:rsidR="002B23F6" w:rsidRPr="002B23F6">
        <w:t xml:space="preserve"> reduces guesswork, prevents scope creep, exposes gaps in understanding, creates a shared record of the original ask, and ensures the PPA experience is anchored in real user decisions rather than dashboard feature requests. </w:t>
      </w:r>
    </w:p>
    <w:p w14:paraId="31A2E49D" w14:textId="77777777" w:rsidR="00A5509D" w:rsidRDefault="00A5509D" w:rsidP="00A5509D">
      <w:pPr>
        <w:pBdr>
          <w:bottom w:val="single" w:sz="6" w:space="6" w:color="C8CFD3"/>
        </w:pBdr>
        <w:spacing w:before="200" w:after="200"/>
      </w:pPr>
    </w:p>
    <w:p w14:paraId="59FE31E5" w14:textId="77777777" w:rsidR="009621AA" w:rsidRDefault="00014148" w:rsidP="00D9554C">
      <w:pPr>
        <w:pStyle w:val="Heading1"/>
        <w:spacing w:after="160"/>
        <w:rPr>
          <w:rFonts w:cstheme="minorBidi"/>
        </w:rPr>
      </w:pPr>
      <w:r w:rsidRPr="00D9554C">
        <w:rPr>
          <w:rFonts w:cstheme="minorBidi"/>
        </w:rPr>
        <w:lastRenderedPageBreak/>
        <w:t>Phase 2 — Prototype</w:t>
      </w:r>
    </w:p>
    <w:p w14:paraId="41EB7711" w14:textId="77777777" w:rsidR="00773EB7" w:rsidRDefault="0036646C" w:rsidP="0036646C">
      <w:pPr>
        <w:pStyle w:val="ListParagraph"/>
        <w:numPr>
          <w:ilvl w:val="0"/>
          <w:numId w:val="1"/>
        </w:numPr>
      </w:pPr>
      <w:r w:rsidRPr="0036646C">
        <w:t>Share the completed Lean Canvas and any supporting raw notes in Windsurf so the prototype can be grounded in the project’s original business context, user needs, and discovery inputs. Clearly identify the intended user personas, priority use cases, decision points, and any open questions that should influence the first design direction.</w:t>
      </w:r>
    </w:p>
    <w:p w14:paraId="7E268A25" w14:textId="77777777" w:rsidR="009621AA" w:rsidRDefault="0097313D" w:rsidP="0097313D">
      <w:pPr>
        <w:pStyle w:val="ListParagraph"/>
        <w:numPr>
          <w:ilvl w:val="0"/>
          <w:numId w:val="1"/>
        </w:numPr>
      </w:pPr>
      <w:r w:rsidRPr="0097313D">
        <w:t>Instruct Windsurf to reference the PPA design system throughout the prototype build, including approved fonts, colors, visualization treatments, interaction patterns, spacing, and reusable components. This helps the prototype remain consistent with the established PPA experience and reduces unnecessary rework during engineering handoff.</w:t>
      </w:r>
    </w:p>
    <w:p w14:paraId="06DCC25F" w14:textId="77777777" w:rsidR="00373FF0" w:rsidRDefault="00373FF0" w:rsidP="00373FF0">
      <w:pPr>
        <w:pBdr>
          <w:bottom w:val="single" w:sz="6" w:space="6" w:color="C8CFD3"/>
        </w:pBdr>
        <w:spacing w:before="200" w:after="200"/>
      </w:pPr>
    </w:p>
    <w:p w14:paraId="74A5384B" w14:textId="77777777" w:rsidR="009621AA" w:rsidRDefault="00014148" w:rsidP="002A1676">
      <w:pPr>
        <w:pStyle w:val="Heading1"/>
        <w:spacing w:after="160"/>
        <w:rPr>
          <w:rFonts w:cstheme="minorBidi"/>
        </w:rPr>
      </w:pPr>
      <w:r w:rsidRPr="002A1676">
        <w:rPr>
          <w:rFonts w:cstheme="minorBidi"/>
        </w:rPr>
        <w:t>Phase 3 — Test &amp; Refine</w:t>
      </w:r>
    </w:p>
    <w:p w14:paraId="124BDFB2" w14:textId="77777777" w:rsidR="009621AA" w:rsidRDefault="00014148">
      <w:pPr>
        <w:spacing w:after="240"/>
      </w:pPr>
      <w:r w:rsidRPr="00C45B42">
        <w:rPr>
          <w:b/>
          <w:bCs/>
        </w:rPr>
        <w:t>UX Best Practices</w:t>
      </w:r>
      <w:r w:rsidRPr="00C45B42">
        <w:rPr>
          <w:b/>
          <w:bCs/>
        </w:rPr>
        <w:br/>
      </w:r>
    </w:p>
    <w:p w14:paraId="11A3B11B" w14:textId="77777777" w:rsidR="009621AA" w:rsidRDefault="0032144B" w:rsidP="0032144B">
      <w:pPr>
        <w:pStyle w:val="ListParagraph"/>
        <w:numPr>
          <w:ilvl w:val="0"/>
          <w:numId w:val="2"/>
        </w:numPr>
      </w:pPr>
      <w:r w:rsidRPr="0032144B">
        <w:t>Validate each prototype with representative end users, not only internal stakeholders. Stakeholders can confirm business intent and feasibility, but end users are best positioned to confirm whether the experience supports real workflows, practical decision-making, and day-to-day provider performance conversations.</w:t>
      </w:r>
    </w:p>
    <w:p w14:paraId="2A80B48E" w14:textId="77777777" w:rsidR="00773EB7" w:rsidRDefault="00220F2A" w:rsidP="00220F2A">
      <w:pPr>
        <w:pStyle w:val="ListParagraph"/>
        <w:numPr>
          <w:ilvl w:val="0"/>
          <w:numId w:val="2"/>
        </w:numPr>
      </w:pPr>
      <w:r w:rsidRPr="00220F2A">
        <w:t xml:space="preserve">When possible, prioritize 1:1 review </w:t>
      </w:r>
      <w:proofErr w:type="gramStart"/>
      <w:r w:rsidRPr="00220F2A">
        <w:t>sessions</w:t>
      </w:r>
      <w:proofErr w:type="gramEnd"/>
      <w:r w:rsidRPr="00220F2A">
        <w:t xml:space="preserve"> because they provide deeper, more candid feedback and allow the facilitator to probe individual interpretation, friction points, and unmet needs. Focus groups can be useful when time is limited or when broad directional feedback is needed quickly, but they typically produce less detailed insight.</w:t>
      </w:r>
    </w:p>
    <w:p w14:paraId="3F04158B" w14:textId="77777777" w:rsidR="00773EB7" w:rsidRDefault="00D84B43" w:rsidP="00D84B43">
      <w:pPr>
        <w:pStyle w:val="ListParagraph"/>
        <w:numPr>
          <w:ilvl w:val="0"/>
          <w:numId w:val="2"/>
        </w:numPr>
      </w:pPr>
      <w:r w:rsidRPr="00D84B43">
        <w:t>Avoid presenting the prototype as a demo. Instead, ask users to walk through how they would use the tool to answer key questions, identify insights, prepare for provider conversations, or complete priority use cases. This approach reveals whether the design is intuitive, whether the information hierarchy is clear, and where users need additional support.</w:t>
      </w:r>
    </w:p>
    <w:p w14:paraId="07A87080" w14:textId="31FBBDB4" w:rsidR="00773EB7" w:rsidRDefault="005B41AA" w:rsidP="005B41AA">
      <w:pPr>
        <w:pStyle w:val="ListParagraph"/>
        <w:numPr>
          <w:ilvl w:val="0"/>
          <w:numId w:val="2"/>
        </w:numPr>
      </w:pPr>
      <w:r w:rsidRPr="005B41AA">
        <w:t xml:space="preserve">Refine the prototype based on validated user feedback, then test again as needed. Continue this cycle until there is sufficient confidence that the design supports user </w:t>
      </w:r>
      <w:proofErr w:type="spellStart"/>
      <w:r w:rsidRPr="005B41AA">
        <w:t>nees</w:t>
      </w:r>
      <w:proofErr w:type="spellEnd"/>
      <w:r w:rsidRPr="005B41AA">
        <w:t>, aligns with the intended business outcomes, and can be handed off to engineering without major unresolved UX questions.</w:t>
      </w:r>
    </w:p>
    <w:p w14:paraId="066DFFB4" w14:textId="77777777" w:rsidR="00373FF0" w:rsidRDefault="00373FF0" w:rsidP="00373FF0">
      <w:pPr>
        <w:pBdr>
          <w:bottom w:val="single" w:sz="6" w:space="6" w:color="C8CFD3"/>
        </w:pBdr>
        <w:spacing w:before="200" w:after="200"/>
      </w:pPr>
    </w:p>
    <w:p w14:paraId="44F7459A" w14:textId="1ADE64CB" w:rsidR="00373FF0" w:rsidRDefault="00373FF0" w:rsidP="00373FF0">
      <w:pPr>
        <w:pStyle w:val="Heading1"/>
        <w:spacing w:after="160"/>
      </w:pPr>
      <w:r>
        <w:t xml:space="preserve">Phase 4 — </w:t>
      </w:r>
      <w:r w:rsidR="0029092A">
        <w:t>Hand off to Engineering</w:t>
      </w:r>
    </w:p>
    <w:p w14:paraId="543F32B8" w14:textId="77777777" w:rsidR="0029092A" w:rsidRDefault="0029092A" w:rsidP="0029092A">
      <w:pPr>
        <w:pBdr>
          <w:bottom w:val="single" w:sz="6" w:space="6" w:color="C8CFD3"/>
        </w:pBdr>
        <w:spacing w:before="200" w:after="200"/>
      </w:pPr>
    </w:p>
    <w:p w14:paraId="3C763C4C" w14:textId="58902465" w:rsidR="009621AA" w:rsidRDefault="009621AA"/>
    <w:sectPr w:rsidR="009621AA" w:rsidSect="00E0557F">
      <w:pgSz w:w="12240" w:h="15840"/>
      <w:pgMar w:top="711" w:right="1440" w:bottom="684"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1330A3C"/>
    <w:multiLevelType w:val="hybridMultilevel"/>
    <w:tmpl w:val="A2B0C148"/>
    <w:lvl w:ilvl="0" w:tplc="9C143868">
      <w:start w:val="1"/>
      <w:numFmt w:val="bullet"/>
      <w:lvlText w:val="•"/>
      <w:lvlJc w:val="left"/>
      <w:pPr>
        <w:ind w:left="460" w:hanging="240"/>
      </w:pPr>
    </w:lvl>
    <w:lvl w:ilvl="1" w:tplc="7FC6505A">
      <w:start w:val="1"/>
      <w:numFmt w:val="bullet"/>
      <w:lvlText w:val="◦"/>
      <w:lvlJc w:val="left"/>
      <w:pPr>
        <w:ind w:left="820" w:hanging="240"/>
      </w:pPr>
    </w:lvl>
    <w:lvl w:ilvl="2" w:tplc="19FC4E5E">
      <w:numFmt w:val="decimal"/>
      <w:lvlText w:val=""/>
      <w:lvlJc w:val="left"/>
    </w:lvl>
    <w:lvl w:ilvl="3" w:tplc="FE0CC1AA">
      <w:numFmt w:val="decimal"/>
      <w:lvlText w:val=""/>
      <w:lvlJc w:val="left"/>
    </w:lvl>
    <w:lvl w:ilvl="4" w:tplc="31D874C2">
      <w:numFmt w:val="decimal"/>
      <w:lvlText w:val=""/>
      <w:lvlJc w:val="left"/>
    </w:lvl>
    <w:lvl w:ilvl="5" w:tplc="904E7AAE">
      <w:numFmt w:val="decimal"/>
      <w:lvlText w:val=""/>
      <w:lvlJc w:val="left"/>
    </w:lvl>
    <w:lvl w:ilvl="6" w:tplc="02F6FA80">
      <w:numFmt w:val="decimal"/>
      <w:lvlText w:val=""/>
      <w:lvlJc w:val="left"/>
    </w:lvl>
    <w:lvl w:ilvl="7" w:tplc="C23637BE">
      <w:numFmt w:val="decimal"/>
      <w:lvlText w:val=""/>
      <w:lvlJc w:val="left"/>
    </w:lvl>
    <w:lvl w:ilvl="8" w:tplc="C512D672">
      <w:numFmt w:val="decimal"/>
      <w:lvlText w:val=""/>
      <w:lvlJc w:val="left"/>
    </w:lvl>
  </w:abstractNum>
  <w:abstractNum w:abstractNumId="1" w15:restartNumberingAfterBreak="0">
    <w:nsid w:val="2461630C"/>
    <w:multiLevelType w:val="multilevel"/>
    <w:tmpl w:val="142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155FC2"/>
    <w:multiLevelType w:val="multilevel"/>
    <w:tmpl w:val="D728C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2E73FB"/>
    <w:multiLevelType w:val="multilevel"/>
    <w:tmpl w:val="542ED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3F758E"/>
    <w:multiLevelType w:val="multilevel"/>
    <w:tmpl w:val="4D6EF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0E0F3D"/>
    <w:multiLevelType w:val="multilevel"/>
    <w:tmpl w:val="8E5A9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45425F3"/>
    <w:multiLevelType w:val="multilevel"/>
    <w:tmpl w:val="408C9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E19466C"/>
    <w:multiLevelType w:val="hybridMultilevel"/>
    <w:tmpl w:val="C4CEAC64"/>
    <w:lvl w:ilvl="0" w:tplc="EAAE951E">
      <w:start w:val="1"/>
      <w:numFmt w:val="decimal"/>
      <w:lvlText w:val="%1."/>
      <w:lvlJc w:val="left"/>
      <w:pPr>
        <w:ind w:left="460" w:hanging="240"/>
      </w:pPr>
      <w:rPr>
        <w:rFonts w:ascii="Calibri" w:eastAsia="Calibri" w:hAnsi="Calibri" w:cs="Calibri"/>
      </w:rPr>
    </w:lvl>
    <w:lvl w:ilvl="1" w:tplc="0C383CA4">
      <w:numFmt w:val="decimal"/>
      <w:lvlText w:val=""/>
      <w:lvlJc w:val="left"/>
    </w:lvl>
    <w:lvl w:ilvl="2" w:tplc="CCA8E37C">
      <w:numFmt w:val="decimal"/>
      <w:lvlText w:val=""/>
      <w:lvlJc w:val="left"/>
    </w:lvl>
    <w:lvl w:ilvl="3" w:tplc="9A786DD0">
      <w:numFmt w:val="decimal"/>
      <w:lvlText w:val=""/>
      <w:lvlJc w:val="left"/>
    </w:lvl>
    <w:lvl w:ilvl="4" w:tplc="430A56EE">
      <w:numFmt w:val="decimal"/>
      <w:lvlText w:val=""/>
      <w:lvlJc w:val="left"/>
    </w:lvl>
    <w:lvl w:ilvl="5" w:tplc="40F2D1F0">
      <w:numFmt w:val="decimal"/>
      <w:lvlText w:val=""/>
      <w:lvlJc w:val="left"/>
    </w:lvl>
    <w:lvl w:ilvl="6" w:tplc="5B0EB70A">
      <w:numFmt w:val="decimal"/>
      <w:lvlText w:val=""/>
      <w:lvlJc w:val="left"/>
    </w:lvl>
    <w:lvl w:ilvl="7" w:tplc="6956A582">
      <w:numFmt w:val="decimal"/>
      <w:lvlText w:val=""/>
      <w:lvlJc w:val="left"/>
    </w:lvl>
    <w:lvl w:ilvl="8" w:tplc="E2149538">
      <w:numFmt w:val="decimal"/>
      <w:lvlText w:val=""/>
      <w:lvlJc w:val="left"/>
    </w:lvl>
  </w:abstractNum>
  <w:num w:numId="1" w16cid:durableId="240407201">
    <w:abstractNumId w:val="0"/>
    <w:lvlOverride w:ilvl="0">
      <w:startOverride w:val="1"/>
    </w:lvlOverride>
  </w:num>
  <w:num w:numId="2" w16cid:durableId="604310155">
    <w:abstractNumId w:val="7"/>
    <w:lvlOverride w:ilvl="0">
      <w:startOverride w:val="1"/>
    </w:lvlOverride>
  </w:num>
  <w:num w:numId="3" w16cid:durableId="954751573">
    <w:abstractNumId w:val="5"/>
  </w:num>
  <w:num w:numId="4" w16cid:durableId="1901741985">
    <w:abstractNumId w:val="4"/>
  </w:num>
  <w:num w:numId="5" w16cid:durableId="760952129">
    <w:abstractNumId w:val="1"/>
  </w:num>
  <w:num w:numId="6" w16cid:durableId="872184924">
    <w:abstractNumId w:val="6"/>
  </w:num>
  <w:num w:numId="7" w16cid:durableId="808323391">
    <w:abstractNumId w:val="3"/>
  </w:num>
  <w:num w:numId="8" w16cid:durableId="504247177">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3FF0"/>
    <w:rsid w:val="00012B3B"/>
    <w:rsid w:val="00014148"/>
    <w:rsid w:val="00023CA4"/>
    <w:rsid w:val="00033721"/>
    <w:rsid w:val="00055706"/>
    <w:rsid w:val="00082CD5"/>
    <w:rsid w:val="00094F89"/>
    <w:rsid w:val="000B02AE"/>
    <w:rsid w:val="000B0DEC"/>
    <w:rsid w:val="000F6E5E"/>
    <w:rsid w:val="00157A16"/>
    <w:rsid w:val="001870C6"/>
    <w:rsid w:val="001A7F78"/>
    <w:rsid w:val="001D4016"/>
    <w:rsid w:val="001E08E5"/>
    <w:rsid w:val="002113DD"/>
    <w:rsid w:val="00220F2A"/>
    <w:rsid w:val="00244916"/>
    <w:rsid w:val="00245BFA"/>
    <w:rsid w:val="0025115E"/>
    <w:rsid w:val="0029092A"/>
    <w:rsid w:val="002A1676"/>
    <w:rsid w:val="002B23F6"/>
    <w:rsid w:val="002B38A9"/>
    <w:rsid w:val="002B75C5"/>
    <w:rsid w:val="0032144B"/>
    <w:rsid w:val="003274FE"/>
    <w:rsid w:val="0033565E"/>
    <w:rsid w:val="0035672F"/>
    <w:rsid w:val="0036646C"/>
    <w:rsid w:val="00373FF0"/>
    <w:rsid w:val="003A51F8"/>
    <w:rsid w:val="003A7E56"/>
    <w:rsid w:val="00416917"/>
    <w:rsid w:val="00420BA2"/>
    <w:rsid w:val="00422FDE"/>
    <w:rsid w:val="00461B76"/>
    <w:rsid w:val="004B2A99"/>
    <w:rsid w:val="004B7499"/>
    <w:rsid w:val="004D7B21"/>
    <w:rsid w:val="00515CDB"/>
    <w:rsid w:val="0052111C"/>
    <w:rsid w:val="00595A1C"/>
    <w:rsid w:val="00596210"/>
    <w:rsid w:val="005B41AA"/>
    <w:rsid w:val="005C0B08"/>
    <w:rsid w:val="005C0FAA"/>
    <w:rsid w:val="005D096F"/>
    <w:rsid w:val="00607AE1"/>
    <w:rsid w:val="006659FC"/>
    <w:rsid w:val="006A274D"/>
    <w:rsid w:val="006B3852"/>
    <w:rsid w:val="006D221F"/>
    <w:rsid w:val="006D7BE4"/>
    <w:rsid w:val="006E1319"/>
    <w:rsid w:val="00724E52"/>
    <w:rsid w:val="00752866"/>
    <w:rsid w:val="007714F0"/>
    <w:rsid w:val="00773EB7"/>
    <w:rsid w:val="007A48D1"/>
    <w:rsid w:val="007B03E4"/>
    <w:rsid w:val="007B0742"/>
    <w:rsid w:val="007B2359"/>
    <w:rsid w:val="007C2DEC"/>
    <w:rsid w:val="00853CF0"/>
    <w:rsid w:val="0085675C"/>
    <w:rsid w:val="008B70E9"/>
    <w:rsid w:val="008C1618"/>
    <w:rsid w:val="008D0861"/>
    <w:rsid w:val="00945D23"/>
    <w:rsid w:val="009621AA"/>
    <w:rsid w:val="0097313D"/>
    <w:rsid w:val="00980738"/>
    <w:rsid w:val="00992040"/>
    <w:rsid w:val="00A0447F"/>
    <w:rsid w:val="00A20589"/>
    <w:rsid w:val="00A367CC"/>
    <w:rsid w:val="00A5509D"/>
    <w:rsid w:val="00A60E93"/>
    <w:rsid w:val="00A700EF"/>
    <w:rsid w:val="00A73E94"/>
    <w:rsid w:val="00AA5F0F"/>
    <w:rsid w:val="00AB2628"/>
    <w:rsid w:val="00AB39CB"/>
    <w:rsid w:val="00B165A1"/>
    <w:rsid w:val="00B61AB1"/>
    <w:rsid w:val="00B62D08"/>
    <w:rsid w:val="00B86DD8"/>
    <w:rsid w:val="00BA7669"/>
    <w:rsid w:val="00BB0D4C"/>
    <w:rsid w:val="00BC1E3A"/>
    <w:rsid w:val="00BD43EF"/>
    <w:rsid w:val="00C15D0C"/>
    <w:rsid w:val="00C4395C"/>
    <w:rsid w:val="00C4410B"/>
    <w:rsid w:val="00C44E83"/>
    <w:rsid w:val="00C45B42"/>
    <w:rsid w:val="00CA0D46"/>
    <w:rsid w:val="00CA3014"/>
    <w:rsid w:val="00CB130F"/>
    <w:rsid w:val="00CF375A"/>
    <w:rsid w:val="00CF4D88"/>
    <w:rsid w:val="00D1473C"/>
    <w:rsid w:val="00D20645"/>
    <w:rsid w:val="00D25C5C"/>
    <w:rsid w:val="00D45866"/>
    <w:rsid w:val="00D6488F"/>
    <w:rsid w:val="00D84B43"/>
    <w:rsid w:val="00D9554C"/>
    <w:rsid w:val="00DB7251"/>
    <w:rsid w:val="00DE3EE6"/>
    <w:rsid w:val="00DE5869"/>
    <w:rsid w:val="00DE6757"/>
    <w:rsid w:val="00E0557F"/>
    <w:rsid w:val="00E233D3"/>
    <w:rsid w:val="00E3430C"/>
    <w:rsid w:val="00E41C24"/>
    <w:rsid w:val="00E57DD2"/>
    <w:rsid w:val="00E7688A"/>
    <w:rsid w:val="00EA0B10"/>
    <w:rsid w:val="00EF45C1"/>
    <w:rsid w:val="00F02C9A"/>
    <w:rsid w:val="00F27ABD"/>
    <w:rsid w:val="00F334DE"/>
    <w:rsid w:val="00F41E95"/>
    <w:rsid w:val="00F53209"/>
    <w:rsid w:val="00F671E2"/>
    <w:rsid w:val="00FD4D42"/>
    <w:rsid w:val="00FE6A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AD43B87"/>
  <w15:chartTrackingRefBased/>
  <w15:docId w15:val="{2677132D-5DCB-784B-A095-8FEEDC2FEB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3FF0"/>
    <w:pPr>
      <w:spacing w:after="0" w:line="276" w:lineRule="auto"/>
    </w:pPr>
    <w:rPr>
      <w:rFonts w:ascii="Calibri" w:eastAsia="Calibri" w:hAnsi="Calibri" w:cs="Calibri"/>
      <w:kern w:val="0"/>
      <w:sz w:val="21"/>
      <w:szCs w:val="21"/>
      <w14:ligatures w14:val="none"/>
    </w:rPr>
  </w:style>
  <w:style w:type="paragraph" w:styleId="Heading1">
    <w:name w:val="heading 1"/>
    <w:basedOn w:val="Normal"/>
    <w:next w:val="Normal"/>
    <w:link w:val="Heading1Char"/>
    <w:uiPriority w:val="9"/>
    <w:qFormat/>
    <w:rsid w:val="00373F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73F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73F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3F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3F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3FF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3FF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3FF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3FF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3F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73F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73F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3F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3F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3F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3F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3F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3FF0"/>
    <w:rPr>
      <w:rFonts w:eastAsiaTheme="majorEastAsia" w:cstheme="majorBidi"/>
      <w:color w:val="272727" w:themeColor="text1" w:themeTint="D8"/>
    </w:rPr>
  </w:style>
  <w:style w:type="paragraph" w:styleId="Title">
    <w:name w:val="Title"/>
    <w:basedOn w:val="Normal"/>
    <w:next w:val="Normal"/>
    <w:link w:val="TitleChar"/>
    <w:uiPriority w:val="10"/>
    <w:qFormat/>
    <w:rsid w:val="00373F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3F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3F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3F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3FF0"/>
    <w:pPr>
      <w:spacing w:before="160"/>
      <w:jc w:val="center"/>
    </w:pPr>
    <w:rPr>
      <w:i/>
      <w:iCs/>
      <w:color w:val="404040" w:themeColor="text1" w:themeTint="BF"/>
    </w:rPr>
  </w:style>
  <w:style w:type="character" w:customStyle="1" w:styleId="QuoteChar">
    <w:name w:val="Quote Char"/>
    <w:basedOn w:val="DefaultParagraphFont"/>
    <w:link w:val="Quote"/>
    <w:uiPriority w:val="29"/>
    <w:rsid w:val="00373FF0"/>
    <w:rPr>
      <w:i/>
      <w:iCs/>
      <w:color w:val="404040" w:themeColor="text1" w:themeTint="BF"/>
    </w:rPr>
  </w:style>
  <w:style w:type="paragraph" w:styleId="ListParagraph">
    <w:name w:val="List Paragraph"/>
    <w:basedOn w:val="Normal"/>
    <w:uiPriority w:val="34"/>
    <w:qFormat/>
    <w:rsid w:val="00373FF0"/>
    <w:pPr>
      <w:ind w:left="720"/>
      <w:contextualSpacing/>
    </w:pPr>
  </w:style>
  <w:style w:type="character" w:styleId="IntenseEmphasis">
    <w:name w:val="Intense Emphasis"/>
    <w:basedOn w:val="DefaultParagraphFont"/>
    <w:uiPriority w:val="21"/>
    <w:qFormat/>
    <w:rsid w:val="00373FF0"/>
    <w:rPr>
      <w:i/>
      <w:iCs/>
      <w:color w:val="0F4761" w:themeColor="accent1" w:themeShade="BF"/>
    </w:rPr>
  </w:style>
  <w:style w:type="paragraph" w:styleId="IntenseQuote">
    <w:name w:val="Intense Quote"/>
    <w:basedOn w:val="Normal"/>
    <w:next w:val="Normal"/>
    <w:link w:val="IntenseQuoteChar"/>
    <w:uiPriority w:val="30"/>
    <w:qFormat/>
    <w:rsid w:val="00373F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3FF0"/>
    <w:rPr>
      <w:i/>
      <w:iCs/>
      <w:color w:val="0F4761" w:themeColor="accent1" w:themeShade="BF"/>
    </w:rPr>
  </w:style>
  <w:style w:type="character" w:styleId="IntenseReference">
    <w:name w:val="Intense Reference"/>
    <w:basedOn w:val="DefaultParagraphFont"/>
    <w:uiPriority w:val="32"/>
    <w:qFormat/>
    <w:rsid w:val="00373FF0"/>
    <w:rPr>
      <w:b/>
      <w:bCs/>
      <w:smallCaps/>
      <w:color w:val="0F4761" w:themeColor="accent1" w:themeShade="BF"/>
      <w:spacing w:val="5"/>
    </w:rPr>
  </w:style>
  <w:style w:type="character" w:styleId="BookTitle">
    <w:name w:val="Book Title"/>
    <w:basedOn w:val="DefaultParagraphFont"/>
    <w:uiPriority w:val="33"/>
    <w:qFormat/>
    <w:rsid w:val="00D1473C"/>
    <w:rPr>
      <w:b/>
      <w:bCs/>
      <w:i/>
      <w:iCs/>
      <w:spacing w:val="5"/>
    </w:rPr>
  </w:style>
  <w:style w:type="paragraph" w:styleId="Caption">
    <w:name w:val="caption"/>
    <w:basedOn w:val="Normal"/>
    <w:next w:val="Normal"/>
    <w:uiPriority w:val="35"/>
    <w:semiHidden/>
    <w:unhideWhenUsed/>
    <w:qFormat/>
    <w:rsid w:val="00D1473C"/>
    <w:pPr>
      <w:spacing w:after="200" w:line="240" w:lineRule="auto"/>
    </w:pPr>
    <w:rPr>
      <w:i/>
      <w:iCs/>
      <w:color w:val="0E2841" w:themeColor="text2"/>
      <w:sz w:val="18"/>
      <w:szCs w:val="18"/>
    </w:rPr>
  </w:style>
  <w:style w:type="character" w:styleId="Emphasis">
    <w:name w:val="Emphasis"/>
    <w:basedOn w:val="DefaultParagraphFont"/>
    <w:uiPriority w:val="20"/>
    <w:qFormat/>
    <w:rsid w:val="00D1473C"/>
    <w:rPr>
      <w:i/>
      <w:iCs/>
    </w:rPr>
  </w:style>
  <w:style w:type="paragraph" w:styleId="NoSpacing">
    <w:name w:val="No Spacing"/>
    <w:uiPriority w:val="1"/>
    <w:qFormat/>
    <w:rsid w:val="00D1473C"/>
    <w:pPr>
      <w:spacing w:after="0" w:line="240" w:lineRule="auto"/>
    </w:pPr>
    <w:rPr>
      <w:rFonts w:ascii="Calibri" w:eastAsia="Calibri" w:hAnsi="Calibri" w:cs="Calibri"/>
      <w:kern w:val="0"/>
      <w:sz w:val="21"/>
      <w:szCs w:val="21"/>
      <w14:ligatures w14:val="none"/>
    </w:rPr>
  </w:style>
  <w:style w:type="character" w:styleId="Strong">
    <w:name w:val="Strong"/>
    <w:basedOn w:val="DefaultParagraphFont"/>
    <w:uiPriority w:val="22"/>
    <w:qFormat/>
    <w:rsid w:val="00D1473C"/>
    <w:rPr>
      <w:b/>
      <w:bCs/>
    </w:rPr>
  </w:style>
  <w:style w:type="character" w:styleId="SubtleEmphasis">
    <w:name w:val="Subtle Emphasis"/>
    <w:basedOn w:val="DefaultParagraphFont"/>
    <w:uiPriority w:val="19"/>
    <w:qFormat/>
    <w:rsid w:val="00D1473C"/>
    <w:rPr>
      <w:i/>
      <w:iCs/>
      <w:color w:val="404040" w:themeColor="text1" w:themeTint="BF"/>
    </w:rPr>
  </w:style>
  <w:style w:type="character" w:styleId="SubtleReference">
    <w:name w:val="Subtle Reference"/>
    <w:basedOn w:val="DefaultParagraphFont"/>
    <w:uiPriority w:val="31"/>
    <w:qFormat/>
    <w:rsid w:val="00D1473C"/>
    <w:rPr>
      <w:smallCaps/>
      <w:color w:val="5A5A5A" w:themeColor="text1" w:themeTint="A5"/>
    </w:rPr>
  </w:style>
  <w:style w:type="paragraph" w:styleId="TOCHeading">
    <w:name w:val="TOC Heading"/>
    <w:basedOn w:val="Heading1"/>
    <w:next w:val="Normal"/>
    <w:uiPriority w:val="39"/>
    <w:semiHidden/>
    <w:unhideWhenUsed/>
    <w:qFormat/>
    <w:rsid w:val="00D1473C"/>
    <w:pPr>
      <w:spacing w:before="240" w:after="0"/>
      <w:outlineLvl w:val="9"/>
    </w:pPr>
    <w:rPr>
      <w:sz w:val="32"/>
      <w:szCs w:val="32"/>
    </w:rPr>
  </w:style>
  <w:style w:type="character" w:styleId="Hyperlink">
    <w:name w:val="Hyperlink"/>
    <w:basedOn w:val="DefaultParagraphFont"/>
    <w:uiPriority w:val="99"/>
    <w:unhideWhenUsed/>
    <w:rsid w:val="003274FE"/>
    <w:rPr>
      <w:color w:val="467886" w:themeColor="hyperlink"/>
      <w:u w:val="single"/>
    </w:rPr>
  </w:style>
  <w:style w:type="character" w:styleId="UnresolvedMention">
    <w:name w:val="Unresolved Mention"/>
    <w:basedOn w:val="DefaultParagraphFont"/>
    <w:uiPriority w:val="99"/>
    <w:semiHidden/>
    <w:unhideWhenUsed/>
    <w:rsid w:val="003274FE"/>
    <w:rPr>
      <w:color w:val="605E5C"/>
      <w:shd w:val="clear" w:color="auto" w:fill="E1DFDD"/>
    </w:rPr>
  </w:style>
  <w:style w:type="character" w:styleId="FollowedHyperlink">
    <w:name w:val="FollowedHyperlink"/>
    <w:basedOn w:val="DefaultParagraphFont"/>
    <w:uiPriority w:val="99"/>
    <w:semiHidden/>
    <w:unhideWhenUsed/>
    <w:rsid w:val="00F41E9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entene-my.sharepoint.com/personal/cn166438_centene_com/Documents/MedEcon/PPA%20-%20Pharmacy/pharmacy_dashboard_v4.2.html" TargetMode="External"/><Relationship Id="rId13" Type="http://schemas.openxmlformats.org/officeDocument/2006/relationships/hyperlink" Target="https://centene-my.sharepoint.com/personal/cn166438_centene_com/Documents/MedEcon/Scorecards/UX%20Findings%20-%20PPA-Focus%20Group%20-%20Dec%2018%202025.pptx" TargetMode="External"/><Relationship Id="rId18" Type="http://schemas.openxmlformats.org/officeDocument/2006/relationships/hyperlink" Target="https://centene.sharepoint.com/teams/CenteneDataAnalytics/SitePages/Creating-a-Minimum-Lovable-Product-with-Lean-Canvas.aspx" TargetMode="External"/><Relationship Id="rId3" Type="http://schemas.openxmlformats.org/officeDocument/2006/relationships/settings" Target="settings.xml"/><Relationship Id="rId7" Type="http://schemas.openxmlformats.org/officeDocument/2006/relationships/hyperlink" Target="https://github.com/sunshine3840/medecon/blob/main/PPA%20-%20Pharmacy/Lean%20Canvas%20PPA%20Pharmacy.docx" TargetMode="External"/><Relationship Id="rId12" Type="http://schemas.openxmlformats.org/officeDocument/2006/relationships/hyperlink" Target="https://centene-my.sharepoint.com/personal/cn166438_centene_com/Documents/MedEcon/PPA%20-%20Quality/PPA%20-%20Quality%20Wires%20v.0.pdf" TargetMode="External"/><Relationship Id="rId17" Type="http://schemas.openxmlformats.org/officeDocument/2006/relationships/hyperlink" Target="https://centene.sharepoint.com/teams/CenteneDataAnalytics/_layouts/15/Doc.aspx?sourcedoc=%7BBFF6A439-BB0F-4561-9322-F1CC6EA355AE%7D&amp;file=Lean-UX-Canvas-Template-v4-12.31.2024.pptx&amp;action=edit&amp;mobileredirect=true&amp;DefaultItemOpen=1?web=1" TargetMode="External"/><Relationship Id="rId2" Type="http://schemas.openxmlformats.org/officeDocument/2006/relationships/styles" Target="styles.xml"/><Relationship Id="rId16" Type="http://schemas.openxmlformats.org/officeDocument/2006/relationships/hyperlink" Target="https://centene-my.sharepoint.com/personal/cn166438_centene_com/Documents/MedEcon/Flash/Flash%202.0%20Exports/Flash_v1_3.23.26.pdf"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github.com/sunshine3840/medecon/blob/main/PPA%20Design%20System/index.html" TargetMode="External"/><Relationship Id="rId11" Type="http://schemas.openxmlformats.org/officeDocument/2006/relationships/hyperlink" Target="https://centene-my.sharepoint.com/personal/cn166438_centene_com/Documents/MedEcon/PPA%20-%20Quality/Lean%20Canvas%20PPA%20Quality.docx" TargetMode="External"/><Relationship Id="rId5" Type="http://schemas.openxmlformats.org/officeDocument/2006/relationships/hyperlink" Target="https://github.com/sunshine3840/medecon" TargetMode="External"/><Relationship Id="rId15" Type="http://schemas.openxmlformats.org/officeDocument/2006/relationships/hyperlink" Target="https://centene-my.sharepoint.com/personal/cn166438_centene_com/Documents/MedEcon/Scorecards/PPA%20Provider%20Scorecard%20v3.pdf" TargetMode="External"/><Relationship Id="rId10" Type="http://schemas.openxmlformats.org/officeDocument/2006/relationships/hyperlink" Target="https://centene-my.sharepoint.com/personal/cn166438_centene_com/Documents/MedEcon/PPA%20-%20Care%20Management/Prototype/PPA-CM-Dashboard-2.html"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centene-my.sharepoint.com/personal/cn166438_centene_com/Documents/MedEcon/PPA%20-%20Care%20Management/Lean%20Canvas%20PPA%20Care%20Management.docx" TargetMode="External"/><Relationship Id="rId14" Type="http://schemas.openxmlformats.org/officeDocument/2006/relationships/hyperlink" Target="https://centene-my.sharepoint.com/personal/cn166438_centene_com/Documents/MedEcon/Scorecards/PPA%20Scorecards%20v3.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1112</Words>
  <Characters>6409</Characters>
  <Application>Microsoft Office Word</Application>
  <DocSecurity>0</DocSecurity>
  <Lines>156</Lines>
  <Paragraphs>94</Paragraphs>
  <ScaleCrop>false</ScaleCrop>
  <Company/>
  <LinksUpToDate>false</LinksUpToDate>
  <CharactersWithSpaces>7427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Shannon A. Brown</dc:creator>
  <cp:keywords/>
  <dc:description/>
  <cp:lastModifiedBy>Shannon A. Brown</cp:lastModifiedBy>
  <cp:revision>2</cp:revision>
  <dcterms:created xsi:type="dcterms:W3CDTF">2026-07-28T20:02:00Z</dcterms:created>
  <dcterms:modified xsi:type="dcterms:W3CDTF">2026-07-28T20:02:00Z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0b638e0-f50f-48bd-992f-bcb55031a99f_Enabled">
    <vt:lpwstr>true</vt:lpwstr>
  </property>
  <property fmtid="{D5CDD505-2E9C-101B-9397-08002B2CF9AE}" pid="3" name="MSIP_Label_b0b638e0-f50f-48bd-992f-bcb55031a99f_SetDate">
    <vt:lpwstr>2026-07-28T13:46:51Z</vt:lpwstr>
  </property>
  <property fmtid="{D5CDD505-2E9C-101B-9397-08002B2CF9AE}" pid="4" name="MSIP_Label_b0b638e0-f50f-48bd-992f-bcb55031a99f_Method">
    <vt:lpwstr>Standard</vt:lpwstr>
  </property>
  <property fmtid="{D5CDD505-2E9C-101B-9397-08002B2CF9AE}" pid="5" name="MSIP_Label_b0b638e0-f50f-48bd-992f-bcb55031a99f_Name">
    <vt:lpwstr>Confidential Default</vt:lpwstr>
  </property>
  <property fmtid="{D5CDD505-2E9C-101B-9397-08002B2CF9AE}" pid="6" name="MSIP_Label_b0b638e0-f50f-48bd-992f-bcb55031a99f_SiteId">
    <vt:lpwstr>f45ccc07-e57e-4d15-bf6f-f6cbccd2d395</vt:lpwstr>
  </property>
  <property fmtid="{D5CDD505-2E9C-101B-9397-08002B2CF9AE}" pid="7" name="MSIP_Label_b0b638e0-f50f-48bd-992f-bcb55031a99f_ActionId">
    <vt:lpwstr>8145e601-21bc-4df1-b56b-ce6763dd4361</vt:lpwstr>
  </property>
  <property fmtid="{D5CDD505-2E9C-101B-9397-08002B2CF9AE}" pid="8" name="MSIP_Label_b0b638e0-f50f-48bd-992f-bcb55031a99f_ContentBits">
    <vt:lpwstr>0</vt:lpwstr>
  </property>
  <property fmtid="{D5CDD505-2E9C-101B-9397-08002B2CF9AE}" pid="9" name="MSIP_Label_b0b638e0-f50f-48bd-992f-bcb55031a99f_Tag">
    <vt:lpwstr>50, 3, 0, 1</vt:lpwstr>
  </property>
</Properties>
</file>