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D143ED" w14:textId="77777777" w:rsidR="009621AA" w:rsidRDefault="00724E52">
      <w:pPr>
        <w:spacing w:after="60"/>
      </w:pPr>
      <w:r w:rsidRPr="00724E52">
        <w:rPr>
          <w:b/>
          <w:bCs/>
          <w:color w:val="1F4E5F"/>
          <w:sz w:val="44"/>
          <w:szCs w:val="44"/>
        </w:rPr>
        <w:t>Provider Performance Assessment UX Guide</w:t>
      </w:r>
    </w:p>
    <w:p w14:paraId="36988751" w14:textId="77777777" w:rsidR="009621AA" w:rsidRDefault="00515CDB">
      <w:pPr>
        <w:spacing w:after="320"/>
      </w:pPr>
      <w:r w:rsidRPr="00515CDB">
        <w:rPr>
          <w:color w:val="5A6B72"/>
          <w:sz w:val="24"/>
          <w:szCs w:val="24"/>
        </w:rPr>
        <w:t xml:space="preserve">A handoff </w:t>
      </w:r>
      <w:proofErr w:type="gramStart"/>
      <w:r w:rsidRPr="00515CDB">
        <w:rPr>
          <w:color w:val="5A6B72"/>
          <w:sz w:val="24"/>
          <w:szCs w:val="24"/>
        </w:rPr>
        <w:t>outline</w:t>
      </w:r>
      <w:proofErr w:type="gramEnd"/>
      <w:r w:rsidRPr="00515CDB">
        <w:rPr>
          <w:color w:val="5A6B72"/>
          <w:sz w:val="24"/>
          <w:szCs w:val="24"/>
        </w:rPr>
        <w:t xml:space="preserve"> for sustaining and extending the PPA user experience after UX transition</w:t>
      </w:r>
    </w:p>
    <w:tbl>
      <w:tblPr>
        <w:tblW w:w="9360" w:type="dxa"/>
        <w:tblCellMar>
          <w:left w:w="0" w:type="dxa"/>
          <w:right w:w="0" w:type="dxa"/>
        </w:tblCellMar>
        <w:tblLook w:val="04A0" w:firstRow="1" w:lastRow="0" w:firstColumn="1" w:lastColumn="0" w:noHBand="0" w:noVBand="1"/>
      </w:tblPr>
      <w:tblGrid>
        <w:gridCol w:w="2400"/>
        <w:gridCol w:w="6960"/>
      </w:tblGrid>
      <w:tr w:rsidR="00515CDB" w14:paraId="5DD18DA4" w14:textId="77777777">
        <w:trPr>
          <w:tblHeader/>
        </w:trPr>
        <w:tc>
          <w:tcPr>
            <w:tcW w:w="2400" w:type="dxa"/>
            <w:tcBorders>
              <w:top w:val="single" w:sz="8" w:space="0" w:color="C8CFD3"/>
              <w:left w:val="single" w:sz="8" w:space="0" w:color="C8CFD3"/>
              <w:bottom w:val="single" w:sz="8" w:space="0" w:color="C8CFD3"/>
              <w:right w:val="single" w:sz="8" w:space="0" w:color="C8CFD3"/>
            </w:tcBorders>
            <w:shd w:val="clear" w:color="auto" w:fill="1F4E5F"/>
            <w:tcMar>
              <w:top w:w="80" w:type="dxa"/>
              <w:left w:w="120" w:type="dxa"/>
              <w:bottom w:w="80" w:type="dxa"/>
              <w:right w:w="120" w:type="dxa"/>
            </w:tcMar>
            <w:hideMark/>
          </w:tcPr>
          <w:p w14:paraId="6994A3BE" w14:textId="77777777" w:rsidR="00515CDB" w:rsidRDefault="00515CDB">
            <w:r>
              <w:rPr>
                <w:b/>
                <w:bCs/>
                <w:color w:val="FFFFFF"/>
                <w:sz w:val="20"/>
                <w:szCs w:val="20"/>
              </w:rPr>
              <w:t>Field</w:t>
            </w:r>
          </w:p>
        </w:tc>
        <w:tc>
          <w:tcPr>
            <w:tcW w:w="6960" w:type="dxa"/>
            <w:tcBorders>
              <w:top w:val="single" w:sz="8" w:space="0" w:color="C8CFD3"/>
              <w:left w:val="nil"/>
              <w:bottom w:val="single" w:sz="8" w:space="0" w:color="C8CFD3"/>
              <w:right w:val="single" w:sz="8" w:space="0" w:color="C8CFD3"/>
            </w:tcBorders>
            <w:shd w:val="clear" w:color="auto" w:fill="1F4E5F"/>
            <w:tcMar>
              <w:top w:w="80" w:type="dxa"/>
              <w:left w:w="120" w:type="dxa"/>
              <w:bottom w:w="80" w:type="dxa"/>
              <w:right w:w="120" w:type="dxa"/>
            </w:tcMar>
            <w:hideMark/>
          </w:tcPr>
          <w:p w14:paraId="065AA0A5" w14:textId="77777777" w:rsidR="00515CDB" w:rsidRDefault="00515CDB">
            <w:r>
              <w:rPr>
                <w:b/>
                <w:bCs/>
                <w:color w:val="FFFFFF"/>
                <w:sz w:val="20"/>
                <w:szCs w:val="20"/>
              </w:rPr>
              <w:t>Value</w:t>
            </w:r>
          </w:p>
        </w:tc>
      </w:tr>
      <w:tr w:rsidR="00515CDB" w14:paraId="7ED6874B" w14:textId="77777777">
        <w:tc>
          <w:tcPr>
            <w:tcW w:w="2400" w:type="dxa"/>
            <w:tcBorders>
              <w:top w:val="nil"/>
              <w:left w:val="single" w:sz="8" w:space="0" w:color="C8CFD3"/>
              <w:bottom w:val="single" w:sz="8" w:space="0" w:color="C8CFD3"/>
              <w:right w:val="single" w:sz="8" w:space="0" w:color="C8CFD3"/>
            </w:tcBorders>
            <w:tcMar>
              <w:top w:w="80" w:type="dxa"/>
              <w:left w:w="120" w:type="dxa"/>
              <w:bottom w:w="80" w:type="dxa"/>
              <w:right w:w="120" w:type="dxa"/>
            </w:tcMar>
            <w:hideMark/>
          </w:tcPr>
          <w:p w14:paraId="4B33B328" w14:textId="77777777" w:rsidR="00515CDB" w:rsidRDefault="00515CDB">
            <w:r>
              <w:rPr>
                <w:sz w:val="20"/>
                <w:szCs w:val="20"/>
              </w:rPr>
              <w:t>Audience</w:t>
            </w:r>
          </w:p>
        </w:tc>
        <w:tc>
          <w:tcPr>
            <w:tcW w:w="6960" w:type="dxa"/>
            <w:tcBorders>
              <w:top w:val="nil"/>
              <w:left w:val="nil"/>
              <w:bottom w:val="single" w:sz="8" w:space="0" w:color="C8CFD3"/>
              <w:right w:val="single" w:sz="8" w:space="0" w:color="C8CFD3"/>
            </w:tcBorders>
            <w:tcMar>
              <w:top w:w="80" w:type="dxa"/>
              <w:left w:w="120" w:type="dxa"/>
              <w:bottom w:w="80" w:type="dxa"/>
              <w:right w:w="120" w:type="dxa"/>
            </w:tcMar>
            <w:hideMark/>
          </w:tcPr>
          <w:p w14:paraId="196CD28F" w14:textId="77777777" w:rsidR="00515CDB" w:rsidRDefault="00515CDB">
            <w:r>
              <w:rPr>
                <w:sz w:val="20"/>
                <w:szCs w:val="20"/>
              </w:rPr>
              <w:t>PPA product, design, analytics, engineering, provider strategy, and support teams</w:t>
            </w:r>
          </w:p>
        </w:tc>
      </w:tr>
      <w:tr w:rsidR="00515CDB" w14:paraId="46060828" w14:textId="77777777">
        <w:tc>
          <w:tcPr>
            <w:tcW w:w="2400" w:type="dxa"/>
            <w:tcBorders>
              <w:top w:val="nil"/>
              <w:left w:val="single" w:sz="8" w:space="0" w:color="C8CFD3"/>
              <w:bottom w:val="single" w:sz="8" w:space="0" w:color="C8CFD3"/>
              <w:right w:val="single" w:sz="8" w:space="0" w:color="C8CFD3"/>
            </w:tcBorders>
            <w:shd w:val="clear" w:color="auto" w:fill="EFF3F5"/>
            <w:tcMar>
              <w:top w:w="80" w:type="dxa"/>
              <w:left w:w="120" w:type="dxa"/>
              <w:bottom w:w="80" w:type="dxa"/>
              <w:right w:w="120" w:type="dxa"/>
            </w:tcMar>
            <w:hideMark/>
          </w:tcPr>
          <w:p w14:paraId="0711562A" w14:textId="77777777" w:rsidR="00515CDB" w:rsidRDefault="00515CDB">
            <w:r>
              <w:rPr>
                <w:color w:val="000000"/>
                <w:sz w:val="20"/>
                <w:szCs w:val="20"/>
              </w:rPr>
              <w:t>Document owner</w:t>
            </w:r>
          </w:p>
        </w:tc>
        <w:tc>
          <w:tcPr>
            <w:tcW w:w="6960" w:type="dxa"/>
            <w:tcBorders>
              <w:top w:val="nil"/>
              <w:left w:val="nil"/>
              <w:bottom w:val="single" w:sz="8" w:space="0" w:color="C8CFD3"/>
              <w:right w:val="single" w:sz="8" w:space="0" w:color="C8CFD3"/>
            </w:tcBorders>
            <w:shd w:val="clear" w:color="auto" w:fill="EFF3F5"/>
            <w:tcMar>
              <w:top w:w="80" w:type="dxa"/>
              <w:left w:w="120" w:type="dxa"/>
              <w:bottom w:w="80" w:type="dxa"/>
              <w:right w:w="120" w:type="dxa"/>
            </w:tcMar>
            <w:hideMark/>
          </w:tcPr>
          <w:p w14:paraId="3F233DC8" w14:textId="7D17C50F" w:rsidR="00515CDB" w:rsidRDefault="00BB0D4C">
            <w:r>
              <w:rPr>
                <w:color w:val="000000"/>
                <w:sz w:val="20"/>
                <w:szCs w:val="20"/>
              </w:rPr>
              <w:t>Shannon Brown (must update after Sept. 4, 2026)</w:t>
            </w:r>
          </w:p>
        </w:tc>
      </w:tr>
      <w:tr w:rsidR="00515CDB" w14:paraId="4BD44F59" w14:textId="77777777">
        <w:tc>
          <w:tcPr>
            <w:tcW w:w="2400" w:type="dxa"/>
            <w:tcBorders>
              <w:top w:val="nil"/>
              <w:left w:val="single" w:sz="8" w:space="0" w:color="C8CFD3"/>
              <w:bottom w:val="single" w:sz="8" w:space="0" w:color="C8CFD3"/>
              <w:right w:val="single" w:sz="8" w:space="0" w:color="C8CFD3"/>
            </w:tcBorders>
            <w:tcMar>
              <w:top w:w="80" w:type="dxa"/>
              <w:left w:w="120" w:type="dxa"/>
              <w:bottom w:w="80" w:type="dxa"/>
              <w:right w:w="120" w:type="dxa"/>
            </w:tcMar>
            <w:hideMark/>
          </w:tcPr>
          <w:p w14:paraId="7073D2F3" w14:textId="77777777" w:rsidR="00515CDB" w:rsidRDefault="00515CDB">
            <w:r>
              <w:rPr>
                <w:sz w:val="20"/>
                <w:szCs w:val="20"/>
              </w:rPr>
              <w:t>Version</w:t>
            </w:r>
          </w:p>
        </w:tc>
        <w:tc>
          <w:tcPr>
            <w:tcW w:w="6960" w:type="dxa"/>
            <w:tcBorders>
              <w:top w:val="nil"/>
              <w:left w:val="nil"/>
              <w:bottom w:val="single" w:sz="8" w:space="0" w:color="C8CFD3"/>
              <w:right w:val="single" w:sz="8" w:space="0" w:color="C8CFD3"/>
            </w:tcBorders>
            <w:tcMar>
              <w:top w:w="80" w:type="dxa"/>
              <w:left w:w="120" w:type="dxa"/>
              <w:bottom w:w="80" w:type="dxa"/>
              <w:right w:w="120" w:type="dxa"/>
            </w:tcMar>
            <w:hideMark/>
          </w:tcPr>
          <w:p w14:paraId="2670AE1D" w14:textId="77777777" w:rsidR="00515CDB" w:rsidRDefault="00515CDB">
            <w:r>
              <w:rPr>
                <w:sz w:val="20"/>
                <w:szCs w:val="20"/>
              </w:rPr>
              <w:t>1.0 outline</w:t>
            </w:r>
          </w:p>
        </w:tc>
      </w:tr>
      <w:tr w:rsidR="00515CDB" w14:paraId="7C6DA1BF" w14:textId="77777777">
        <w:tc>
          <w:tcPr>
            <w:tcW w:w="2400" w:type="dxa"/>
            <w:tcBorders>
              <w:top w:val="nil"/>
              <w:left w:val="single" w:sz="8" w:space="0" w:color="C8CFD3"/>
              <w:bottom w:val="single" w:sz="8" w:space="0" w:color="C8CFD3"/>
              <w:right w:val="single" w:sz="8" w:space="0" w:color="C8CFD3"/>
            </w:tcBorders>
            <w:shd w:val="clear" w:color="auto" w:fill="EFF3F5"/>
            <w:tcMar>
              <w:top w:w="80" w:type="dxa"/>
              <w:left w:w="120" w:type="dxa"/>
              <w:bottom w:w="80" w:type="dxa"/>
              <w:right w:w="120" w:type="dxa"/>
            </w:tcMar>
            <w:hideMark/>
          </w:tcPr>
          <w:p w14:paraId="2AF4E7BE" w14:textId="77777777" w:rsidR="00515CDB" w:rsidRDefault="00515CDB">
            <w:r>
              <w:rPr>
                <w:color w:val="000000"/>
                <w:sz w:val="20"/>
                <w:szCs w:val="20"/>
              </w:rPr>
              <w:t>Last reviewed</w:t>
            </w:r>
          </w:p>
        </w:tc>
        <w:tc>
          <w:tcPr>
            <w:tcW w:w="6960" w:type="dxa"/>
            <w:tcBorders>
              <w:top w:val="nil"/>
              <w:left w:val="nil"/>
              <w:bottom w:val="single" w:sz="8" w:space="0" w:color="C8CFD3"/>
              <w:right w:val="single" w:sz="8" w:space="0" w:color="C8CFD3"/>
            </w:tcBorders>
            <w:shd w:val="clear" w:color="auto" w:fill="EFF3F5"/>
            <w:tcMar>
              <w:top w:w="80" w:type="dxa"/>
              <w:left w:w="120" w:type="dxa"/>
              <w:bottom w:w="80" w:type="dxa"/>
              <w:right w:w="120" w:type="dxa"/>
            </w:tcMar>
            <w:hideMark/>
          </w:tcPr>
          <w:p w14:paraId="106B38C5" w14:textId="4B44089B" w:rsidR="00515CDB" w:rsidRDefault="00CB130F">
            <w:r>
              <w:t>July 28, 2026</w:t>
            </w:r>
          </w:p>
        </w:tc>
      </w:tr>
      <w:tr w:rsidR="00515CDB" w14:paraId="4D2F65E7" w14:textId="77777777">
        <w:tc>
          <w:tcPr>
            <w:tcW w:w="2400" w:type="dxa"/>
            <w:tcBorders>
              <w:top w:val="nil"/>
              <w:left w:val="single" w:sz="8" w:space="0" w:color="C8CFD3"/>
              <w:bottom w:val="single" w:sz="8" w:space="0" w:color="C8CFD3"/>
              <w:right w:val="single" w:sz="8" w:space="0" w:color="C8CFD3"/>
            </w:tcBorders>
            <w:tcMar>
              <w:top w:w="80" w:type="dxa"/>
              <w:left w:w="120" w:type="dxa"/>
              <w:bottom w:w="80" w:type="dxa"/>
              <w:right w:w="120" w:type="dxa"/>
            </w:tcMar>
            <w:hideMark/>
          </w:tcPr>
          <w:p w14:paraId="14E327D5" w14:textId="77777777" w:rsidR="00515CDB" w:rsidRDefault="00515CDB">
            <w:r>
              <w:rPr>
                <w:sz w:val="20"/>
                <w:szCs w:val="20"/>
              </w:rPr>
              <w:t>Next review due</w:t>
            </w:r>
          </w:p>
        </w:tc>
        <w:tc>
          <w:tcPr>
            <w:tcW w:w="6960" w:type="dxa"/>
            <w:tcBorders>
              <w:top w:val="nil"/>
              <w:left w:val="nil"/>
              <w:bottom w:val="single" w:sz="8" w:space="0" w:color="C8CFD3"/>
              <w:right w:val="single" w:sz="8" w:space="0" w:color="C8CFD3"/>
            </w:tcBorders>
            <w:tcMar>
              <w:top w:w="80" w:type="dxa"/>
              <w:left w:w="120" w:type="dxa"/>
              <w:bottom w:w="80" w:type="dxa"/>
              <w:right w:w="120" w:type="dxa"/>
            </w:tcMar>
            <w:hideMark/>
          </w:tcPr>
          <w:p w14:paraId="697BCB33" w14:textId="178ACE06" w:rsidR="00515CDB" w:rsidRDefault="00CB130F">
            <w:r>
              <w:rPr>
                <w:sz w:val="20"/>
                <w:szCs w:val="20"/>
              </w:rPr>
              <w:t>Quarterly; TBD</w:t>
            </w:r>
          </w:p>
        </w:tc>
      </w:tr>
    </w:tbl>
    <w:p w14:paraId="7D7756DF" w14:textId="77777777" w:rsidR="00373FF0" w:rsidRDefault="00373FF0" w:rsidP="00373FF0">
      <w:pPr>
        <w:spacing w:after="200"/>
      </w:pPr>
    </w:p>
    <w:p w14:paraId="1AFD0261" w14:textId="77777777" w:rsidR="009621AA" w:rsidRDefault="00DE3EE6">
      <w:pPr>
        <w:spacing w:before="160" w:after="200"/>
      </w:pPr>
      <w:r w:rsidRPr="00DE3EE6">
        <w:rPr>
          <w:i/>
          <w:iCs/>
        </w:rPr>
        <w:t>This guide is meant to keep PPA’s UX intent intact after handoff. If ownership is unclear, pause major UX changes until a product owner, data owner, and design/research owner are named.</w:t>
      </w:r>
    </w:p>
    <w:p w14:paraId="35847592" w14:textId="77777777" w:rsidR="009621AA" w:rsidRDefault="00000000" w:rsidP="00EA0B10">
      <w:pPr>
        <w:pStyle w:val="Heading1"/>
        <w:spacing w:after="160"/>
        <w:rPr>
          <w:rFonts w:cstheme="minorBidi"/>
        </w:rPr>
      </w:pPr>
      <w:r w:rsidRPr="00EA0B10">
        <w:rPr>
          <w:rFonts w:cstheme="minorBidi"/>
        </w:rPr>
        <w:t xml:space="preserve">How to use this </w:t>
      </w:r>
      <w:r w:rsidR="00EA0B10" w:rsidRPr="00EA0B10">
        <w:rPr>
          <w:rFonts w:cstheme="minorBidi"/>
        </w:rPr>
        <w:t>guide</w:t>
      </w:r>
    </w:p>
    <w:p w14:paraId="1EEEB3A0" w14:textId="77777777" w:rsidR="009621AA" w:rsidRDefault="006D221F">
      <w:pPr>
        <w:spacing w:after="120"/>
      </w:pPr>
      <w:r w:rsidRPr="006D221F">
        <w:t>Use this document as the UX continuity outline for the Provider Performance Assessment tool. It captures the experience strategy, core workflows, design principles, research inputs, decision rules, and handoff expectations needed to keep PPA useful after the current UX lead has transitioned.</w:t>
      </w:r>
    </w:p>
    <w:p w14:paraId="3D3F6A6A" w14:textId="77777777" w:rsidR="009621AA" w:rsidRDefault="00D20645">
      <w:pPr>
        <w:spacing w:after="120"/>
      </w:pPr>
      <w:r w:rsidRPr="00D20645">
        <w:rPr>
          <w:b/>
          <w:bCs/>
        </w:rPr>
        <w:t>The central UX rule:</w:t>
      </w:r>
      <w:r w:rsidRPr="00D20645">
        <w:t xml:space="preserve"> PPA should help users move from “what is happening?” to “why does it matter?” to “what should I do next?” Do not add metrics, pages, or tables unless they support that workflow.</w:t>
      </w:r>
    </w:p>
    <w:p w14:paraId="1BD96690" w14:textId="77777777" w:rsidR="00373FF0" w:rsidRDefault="00373FF0" w:rsidP="00373FF0">
      <w:pPr>
        <w:pBdr>
          <w:bottom w:val="single" w:sz="6" w:space="6" w:color="C8CFD3"/>
        </w:pBdr>
        <w:spacing w:before="200" w:after="200"/>
      </w:pPr>
    </w:p>
    <w:p w14:paraId="7E4063A6" w14:textId="22872922" w:rsidR="00373FF0" w:rsidRDefault="00373FF0" w:rsidP="00373FF0">
      <w:pPr>
        <w:pStyle w:val="Heading1"/>
        <w:spacing w:after="160"/>
      </w:pPr>
      <w:r>
        <w:t xml:space="preserve">Phase 1 — </w:t>
      </w:r>
      <w:r w:rsidR="0025115E">
        <w:t>Lean Canvas</w:t>
      </w:r>
    </w:p>
    <w:p w14:paraId="574C4079" w14:textId="77777777" w:rsidR="00EF45C1" w:rsidRDefault="003274FE" w:rsidP="003274FE">
      <w:pPr>
        <w:spacing w:after="120"/>
      </w:pPr>
      <w:r w:rsidRPr="003274FE">
        <w:rPr>
          <w:b/>
          <w:bCs/>
        </w:rPr>
        <w:t xml:space="preserve">Template: </w:t>
      </w:r>
      <w:hyperlink r:id="rId5" w:history="1">
        <w:r w:rsidRPr="003274FE">
          <w:rPr>
            <w:rStyle w:val="Hyperlink"/>
          </w:rPr>
          <w:t>Lean-UX-Canvas-Template-v4-12.31.2024</w:t>
        </w:r>
      </w:hyperlink>
    </w:p>
    <w:p w14:paraId="7462C8F0" w14:textId="03F84643" w:rsidR="003274FE" w:rsidRPr="00EF45C1" w:rsidRDefault="00F671E2" w:rsidP="003274FE">
      <w:pPr>
        <w:spacing w:after="120"/>
      </w:pPr>
      <w:r>
        <w:rPr>
          <w:b/>
          <w:bCs/>
        </w:rPr>
        <w:t>How To</w:t>
      </w:r>
      <w:r w:rsidR="00EF45C1" w:rsidRPr="00EF45C1">
        <w:rPr>
          <w:b/>
          <w:bCs/>
        </w:rPr>
        <w:t xml:space="preserve">:  </w:t>
      </w:r>
      <w:hyperlink r:id="rId6" w:history="1">
        <w:r>
          <w:rPr>
            <w:rStyle w:val="Hyperlink"/>
          </w:rPr>
          <w:t xml:space="preserve">Creating a Minimum Lovable Product with Lean Canvas  </w:t>
        </w:r>
      </w:hyperlink>
      <w:r w:rsidR="003274FE" w:rsidRPr="00EF45C1">
        <w:t xml:space="preserve"> </w:t>
      </w:r>
    </w:p>
    <w:p w14:paraId="5220D6ED" w14:textId="77777777" w:rsidR="00BA7669" w:rsidRDefault="00BA7669" w:rsidP="00BA7669">
      <w:pPr>
        <w:spacing w:after="120"/>
        <w:rPr>
          <w:b/>
          <w:bCs/>
        </w:rPr>
      </w:pPr>
      <w:r w:rsidRPr="00BA7669">
        <w:rPr>
          <w:b/>
          <w:bCs/>
        </w:rPr>
        <w:t>What it Does:</w:t>
      </w:r>
    </w:p>
    <w:p w14:paraId="547879AD" w14:textId="77777777" w:rsidR="00B165A1" w:rsidRDefault="00B165A1" w:rsidP="00B165A1">
      <w:pPr>
        <w:spacing w:after="120"/>
      </w:pPr>
      <w:r w:rsidRPr="002B23F6">
        <w:t xml:space="preserve">Use Lean Canvas at the start of PPA work to align the product team, business stakeholders, analytics partners, and UX around the problem being solved before prototype or build decisions are made. </w:t>
      </w:r>
    </w:p>
    <w:p w14:paraId="4C560E5B" w14:textId="11004341" w:rsidR="00BA7669" w:rsidRDefault="00BA7669" w:rsidP="00BA7669">
      <w:pPr>
        <w:spacing w:after="120"/>
      </w:pPr>
      <w:r>
        <w:t>The tool</w:t>
      </w:r>
      <w:r w:rsidRPr="002B23F6">
        <w:t xml:space="preserve"> defines the business case, primary users, provider performance questions, data needs, use cases, existing solution gaps, success measures, and launch/support considerations. It works by bringing stakeholders into a structured working session, capturing concise answers, and flagging discovery gaps that must be resolved before moving forward. </w:t>
      </w:r>
    </w:p>
    <w:p w14:paraId="0293DA51" w14:textId="3A64E86F" w:rsidR="00BA7669" w:rsidRPr="00BA7669" w:rsidRDefault="00BA7669">
      <w:pPr>
        <w:spacing w:after="120"/>
        <w:rPr>
          <w:b/>
          <w:bCs/>
        </w:rPr>
      </w:pPr>
      <w:r>
        <w:rPr>
          <w:b/>
          <w:bCs/>
        </w:rPr>
        <w:t>Benefits:</w:t>
      </w:r>
    </w:p>
    <w:p w14:paraId="6D1D7ED8" w14:textId="72BFB06B" w:rsidR="00082CD5" w:rsidRDefault="00E0557F">
      <w:pPr>
        <w:spacing w:after="120"/>
      </w:pPr>
      <w:r>
        <w:t>Starting a project with Lean Canvas</w:t>
      </w:r>
      <w:r w:rsidR="002B23F6" w:rsidRPr="002B23F6">
        <w:t xml:space="preserve"> reduces guesswork, prevents scope creep, exposes gaps in understanding, creates a shared record of the original ask, and ensures the PPA experience is anchored in real user decisions rather than dashboard feature requests. </w:t>
      </w:r>
    </w:p>
    <w:p w14:paraId="31A2E49D" w14:textId="77777777" w:rsidR="00A5509D" w:rsidRDefault="00A5509D" w:rsidP="00A5509D">
      <w:pPr>
        <w:pBdr>
          <w:bottom w:val="single" w:sz="6" w:space="6" w:color="C8CFD3"/>
        </w:pBdr>
        <w:spacing w:before="200" w:after="200"/>
      </w:pPr>
    </w:p>
    <w:p w14:paraId="30C9E8A5" w14:textId="2FD5B26A" w:rsidR="00373FF0" w:rsidRDefault="00373FF0" w:rsidP="00373FF0">
      <w:pPr>
        <w:pStyle w:val="Heading1"/>
        <w:spacing w:after="160"/>
      </w:pPr>
      <w:r>
        <w:t xml:space="preserve">Phase 2 — </w:t>
      </w:r>
      <w:r w:rsidR="00A5509D">
        <w:t>Prototype</w:t>
      </w:r>
    </w:p>
    <w:p w14:paraId="7E890FFA" w14:textId="4EEA447E" w:rsidR="00373FF0" w:rsidRDefault="00596210" w:rsidP="00373FF0">
      <w:pPr>
        <w:pStyle w:val="ListParagraph"/>
        <w:numPr>
          <w:ilvl w:val="0"/>
          <w:numId w:val="1"/>
        </w:numPr>
        <w:spacing w:after="60"/>
        <w:contextualSpacing w:val="0"/>
      </w:pPr>
      <w:r>
        <w:t xml:space="preserve">Lean Canvas and any raw notes </w:t>
      </w:r>
      <w:proofErr w:type="gramStart"/>
      <w:r>
        <w:t>is</w:t>
      </w:r>
      <w:proofErr w:type="gramEnd"/>
      <w:r>
        <w:t xml:space="preserve"> shared in Windsurf.  Clearly state user personas and use cases.</w:t>
      </w:r>
    </w:p>
    <w:p w14:paraId="52EF5BEE" w14:textId="10CADA34" w:rsidR="00596210" w:rsidRDefault="004B7499" w:rsidP="00373FF0">
      <w:pPr>
        <w:pStyle w:val="ListParagraph"/>
        <w:numPr>
          <w:ilvl w:val="0"/>
          <w:numId w:val="1"/>
        </w:numPr>
        <w:spacing w:after="60"/>
        <w:contextualSpacing w:val="0"/>
      </w:pPr>
      <w:r>
        <w:t>Ask the tool to reference the PPA design system for key fonts, colors, visualizations and other components.</w:t>
      </w:r>
    </w:p>
    <w:p w14:paraId="06DCC25F" w14:textId="77777777" w:rsidR="00373FF0" w:rsidRDefault="00373FF0" w:rsidP="00373FF0">
      <w:pPr>
        <w:pBdr>
          <w:bottom w:val="single" w:sz="6" w:space="6" w:color="C8CFD3"/>
        </w:pBdr>
        <w:spacing w:before="200" w:after="200"/>
      </w:pPr>
    </w:p>
    <w:p w14:paraId="5E197C6B" w14:textId="0022AEB4" w:rsidR="00373FF0" w:rsidRDefault="00373FF0" w:rsidP="00373FF0">
      <w:pPr>
        <w:pStyle w:val="Heading1"/>
        <w:spacing w:after="160"/>
      </w:pPr>
      <w:r>
        <w:t xml:space="preserve">Phase 3 — </w:t>
      </w:r>
      <w:r w:rsidR="00A5509D">
        <w:t>Test &amp; Refine</w:t>
      </w:r>
    </w:p>
    <w:p w14:paraId="5612FADC" w14:textId="77777777" w:rsidR="00C45B42" w:rsidRDefault="00C45B42" w:rsidP="00C45B42">
      <w:pPr>
        <w:spacing w:after="60"/>
      </w:pPr>
      <w:r w:rsidRPr="00C45B42">
        <w:rPr>
          <w:b/>
          <w:bCs/>
        </w:rPr>
        <w:t>UX Best Practices</w:t>
      </w:r>
      <w:r w:rsidRPr="00C45B42">
        <w:rPr>
          <w:b/>
          <w:bCs/>
        </w:rPr>
        <w:br/>
      </w:r>
    </w:p>
    <w:p w14:paraId="701CCB07" w14:textId="573A4BBE" w:rsidR="00373FF0" w:rsidRDefault="00C45B42" w:rsidP="00C45B42">
      <w:pPr>
        <w:pStyle w:val="ListParagraph"/>
        <w:numPr>
          <w:ilvl w:val="0"/>
          <w:numId w:val="2"/>
        </w:numPr>
        <w:spacing w:after="60"/>
      </w:pPr>
      <w:r>
        <w:t>Always t</w:t>
      </w:r>
      <w:r w:rsidR="00416917">
        <w:t>est prototype by sharing with end users</w:t>
      </w:r>
      <w:r w:rsidR="00752866">
        <w:t>, not just stakeholders</w:t>
      </w:r>
      <w:r w:rsidR="00416917">
        <w:t xml:space="preserve">. </w:t>
      </w:r>
    </w:p>
    <w:p w14:paraId="48C4B6B1" w14:textId="58EDE2D9" w:rsidR="00C45B42" w:rsidRDefault="008D0861" w:rsidP="00C45B42">
      <w:pPr>
        <w:pStyle w:val="ListParagraph"/>
        <w:numPr>
          <w:ilvl w:val="0"/>
          <w:numId w:val="2"/>
        </w:numPr>
        <w:spacing w:after="60"/>
      </w:pPr>
      <w:r>
        <w:t xml:space="preserve">For best results, 1:1 </w:t>
      </w:r>
      <w:proofErr w:type="gramStart"/>
      <w:r>
        <w:t>reviews</w:t>
      </w:r>
      <w:proofErr w:type="gramEnd"/>
      <w:r>
        <w:t xml:space="preserve"> are optimal.  Focus groups are faster, but yield lower quality insights</w:t>
      </w:r>
    </w:p>
    <w:p w14:paraId="56EE8D1A" w14:textId="1CE93843" w:rsidR="00992040" w:rsidRDefault="00416917" w:rsidP="008D0861">
      <w:pPr>
        <w:pStyle w:val="ListParagraph"/>
        <w:numPr>
          <w:ilvl w:val="0"/>
          <w:numId w:val="2"/>
        </w:numPr>
        <w:spacing w:after="60"/>
        <w:contextualSpacing w:val="0"/>
      </w:pPr>
      <w:r>
        <w:t xml:space="preserve">Do not </w:t>
      </w:r>
      <w:proofErr w:type="gramStart"/>
      <w:r>
        <w:t>demo;  Instead</w:t>
      </w:r>
      <w:proofErr w:type="gramEnd"/>
      <w:r>
        <w:t xml:space="preserve"> ask them how they w</w:t>
      </w:r>
      <w:r w:rsidR="00992040">
        <w:t>ould use the tool to capture key insights or satisfy important use cases.</w:t>
      </w:r>
    </w:p>
    <w:p w14:paraId="7B39CCDF" w14:textId="01A9042A" w:rsidR="008D0861" w:rsidRDefault="008D0861" w:rsidP="008D0861">
      <w:pPr>
        <w:pStyle w:val="ListParagraph"/>
        <w:numPr>
          <w:ilvl w:val="0"/>
          <w:numId w:val="2"/>
        </w:numPr>
        <w:spacing w:after="60"/>
        <w:contextualSpacing w:val="0"/>
      </w:pPr>
      <w:r>
        <w:t xml:space="preserve">Refine the prototype and test </w:t>
      </w:r>
      <w:proofErr w:type="gramStart"/>
      <w:r>
        <w:t>again;  Continue</w:t>
      </w:r>
      <w:proofErr w:type="gramEnd"/>
      <w:r>
        <w:t xml:space="preserve"> until there is confidence the </w:t>
      </w:r>
      <w:r w:rsidR="00752866">
        <w:t>tool meets their needs.</w:t>
      </w:r>
    </w:p>
    <w:p w14:paraId="066DFFB4" w14:textId="77777777" w:rsidR="00373FF0" w:rsidRDefault="00373FF0" w:rsidP="00373FF0">
      <w:pPr>
        <w:pBdr>
          <w:bottom w:val="single" w:sz="6" w:space="6" w:color="C8CFD3"/>
        </w:pBdr>
        <w:spacing w:before="200" w:after="200"/>
      </w:pPr>
    </w:p>
    <w:p w14:paraId="44F7459A" w14:textId="1ADE64CB" w:rsidR="00373FF0" w:rsidRDefault="00373FF0" w:rsidP="00373FF0">
      <w:pPr>
        <w:pStyle w:val="Heading1"/>
        <w:spacing w:after="160"/>
      </w:pPr>
      <w:r>
        <w:t xml:space="preserve">Phase 4 — </w:t>
      </w:r>
      <w:r w:rsidR="0029092A">
        <w:t>Hand off to Engineering</w:t>
      </w:r>
    </w:p>
    <w:p w14:paraId="543F32B8" w14:textId="77777777" w:rsidR="0029092A" w:rsidRDefault="0029092A" w:rsidP="0029092A">
      <w:pPr>
        <w:pBdr>
          <w:bottom w:val="single" w:sz="6" w:space="6" w:color="C8CFD3"/>
        </w:pBdr>
        <w:spacing w:before="200" w:after="200"/>
      </w:pPr>
    </w:p>
    <w:p w14:paraId="1BAEBF2B" w14:textId="51FA607A" w:rsidR="00373FF0" w:rsidRDefault="007714F0" w:rsidP="00373FF0">
      <w:pPr>
        <w:pStyle w:val="Heading1"/>
        <w:spacing w:after="160"/>
      </w:pPr>
      <w:r>
        <w:t>Assets</w:t>
      </w:r>
    </w:p>
    <w:p w14:paraId="19E892BD" w14:textId="24DDB10A" w:rsidR="00373FF0" w:rsidRDefault="002B75C5" w:rsidP="00373FF0">
      <w:pPr>
        <w:spacing w:after="120"/>
      </w:pPr>
      <w:r>
        <w:t xml:space="preserve">All </w:t>
      </w:r>
      <w:r>
        <w:t>prototype</w:t>
      </w:r>
      <w:r>
        <w:t>s</w:t>
      </w:r>
      <w:r>
        <w:t xml:space="preserve"> </w:t>
      </w:r>
      <w:r>
        <w:t>were</w:t>
      </w:r>
      <w:r>
        <w:t xml:space="preserve"> built in Windsurf</w:t>
      </w:r>
      <w:r>
        <w:t xml:space="preserve"> </w:t>
      </w:r>
      <w:r w:rsidR="001D4016">
        <w:t>(</w:t>
      </w:r>
      <w:r>
        <w:t>AI</w:t>
      </w:r>
      <w:r w:rsidR="001D4016">
        <w:t>)</w:t>
      </w:r>
      <w:r>
        <w:t>.</w:t>
      </w:r>
    </w:p>
    <w:tbl>
      <w:tblPr>
        <w:tblW w:w="9720" w:type="dxa"/>
        <w:tblBorders>
          <w:top w:val="single" w:sz="2" w:space="0" w:color="C8CFD3"/>
          <w:left w:val="single" w:sz="2" w:space="0" w:color="C8CFD3"/>
          <w:bottom w:val="single" w:sz="2" w:space="0" w:color="C8CFD3"/>
          <w:right w:val="single" w:sz="2" w:space="0" w:color="C8CFD3"/>
          <w:insideH w:val="single" w:sz="2" w:space="0" w:color="C8CFD3"/>
          <w:insideV w:val="single" w:sz="2" w:space="0" w:color="C8CFD3"/>
        </w:tblBorders>
        <w:tblCellMar>
          <w:left w:w="10" w:type="dxa"/>
          <w:right w:w="10" w:type="dxa"/>
        </w:tblCellMar>
        <w:tblLook w:val="04A0" w:firstRow="1" w:lastRow="0" w:firstColumn="1" w:lastColumn="0" w:noHBand="0" w:noVBand="1"/>
      </w:tblPr>
      <w:tblGrid>
        <w:gridCol w:w="1800"/>
        <w:gridCol w:w="2067"/>
        <w:gridCol w:w="5853"/>
      </w:tblGrid>
      <w:tr w:rsidR="00373FF0" w14:paraId="6AC4F081" w14:textId="77777777" w:rsidTr="00AB2628">
        <w:tblPrEx>
          <w:tblCellMar>
            <w:top w:w="0" w:type="dxa"/>
            <w:bottom w:w="0" w:type="dxa"/>
          </w:tblCellMar>
        </w:tblPrEx>
        <w:trPr>
          <w:tblHeader/>
        </w:trPr>
        <w:tc>
          <w:tcPr>
            <w:tcW w:w="1800" w:type="dxa"/>
            <w:shd w:val="clear" w:color="auto" w:fill="1F4E5F"/>
            <w:tcMar>
              <w:top w:w="80" w:type="dxa"/>
              <w:left w:w="120" w:type="dxa"/>
              <w:bottom w:w="80" w:type="dxa"/>
              <w:right w:w="120" w:type="dxa"/>
            </w:tcMar>
          </w:tcPr>
          <w:p w14:paraId="0A522665" w14:textId="44545E6E" w:rsidR="00373FF0" w:rsidRDefault="00AB39CB" w:rsidP="00B7322F">
            <w:r>
              <w:rPr>
                <w:b/>
                <w:bCs/>
                <w:color w:val="FFFFFF"/>
                <w:sz w:val="20"/>
                <w:szCs w:val="20"/>
              </w:rPr>
              <w:t>Section</w:t>
            </w:r>
          </w:p>
        </w:tc>
        <w:tc>
          <w:tcPr>
            <w:tcW w:w="2067" w:type="dxa"/>
            <w:shd w:val="clear" w:color="auto" w:fill="1F4E5F"/>
            <w:tcMar>
              <w:top w:w="80" w:type="dxa"/>
              <w:left w:w="120" w:type="dxa"/>
              <w:bottom w:w="80" w:type="dxa"/>
              <w:right w:w="120" w:type="dxa"/>
            </w:tcMar>
          </w:tcPr>
          <w:p w14:paraId="0C9799FB" w14:textId="0BE307BF" w:rsidR="00373FF0" w:rsidRDefault="00AB39CB" w:rsidP="00B7322F">
            <w:r>
              <w:rPr>
                <w:b/>
                <w:bCs/>
                <w:color w:val="FFFFFF"/>
                <w:sz w:val="20"/>
                <w:szCs w:val="20"/>
              </w:rPr>
              <w:t>Links</w:t>
            </w:r>
          </w:p>
        </w:tc>
        <w:tc>
          <w:tcPr>
            <w:tcW w:w="5853" w:type="dxa"/>
            <w:shd w:val="clear" w:color="auto" w:fill="1F4E5F"/>
            <w:tcMar>
              <w:top w:w="80" w:type="dxa"/>
              <w:left w:w="120" w:type="dxa"/>
              <w:bottom w:w="80" w:type="dxa"/>
              <w:right w:w="120" w:type="dxa"/>
            </w:tcMar>
          </w:tcPr>
          <w:p w14:paraId="2EFAE8E2" w14:textId="10E07FBF" w:rsidR="00373FF0" w:rsidRDefault="00AB39CB" w:rsidP="00B7322F">
            <w:r>
              <w:rPr>
                <w:b/>
                <w:bCs/>
                <w:color w:val="FFFFFF"/>
                <w:sz w:val="20"/>
                <w:szCs w:val="20"/>
              </w:rPr>
              <w:t>Notes</w:t>
            </w:r>
          </w:p>
        </w:tc>
      </w:tr>
      <w:tr w:rsidR="0033565E" w14:paraId="4755EB70" w14:textId="77777777" w:rsidTr="00AB2628">
        <w:tblPrEx>
          <w:tblCellMar>
            <w:top w:w="0" w:type="dxa"/>
            <w:bottom w:w="0" w:type="dxa"/>
          </w:tblCellMar>
        </w:tblPrEx>
        <w:tc>
          <w:tcPr>
            <w:tcW w:w="1800" w:type="dxa"/>
            <w:tcMar>
              <w:top w:w="80" w:type="dxa"/>
              <w:left w:w="120" w:type="dxa"/>
              <w:bottom w:w="80" w:type="dxa"/>
              <w:right w:w="120" w:type="dxa"/>
            </w:tcMar>
          </w:tcPr>
          <w:p w14:paraId="204B6CDE" w14:textId="47E59F35" w:rsidR="0033565E" w:rsidRPr="001E08E5" w:rsidRDefault="0033565E" w:rsidP="0033565E">
            <w:r w:rsidRPr="001E08E5">
              <w:rPr>
                <w:b/>
                <w:bCs/>
              </w:rPr>
              <w:t>Style Guide</w:t>
            </w:r>
          </w:p>
        </w:tc>
        <w:tc>
          <w:tcPr>
            <w:tcW w:w="2067" w:type="dxa"/>
            <w:tcMar>
              <w:top w:w="80" w:type="dxa"/>
              <w:left w:w="120" w:type="dxa"/>
              <w:bottom w:w="80" w:type="dxa"/>
              <w:right w:w="120" w:type="dxa"/>
            </w:tcMar>
          </w:tcPr>
          <w:p w14:paraId="089C38A0" w14:textId="6E60901F" w:rsidR="0033565E" w:rsidRPr="001E08E5" w:rsidRDefault="00BC1E3A" w:rsidP="0033565E">
            <w:hyperlink r:id="rId7" w:history="1">
              <w:r w:rsidR="00C4410B" w:rsidRPr="00BC1E3A">
                <w:rPr>
                  <w:rStyle w:val="Hyperlink"/>
                </w:rPr>
                <w:t>Guide Link</w:t>
              </w:r>
            </w:hyperlink>
          </w:p>
        </w:tc>
        <w:tc>
          <w:tcPr>
            <w:tcW w:w="5853" w:type="dxa"/>
            <w:tcMar>
              <w:top w:w="80" w:type="dxa"/>
              <w:left w:w="120" w:type="dxa"/>
              <w:bottom w:w="80" w:type="dxa"/>
              <w:right w:w="120" w:type="dxa"/>
            </w:tcMar>
          </w:tcPr>
          <w:p w14:paraId="6C34F989" w14:textId="295BAE8F" w:rsidR="0033565E" w:rsidRPr="001E08E5" w:rsidRDefault="00C15D0C" w:rsidP="00C15D0C">
            <w:r w:rsidRPr="00C15D0C">
              <w:t>This file documents the PPA tool’s approved colors, fonts, layouts, visualization standards, and reusable interface components. It also includes</w:t>
            </w:r>
            <w:r w:rsidR="00000000">
              <w:t xml:space="preserve"> </w:t>
            </w:r>
            <w:r w:rsidR="00000000">
              <w:t>HTML s</w:t>
            </w:r>
            <w:r w:rsidR="00000000">
              <w:t xml:space="preserve">nippets to </w:t>
            </w:r>
            <w:r w:rsidRPr="00C15D0C">
              <w:t>support engineering implementation and</w:t>
            </w:r>
            <w:r w:rsidR="00000000">
              <w:t xml:space="preserve"> a link to the Power BI te</w:t>
            </w:r>
            <w:r w:rsidR="00000000">
              <w:t xml:space="preserve">mplate </w:t>
            </w:r>
            <w:r w:rsidR="00000000">
              <w:t>for th</w:t>
            </w:r>
            <w:r w:rsidR="00000000">
              <w:t>e BI soluti</w:t>
            </w:r>
            <w:r w:rsidR="00000000">
              <w:t>on.</w:t>
            </w:r>
          </w:p>
        </w:tc>
      </w:tr>
      <w:tr w:rsidR="0033565E" w14:paraId="5E3778D7" w14:textId="77777777" w:rsidTr="00AB2628">
        <w:tblPrEx>
          <w:tblCellMar>
            <w:top w:w="0" w:type="dxa"/>
            <w:bottom w:w="0" w:type="dxa"/>
          </w:tblCellMar>
        </w:tblPrEx>
        <w:tc>
          <w:tcPr>
            <w:tcW w:w="1800" w:type="dxa"/>
            <w:shd w:val="clear" w:color="auto" w:fill="EFF3F5"/>
            <w:tcMar>
              <w:top w:w="80" w:type="dxa"/>
              <w:left w:w="120" w:type="dxa"/>
              <w:bottom w:w="80" w:type="dxa"/>
              <w:right w:w="120" w:type="dxa"/>
            </w:tcMar>
          </w:tcPr>
          <w:p w14:paraId="46360C77" w14:textId="311DF788" w:rsidR="0033565E" w:rsidRPr="001E08E5" w:rsidRDefault="00CA0D46" w:rsidP="0033565E">
            <w:pPr>
              <w:rPr>
                <w:b/>
                <w:bCs/>
              </w:rPr>
            </w:pPr>
            <w:r w:rsidRPr="001E08E5">
              <w:rPr>
                <w:b/>
                <w:bCs/>
              </w:rPr>
              <w:t>Pharmacy</w:t>
            </w:r>
            <w:r w:rsidRPr="001E08E5">
              <w:rPr>
                <w:b/>
                <w:bCs/>
              </w:rPr>
              <w:t xml:space="preserve"> </w:t>
            </w:r>
          </w:p>
        </w:tc>
        <w:tc>
          <w:tcPr>
            <w:tcW w:w="2067" w:type="dxa"/>
            <w:shd w:val="clear" w:color="auto" w:fill="EFF3F5"/>
            <w:tcMar>
              <w:top w:w="80" w:type="dxa"/>
              <w:left w:w="120" w:type="dxa"/>
              <w:bottom w:w="80" w:type="dxa"/>
              <w:right w:w="120" w:type="dxa"/>
            </w:tcMar>
          </w:tcPr>
          <w:p w14:paraId="6FC4E987" w14:textId="49BA7982" w:rsidR="0033565E" w:rsidRPr="001E08E5" w:rsidRDefault="007C2DEC" w:rsidP="0033565E">
            <w:hyperlink r:id="rId8" w:history="1">
              <w:r w:rsidR="00CA0D46" w:rsidRPr="007C2DEC">
                <w:rPr>
                  <w:rStyle w:val="Hyperlink"/>
                </w:rPr>
                <w:t>Lean Canvas</w:t>
              </w:r>
            </w:hyperlink>
          </w:p>
          <w:p w14:paraId="228916D6" w14:textId="057C7E28" w:rsidR="00CA0D46" w:rsidRPr="001E08E5" w:rsidRDefault="002113DD" w:rsidP="0033565E">
            <w:hyperlink r:id="rId9" w:history="1">
              <w:r w:rsidR="00CF375A" w:rsidRPr="002113DD">
                <w:rPr>
                  <w:rStyle w:val="Hyperlink"/>
                </w:rPr>
                <w:t>Prototype</w:t>
              </w:r>
            </w:hyperlink>
            <w:r w:rsidR="00CF375A" w:rsidRPr="001E08E5">
              <w:t xml:space="preserve"> </w:t>
            </w:r>
          </w:p>
        </w:tc>
        <w:tc>
          <w:tcPr>
            <w:tcW w:w="5853" w:type="dxa"/>
            <w:shd w:val="clear" w:color="auto" w:fill="EFF3F5"/>
            <w:tcMar>
              <w:top w:w="80" w:type="dxa"/>
              <w:left w:w="120" w:type="dxa"/>
              <w:bottom w:w="80" w:type="dxa"/>
              <w:right w:w="120" w:type="dxa"/>
            </w:tcMar>
          </w:tcPr>
          <w:p w14:paraId="003DCEE9" w14:textId="3CE99E45" w:rsidR="0033565E" w:rsidRPr="001E08E5" w:rsidRDefault="006E1319" w:rsidP="006E1319">
            <w:r w:rsidRPr="006E1319">
              <w:rPr>
                <w:color w:val="000000"/>
              </w:rPr>
              <w:t>This</w:t>
            </w:r>
            <w:r w:rsidR="00000000" w:rsidRPr="001E08E5">
              <w:t xml:space="preserve"> </w:t>
            </w:r>
            <w:r w:rsidR="00000000" w:rsidRPr="001E08E5">
              <w:t xml:space="preserve">section </w:t>
            </w:r>
            <w:r w:rsidRPr="006E1319">
              <w:rPr>
                <w:color w:val="000000"/>
              </w:rPr>
              <w:t>is</w:t>
            </w:r>
            <w:r w:rsidR="00000000" w:rsidRPr="001E08E5">
              <w:t xml:space="preserve"> the mos</w:t>
            </w:r>
            <w:r w:rsidR="00000000" w:rsidRPr="001E08E5">
              <w:t xml:space="preserve">t </w:t>
            </w:r>
            <w:r w:rsidRPr="006E1319">
              <w:rPr>
                <w:color w:val="000000"/>
              </w:rPr>
              <w:t>mature area</w:t>
            </w:r>
            <w:r w:rsidR="00000000" w:rsidRPr="001E08E5">
              <w:t xml:space="preserve"> of </w:t>
            </w:r>
            <w:r w:rsidRPr="006E1319">
              <w:rPr>
                <w:color w:val="000000"/>
              </w:rPr>
              <w:t>the current PPA experience.</w:t>
            </w:r>
            <w:r w:rsidR="00000000">
              <w:t xml:space="preserve"> The </w:t>
            </w:r>
            <w:r w:rsidR="00000000">
              <w:t xml:space="preserve">Lean Canvas </w:t>
            </w:r>
            <w:r w:rsidRPr="006E1319">
              <w:rPr>
                <w:color w:val="000000"/>
              </w:rPr>
              <w:t>is substantially complete</w:t>
            </w:r>
            <w:r w:rsidR="00000000">
              <w:t xml:space="preserve">, and the prototype </w:t>
            </w:r>
            <w:r w:rsidRPr="006E1319">
              <w:rPr>
                <w:color w:val="000000"/>
              </w:rPr>
              <w:t>has been</w:t>
            </w:r>
            <w:r w:rsidR="00000000">
              <w:t xml:space="preserve"> thoroughly </w:t>
            </w:r>
            <w:r w:rsidRPr="006E1319">
              <w:rPr>
                <w:color w:val="000000"/>
              </w:rPr>
              <w:t xml:space="preserve">reviewed </w:t>
            </w:r>
            <w:r w:rsidR="00000000">
              <w:t xml:space="preserve">with </w:t>
            </w:r>
            <w:r w:rsidRPr="006E1319">
              <w:rPr>
                <w:color w:val="000000"/>
              </w:rPr>
              <w:t xml:space="preserve">both </w:t>
            </w:r>
            <w:r w:rsidR="00000000">
              <w:t xml:space="preserve">stakeholders and </w:t>
            </w:r>
            <w:r w:rsidR="00000000">
              <w:t>end users.</w:t>
            </w:r>
          </w:p>
        </w:tc>
      </w:tr>
      <w:tr w:rsidR="0033565E" w14:paraId="2D170043" w14:textId="77777777" w:rsidTr="00AB2628">
        <w:tblPrEx>
          <w:tblCellMar>
            <w:top w:w="0" w:type="dxa"/>
            <w:bottom w:w="0" w:type="dxa"/>
          </w:tblCellMar>
        </w:tblPrEx>
        <w:tc>
          <w:tcPr>
            <w:tcW w:w="1800" w:type="dxa"/>
            <w:tcMar>
              <w:top w:w="80" w:type="dxa"/>
              <w:left w:w="120" w:type="dxa"/>
              <w:bottom w:w="80" w:type="dxa"/>
              <w:right w:w="120" w:type="dxa"/>
            </w:tcMar>
          </w:tcPr>
          <w:p w14:paraId="1123B2CA" w14:textId="65ADE8D5" w:rsidR="0033565E" w:rsidRPr="001E08E5" w:rsidRDefault="00CA0D46" w:rsidP="0033565E">
            <w:r w:rsidRPr="001E08E5">
              <w:rPr>
                <w:b/>
                <w:bCs/>
              </w:rPr>
              <w:t>Care Management</w:t>
            </w:r>
          </w:p>
        </w:tc>
        <w:tc>
          <w:tcPr>
            <w:tcW w:w="2067" w:type="dxa"/>
            <w:tcMar>
              <w:top w:w="80" w:type="dxa"/>
              <w:left w:w="120" w:type="dxa"/>
              <w:bottom w:w="80" w:type="dxa"/>
              <w:right w:w="120" w:type="dxa"/>
            </w:tcMar>
          </w:tcPr>
          <w:p w14:paraId="21D4939F" w14:textId="00AB8FE1" w:rsidR="001E08E5" w:rsidRPr="001E08E5" w:rsidRDefault="0085675C" w:rsidP="001E08E5">
            <w:hyperlink r:id="rId10" w:history="1">
              <w:r w:rsidR="001E08E5" w:rsidRPr="0085675C">
                <w:rPr>
                  <w:rStyle w:val="Hyperlink"/>
                </w:rPr>
                <w:t>Lean Canvas</w:t>
              </w:r>
            </w:hyperlink>
          </w:p>
          <w:p w14:paraId="218EB9B7" w14:textId="4F497EEB" w:rsidR="0033565E" w:rsidRPr="001E08E5" w:rsidRDefault="00461B76" w:rsidP="001E08E5">
            <w:hyperlink r:id="rId11" w:history="1">
              <w:r w:rsidR="001E08E5" w:rsidRPr="00461B76">
                <w:rPr>
                  <w:rStyle w:val="Hyperlink"/>
                </w:rPr>
                <w:t>Prototype</w:t>
              </w:r>
            </w:hyperlink>
          </w:p>
        </w:tc>
        <w:tc>
          <w:tcPr>
            <w:tcW w:w="5853" w:type="dxa"/>
            <w:tcMar>
              <w:top w:w="80" w:type="dxa"/>
              <w:left w:w="120" w:type="dxa"/>
              <w:bottom w:w="80" w:type="dxa"/>
              <w:right w:w="120" w:type="dxa"/>
            </w:tcMar>
          </w:tcPr>
          <w:p w14:paraId="7B775C25" w14:textId="27B67CC6" w:rsidR="0033565E" w:rsidRPr="001E08E5" w:rsidRDefault="00094F89" w:rsidP="00094F89">
            <w:r w:rsidRPr="00094F89">
              <w:t>This</w:t>
            </w:r>
            <w:r w:rsidR="00000000" w:rsidRPr="001E08E5">
              <w:t xml:space="preserve"> </w:t>
            </w:r>
            <w:r w:rsidR="00000000" w:rsidRPr="001E08E5">
              <w:t xml:space="preserve">section </w:t>
            </w:r>
            <w:r w:rsidRPr="00094F89">
              <w:t xml:space="preserve">is approximately </w:t>
            </w:r>
            <w:r w:rsidR="00000000">
              <w:t>7</w:t>
            </w:r>
            <w:r w:rsidR="00000000">
              <w:t xml:space="preserve">0% </w:t>
            </w:r>
            <w:r w:rsidRPr="00094F89">
              <w:t>complete</w:t>
            </w:r>
            <w:r w:rsidR="00000000">
              <w:t xml:space="preserve"> </w:t>
            </w:r>
            <w:r w:rsidR="00000000">
              <w:t xml:space="preserve">and </w:t>
            </w:r>
            <w:r w:rsidRPr="00094F89">
              <w:t xml:space="preserve">is </w:t>
            </w:r>
            <w:r w:rsidR="00000000">
              <w:t xml:space="preserve">likely to meet </w:t>
            </w:r>
            <w:r w:rsidRPr="00094F89">
              <w:t xml:space="preserve">core </w:t>
            </w:r>
            <w:r w:rsidR="00000000">
              <w:t>end</w:t>
            </w:r>
            <w:r w:rsidRPr="00094F89">
              <w:t>-</w:t>
            </w:r>
            <w:r w:rsidR="00000000">
              <w:t xml:space="preserve">user needs. </w:t>
            </w:r>
            <w:r w:rsidR="00000000">
              <w:t xml:space="preserve">However, </w:t>
            </w:r>
            <w:r w:rsidR="00000000">
              <w:t xml:space="preserve">the </w:t>
            </w:r>
            <w:r w:rsidRPr="00094F89">
              <w:t xml:space="preserve">underlying </w:t>
            </w:r>
            <w:r w:rsidR="00000000">
              <w:t xml:space="preserve">data </w:t>
            </w:r>
            <w:r w:rsidRPr="00094F89">
              <w:t>may</w:t>
            </w:r>
            <w:r w:rsidR="00000000">
              <w:t xml:space="preserve"> not </w:t>
            </w:r>
            <w:r w:rsidRPr="00094F89">
              <w:t xml:space="preserve">yet </w:t>
            </w:r>
            <w:r w:rsidRPr="00094F89">
              <w:lastRenderedPageBreak/>
              <w:t xml:space="preserve">be available </w:t>
            </w:r>
            <w:r w:rsidR="00000000">
              <w:t xml:space="preserve">in </w:t>
            </w:r>
            <w:r w:rsidRPr="00094F89">
              <w:t>Snowflake</w:t>
            </w:r>
            <w:r w:rsidR="00000000">
              <w:t xml:space="preserve"> in a usable </w:t>
            </w:r>
            <w:r w:rsidRPr="00094F89">
              <w:t>format. Stakeholders have</w:t>
            </w:r>
            <w:r w:rsidR="00000000">
              <w:t xml:space="preserve"> also </w:t>
            </w:r>
            <w:r w:rsidRPr="00094F89">
              <w:t>not reached a decision on whether</w:t>
            </w:r>
            <w:r w:rsidR="00000000">
              <w:t xml:space="preserve"> du</w:t>
            </w:r>
            <w:r w:rsidR="00000000">
              <w:t xml:space="preserve">plicate KPIs </w:t>
            </w:r>
            <w:r w:rsidR="00000000">
              <w:t xml:space="preserve">should </w:t>
            </w:r>
            <w:r w:rsidRPr="00094F89">
              <w:t xml:space="preserve">appear in both the </w:t>
            </w:r>
            <w:r w:rsidR="00000000">
              <w:t>Portfolio</w:t>
            </w:r>
            <w:r w:rsidR="00000000">
              <w:t xml:space="preserve"> section </w:t>
            </w:r>
            <w:r w:rsidR="00000000">
              <w:t xml:space="preserve">and </w:t>
            </w:r>
            <w:r w:rsidR="00000000">
              <w:t xml:space="preserve">the </w:t>
            </w:r>
            <w:r w:rsidR="00000000">
              <w:t xml:space="preserve">Care Management section </w:t>
            </w:r>
            <w:r w:rsidRPr="00094F89">
              <w:t>of the PPA tool.</w:t>
            </w:r>
            <w:r w:rsidR="00000000">
              <w:t xml:space="preserve"> From a UX per</w:t>
            </w:r>
            <w:r w:rsidR="00000000">
              <w:t xml:space="preserve">spective, </w:t>
            </w:r>
            <w:r w:rsidRPr="00094F89">
              <w:t>presenting the full KPI story within the Care Management context is preferred because it allows users to interpret insights without navigating across multiple areas of the tool.</w:t>
            </w:r>
          </w:p>
        </w:tc>
      </w:tr>
      <w:tr w:rsidR="003A51F8" w14:paraId="67189ED6" w14:textId="77777777" w:rsidTr="00AB2628">
        <w:tblPrEx>
          <w:tblCellMar>
            <w:top w:w="0" w:type="dxa"/>
            <w:bottom w:w="0" w:type="dxa"/>
          </w:tblCellMar>
        </w:tblPrEx>
        <w:tc>
          <w:tcPr>
            <w:tcW w:w="1800" w:type="dxa"/>
            <w:shd w:val="clear" w:color="auto" w:fill="EFF3F5"/>
            <w:tcMar>
              <w:top w:w="80" w:type="dxa"/>
              <w:left w:w="120" w:type="dxa"/>
              <w:bottom w:w="80" w:type="dxa"/>
              <w:right w:w="120" w:type="dxa"/>
            </w:tcMar>
          </w:tcPr>
          <w:p w14:paraId="6671D7BD" w14:textId="160EC181" w:rsidR="003A51F8" w:rsidRPr="001E08E5" w:rsidRDefault="003A51F8" w:rsidP="003A51F8">
            <w:r w:rsidRPr="001E08E5">
              <w:rPr>
                <w:b/>
                <w:bCs/>
              </w:rPr>
              <w:lastRenderedPageBreak/>
              <w:t>Quality</w:t>
            </w:r>
          </w:p>
        </w:tc>
        <w:tc>
          <w:tcPr>
            <w:tcW w:w="2067" w:type="dxa"/>
            <w:shd w:val="clear" w:color="auto" w:fill="EFF3F5"/>
            <w:tcMar>
              <w:top w:w="80" w:type="dxa"/>
              <w:left w:w="120" w:type="dxa"/>
              <w:bottom w:w="80" w:type="dxa"/>
              <w:right w:w="120" w:type="dxa"/>
            </w:tcMar>
          </w:tcPr>
          <w:p w14:paraId="4F223273" w14:textId="20FA315F" w:rsidR="003A51F8" w:rsidRPr="001E08E5" w:rsidRDefault="008C1618" w:rsidP="003A51F8">
            <w:hyperlink r:id="rId12" w:history="1">
              <w:r w:rsidR="003A51F8" w:rsidRPr="008C1618">
                <w:rPr>
                  <w:rStyle w:val="Hyperlink"/>
                </w:rPr>
                <w:t>Lean Canvas</w:t>
              </w:r>
            </w:hyperlink>
          </w:p>
          <w:p w14:paraId="386E5FDA" w14:textId="381A6A00" w:rsidR="003A51F8" w:rsidRPr="001E08E5" w:rsidRDefault="00C44E83" w:rsidP="003A51F8">
            <w:hyperlink r:id="rId13" w:history="1">
              <w:r w:rsidRPr="00C44E83">
                <w:rPr>
                  <w:rStyle w:val="Hyperlink"/>
                </w:rPr>
                <w:t>Wireframes</w:t>
              </w:r>
            </w:hyperlink>
          </w:p>
        </w:tc>
        <w:tc>
          <w:tcPr>
            <w:tcW w:w="5853" w:type="dxa"/>
            <w:shd w:val="clear" w:color="auto" w:fill="EFF3F5"/>
            <w:tcMar>
              <w:top w:w="80" w:type="dxa"/>
              <w:left w:w="120" w:type="dxa"/>
              <w:bottom w:w="80" w:type="dxa"/>
              <w:right w:w="120" w:type="dxa"/>
            </w:tcMar>
          </w:tcPr>
          <w:p w14:paraId="7D600123" w14:textId="65802C5C" w:rsidR="003A51F8" w:rsidRPr="001E08E5" w:rsidRDefault="00000000" w:rsidP="003A7E56">
            <w:r>
              <w:t>The Lean Ca</w:t>
            </w:r>
            <w:r>
              <w:t>n</w:t>
            </w:r>
            <w:r>
              <w:t xml:space="preserve">vas was </w:t>
            </w:r>
            <w:r w:rsidR="003A7E56" w:rsidRPr="003A7E56">
              <w:rPr>
                <w:color w:val="000000"/>
              </w:rPr>
              <w:t>initiated</w:t>
            </w:r>
            <w:r>
              <w:t xml:space="preserve"> but </w:t>
            </w:r>
            <w:r>
              <w:t xml:space="preserve">not completed. </w:t>
            </w:r>
            <w:r>
              <w:t>Low</w:t>
            </w:r>
            <w:r w:rsidR="003A7E56" w:rsidRPr="003A7E56">
              <w:rPr>
                <w:color w:val="000000"/>
              </w:rPr>
              <w:t>-</w:t>
            </w:r>
            <w:r>
              <w:t>fidel</w:t>
            </w:r>
            <w:r>
              <w:t>ity wireframes</w:t>
            </w:r>
            <w:r>
              <w:t xml:space="preserve"> </w:t>
            </w:r>
            <w:r>
              <w:t>were</w:t>
            </w:r>
            <w:r>
              <w:t xml:space="preserve"> </w:t>
            </w:r>
            <w:r w:rsidR="003A7E56" w:rsidRPr="003A7E56">
              <w:rPr>
                <w:color w:val="000000"/>
              </w:rPr>
              <w:t>created from</w:t>
            </w:r>
            <w:r>
              <w:t xml:space="preserve"> stakeholder </w:t>
            </w:r>
            <w:r>
              <w:t>meeting notes</w:t>
            </w:r>
            <w:r w:rsidR="003A7E56" w:rsidRPr="003A7E56">
              <w:rPr>
                <w:color w:val="000000"/>
              </w:rPr>
              <w:t>; however,</w:t>
            </w:r>
            <w:r>
              <w:t xml:space="preserve"> the effort </w:t>
            </w:r>
            <w:r w:rsidR="003A7E56" w:rsidRPr="003A7E56">
              <w:rPr>
                <w:color w:val="000000"/>
              </w:rPr>
              <w:t>paused</w:t>
            </w:r>
            <w:r>
              <w:t xml:space="preserve"> when</w:t>
            </w:r>
            <w:r>
              <w:t xml:space="preserve"> </w:t>
            </w:r>
            <w:r>
              <w:t xml:space="preserve">stakeholders </w:t>
            </w:r>
            <w:r w:rsidR="003A7E56" w:rsidRPr="003A7E56">
              <w:rPr>
                <w:color w:val="000000"/>
              </w:rPr>
              <w:t>were unable to determine whether a dedicated Quality</w:t>
            </w:r>
            <w:r>
              <w:t xml:space="preserve"> section was necessary or </w:t>
            </w:r>
            <w:r w:rsidR="003A7E56" w:rsidRPr="003A7E56">
              <w:rPr>
                <w:color w:val="000000"/>
              </w:rPr>
              <w:t>whether</w:t>
            </w:r>
            <w:r>
              <w:t xml:space="preserve"> </w:t>
            </w:r>
            <w:r>
              <w:t xml:space="preserve">the </w:t>
            </w:r>
            <w:r>
              <w:t xml:space="preserve">Q.RA </w:t>
            </w:r>
            <w:r>
              <w:t xml:space="preserve">dashboard </w:t>
            </w:r>
            <w:r w:rsidR="003A7E56" w:rsidRPr="003A7E56">
              <w:rPr>
                <w:color w:val="000000"/>
              </w:rPr>
              <w:t>sufficiently addressed</w:t>
            </w:r>
            <w:r>
              <w:t xml:space="preserve"> end</w:t>
            </w:r>
            <w:r w:rsidR="003A7E56" w:rsidRPr="003A7E56">
              <w:rPr>
                <w:color w:val="000000"/>
              </w:rPr>
              <w:t>-user needs</w:t>
            </w:r>
            <w:r>
              <w:t>.</w:t>
            </w:r>
          </w:p>
        </w:tc>
      </w:tr>
      <w:tr w:rsidR="003A51F8" w14:paraId="2F87F5F2" w14:textId="77777777" w:rsidTr="00AB2628">
        <w:tblPrEx>
          <w:tblCellMar>
            <w:top w:w="0" w:type="dxa"/>
            <w:bottom w:w="0" w:type="dxa"/>
          </w:tblCellMar>
        </w:tblPrEx>
        <w:tc>
          <w:tcPr>
            <w:tcW w:w="1800" w:type="dxa"/>
            <w:tcMar>
              <w:top w:w="80" w:type="dxa"/>
              <w:left w:w="120" w:type="dxa"/>
              <w:bottom w:w="80" w:type="dxa"/>
              <w:right w:w="120" w:type="dxa"/>
            </w:tcMar>
          </w:tcPr>
          <w:p w14:paraId="36927300" w14:textId="7F92303B" w:rsidR="003A51F8" w:rsidRPr="001E08E5" w:rsidRDefault="003A51F8" w:rsidP="003A51F8">
            <w:r w:rsidRPr="001E08E5">
              <w:rPr>
                <w:b/>
                <w:bCs/>
              </w:rPr>
              <w:t>Experience</w:t>
            </w:r>
          </w:p>
        </w:tc>
        <w:tc>
          <w:tcPr>
            <w:tcW w:w="2067" w:type="dxa"/>
            <w:tcMar>
              <w:top w:w="80" w:type="dxa"/>
              <w:left w:w="120" w:type="dxa"/>
              <w:bottom w:w="80" w:type="dxa"/>
              <w:right w:w="120" w:type="dxa"/>
            </w:tcMar>
          </w:tcPr>
          <w:p w14:paraId="2B52991F" w14:textId="16E0606F" w:rsidR="003A51F8" w:rsidRPr="001E08E5" w:rsidRDefault="003A51F8" w:rsidP="003A51F8"/>
        </w:tc>
        <w:tc>
          <w:tcPr>
            <w:tcW w:w="5853" w:type="dxa"/>
            <w:tcMar>
              <w:top w:w="80" w:type="dxa"/>
              <w:left w:w="120" w:type="dxa"/>
              <w:bottom w:w="80" w:type="dxa"/>
              <w:right w:w="120" w:type="dxa"/>
            </w:tcMar>
          </w:tcPr>
          <w:p w14:paraId="1AC9171A" w14:textId="36AEB823" w:rsidR="003A51F8" w:rsidRPr="001E08E5" w:rsidRDefault="001A7F78" w:rsidP="001A7F78">
            <w:r w:rsidRPr="001A7F78">
              <w:t>This is a new section. Initial</w:t>
            </w:r>
            <w:r w:rsidR="00000000">
              <w:t xml:space="preserve"> </w:t>
            </w:r>
            <w:r w:rsidR="00000000">
              <w:t>Lean Canvas sessio</w:t>
            </w:r>
            <w:r w:rsidR="00000000">
              <w:t xml:space="preserve">ns with end users </w:t>
            </w:r>
            <w:r w:rsidRPr="001A7F78">
              <w:t xml:space="preserve">are being scheduled </w:t>
            </w:r>
            <w:r w:rsidR="00000000">
              <w:t>as of July 28, 2026.</w:t>
            </w:r>
          </w:p>
        </w:tc>
      </w:tr>
      <w:tr w:rsidR="003A51F8" w14:paraId="6170D12C" w14:textId="77777777" w:rsidTr="00AB2628">
        <w:tblPrEx>
          <w:tblCellMar>
            <w:top w:w="0" w:type="dxa"/>
            <w:bottom w:w="0" w:type="dxa"/>
          </w:tblCellMar>
        </w:tblPrEx>
        <w:tc>
          <w:tcPr>
            <w:tcW w:w="1800" w:type="dxa"/>
            <w:shd w:val="clear" w:color="auto" w:fill="F0F4F6"/>
            <w:tcMar>
              <w:top w:w="80" w:type="dxa"/>
              <w:left w:w="120" w:type="dxa"/>
              <w:bottom w:w="80" w:type="dxa"/>
              <w:right w:w="120" w:type="dxa"/>
            </w:tcMar>
          </w:tcPr>
          <w:p w14:paraId="66D30E74" w14:textId="2B64F570" w:rsidR="003A51F8" w:rsidRPr="001E08E5" w:rsidRDefault="007B0742" w:rsidP="003A51F8">
            <w:pPr>
              <w:rPr>
                <w:b/>
                <w:bCs/>
              </w:rPr>
            </w:pPr>
            <w:r>
              <w:rPr>
                <w:b/>
                <w:bCs/>
              </w:rPr>
              <w:t>Scorecards</w:t>
            </w:r>
          </w:p>
        </w:tc>
        <w:tc>
          <w:tcPr>
            <w:tcW w:w="2067" w:type="dxa"/>
            <w:shd w:val="clear" w:color="auto" w:fill="F0F4F6"/>
            <w:tcMar>
              <w:top w:w="80" w:type="dxa"/>
              <w:left w:w="120" w:type="dxa"/>
              <w:bottom w:w="80" w:type="dxa"/>
              <w:right w:w="120" w:type="dxa"/>
            </w:tcMar>
          </w:tcPr>
          <w:p w14:paraId="4CDAD4D5" w14:textId="08CF53CF" w:rsidR="003A51F8" w:rsidRDefault="0052111C" w:rsidP="003A51F8">
            <w:hyperlink r:id="rId14" w:history="1">
              <w:r w:rsidRPr="0052111C">
                <w:rPr>
                  <w:rStyle w:val="Hyperlink"/>
                </w:rPr>
                <w:t>Focus Group Findings</w:t>
              </w:r>
            </w:hyperlink>
          </w:p>
          <w:p w14:paraId="49DE6037" w14:textId="553161EC" w:rsidR="007B0742" w:rsidRPr="001E08E5" w:rsidRDefault="00AB2628" w:rsidP="003A51F8">
            <w:hyperlink r:id="rId15" w:history="1">
              <w:r w:rsidRPr="00AB2628">
                <w:rPr>
                  <w:rStyle w:val="Hyperlink"/>
                </w:rPr>
                <w:t xml:space="preserve">Portfolio </w:t>
              </w:r>
              <w:r w:rsidR="007B0742" w:rsidRPr="00AB2628">
                <w:rPr>
                  <w:rStyle w:val="Hyperlink"/>
                </w:rPr>
                <w:t>Prototype</w:t>
              </w:r>
            </w:hyperlink>
            <w:r w:rsidR="007B03E4">
              <w:t xml:space="preserve"> </w:t>
            </w:r>
            <w:hyperlink r:id="rId16" w:history="1">
              <w:r w:rsidR="007B03E4" w:rsidRPr="00AB2628">
                <w:rPr>
                  <w:rStyle w:val="Hyperlink"/>
                </w:rPr>
                <w:t>Provider</w:t>
              </w:r>
              <w:r w:rsidRPr="00AB2628">
                <w:rPr>
                  <w:rStyle w:val="Hyperlink"/>
                </w:rPr>
                <w:t xml:space="preserve"> Prototype</w:t>
              </w:r>
            </w:hyperlink>
          </w:p>
        </w:tc>
        <w:tc>
          <w:tcPr>
            <w:tcW w:w="5853" w:type="dxa"/>
            <w:shd w:val="clear" w:color="auto" w:fill="F0F4F6"/>
            <w:tcMar>
              <w:top w:w="80" w:type="dxa"/>
              <w:left w:w="120" w:type="dxa"/>
              <w:bottom w:w="80" w:type="dxa"/>
              <w:right w:w="120" w:type="dxa"/>
            </w:tcMar>
          </w:tcPr>
          <w:p w14:paraId="731E0348" w14:textId="72E02531" w:rsidR="003A51F8" w:rsidRDefault="00000000" w:rsidP="00945D23">
            <w:r>
              <w:t>T</w:t>
            </w:r>
            <w:r>
              <w:t xml:space="preserve">he </w:t>
            </w:r>
            <w:r>
              <w:t xml:space="preserve">scorecards were already functional when </w:t>
            </w:r>
            <w:r w:rsidR="00945D23" w:rsidRPr="00945D23">
              <w:rPr>
                <w:color w:val="000000"/>
              </w:rPr>
              <w:t xml:space="preserve">UX became involved; therefore, </w:t>
            </w:r>
            <w:r>
              <w:t>the</w:t>
            </w:r>
            <w:r>
              <w:t xml:space="preserve"> </w:t>
            </w:r>
            <w:r w:rsidR="00945D23" w:rsidRPr="00945D23">
              <w:rPr>
                <w:color w:val="000000"/>
              </w:rPr>
              <w:t>team conducted</w:t>
            </w:r>
            <w:r>
              <w:t xml:space="preserve"> </w:t>
            </w:r>
            <w:r>
              <w:t>usability testing focus groups</w:t>
            </w:r>
            <w:r w:rsidR="00945D23" w:rsidRPr="00945D23">
              <w:rPr>
                <w:color w:val="000000"/>
              </w:rPr>
              <w:t xml:space="preserve"> rather than beginning with a Lean Canvas exercise.</w:t>
            </w:r>
            <w:r>
              <w:t xml:space="preserve"> The </w:t>
            </w:r>
            <w:r w:rsidR="00945D23" w:rsidRPr="00945D23">
              <w:rPr>
                <w:color w:val="000000"/>
              </w:rPr>
              <w:t>resulting artifacts included a</w:t>
            </w:r>
            <w:r>
              <w:t xml:space="preserve"> </w:t>
            </w:r>
            <w:r>
              <w:t xml:space="preserve">Focus Group Findings </w:t>
            </w:r>
            <w:r w:rsidR="00945D23" w:rsidRPr="00945D23">
              <w:rPr>
                <w:color w:val="000000"/>
              </w:rPr>
              <w:t xml:space="preserve">document </w:t>
            </w:r>
            <w:r>
              <w:t xml:space="preserve">and </w:t>
            </w:r>
            <w:r>
              <w:t xml:space="preserve">two </w:t>
            </w:r>
            <w:r w:rsidR="00945D23" w:rsidRPr="00945D23">
              <w:rPr>
                <w:color w:val="000000"/>
              </w:rPr>
              <w:t xml:space="preserve">supporting </w:t>
            </w:r>
            <w:r>
              <w:t>mocku</w:t>
            </w:r>
            <w:r>
              <w:t>ps</w:t>
            </w:r>
            <w:r w:rsidR="00945D23" w:rsidRPr="00945D23">
              <w:rPr>
                <w:color w:val="000000"/>
              </w:rPr>
              <w:t xml:space="preserve">: </w:t>
            </w:r>
            <w:r>
              <w:t>P</w:t>
            </w:r>
            <w:r>
              <w:t>ortfolio and Provider</w:t>
            </w:r>
            <w:r w:rsidR="00945D23" w:rsidRPr="00945D23">
              <w:rPr>
                <w:color w:val="000000"/>
              </w:rPr>
              <w:t>.</w:t>
            </w:r>
          </w:p>
        </w:tc>
      </w:tr>
      <w:tr w:rsidR="00945D23" w14:paraId="12C354AA" w14:textId="77777777" w:rsidTr="00945D23">
        <w:tblPrEx>
          <w:tblCellMar>
            <w:top w:w="0" w:type="dxa"/>
            <w:bottom w:w="0" w:type="dxa"/>
          </w:tblCellMar>
        </w:tblPrEx>
        <w:tc>
          <w:tcPr>
            <w:tcW w:w="1800" w:type="dxa"/>
            <w:shd w:val="clear" w:color="auto" w:fill="FFFFFF" w:themeFill="background1"/>
            <w:tcMar>
              <w:top w:w="80" w:type="dxa"/>
              <w:left w:w="120" w:type="dxa"/>
              <w:bottom w:w="80" w:type="dxa"/>
              <w:right w:w="120" w:type="dxa"/>
            </w:tcMar>
          </w:tcPr>
          <w:p w14:paraId="2740FE37" w14:textId="41DA4F7E" w:rsidR="00945D23" w:rsidRDefault="00945D23" w:rsidP="003A51F8">
            <w:pPr>
              <w:rPr>
                <w:b/>
                <w:bCs/>
              </w:rPr>
            </w:pPr>
            <w:r>
              <w:rPr>
                <w:b/>
                <w:bCs/>
              </w:rPr>
              <w:t>Flash 2.0</w:t>
            </w:r>
          </w:p>
        </w:tc>
        <w:tc>
          <w:tcPr>
            <w:tcW w:w="2067" w:type="dxa"/>
            <w:shd w:val="clear" w:color="auto" w:fill="FFFFFF" w:themeFill="background1"/>
            <w:tcMar>
              <w:top w:w="80" w:type="dxa"/>
              <w:left w:w="120" w:type="dxa"/>
              <w:bottom w:w="80" w:type="dxa"/>
              <w:right w:w="120" w:type="dxa"/>
            </w:tcMar>
          </w:tcPr>
          <w:p w14:paraId="036538E2" w14:textId="4A3D8923" w:rsidR="00945D23" w:rsidRDefault="00012B3B" w:rsidP="003A51F8">
            <w:hyperlink r:id="rId17" w:history="1">
              <w:r w:rsidRPr="00012B3B">
                <w:rPr>
                  <w:rStyle w:val="Hyperlink"/>
                </w:rPr>
                <w:t>P</w:t>
              </w:r>
              <w:r w:rsidRPr="00012B3B">
                <w:rPr>
                  <w:rStyle w:val="Hyperlink"/>
                </w:rPr>
                <w:t>r</w:t>
              </w:r>
              <w:r w:rsidRPr="00012B3B">
                <w:rPr>
                  <w:rStyle w:val="Hyperlink"/>
                </w:rPr>
                <w:t>o</w:t>
              </w:r>
              <w:r w:rsidRPr="00012B3B">
                <w:rPr>
                  <w:rStyle w:val="Hyperlink"/>
                </w:rPr>
                <w:t>t</w:t>
              </w:r>
              <w:r w:rsidRPr="00012B3B">
                <w:rPr>
                  <w:rStyle w:val="Hyperlink"/>
                </w:rPr>
                <w:t>otype</w:t>
              </w:r>
            </w:hyperlink>
          </w:p>
        </w:tc>
        <w:tc>
          <w:tcPr>
            <w:tcW w:w="5853" w:type="dxa"/>
            <w:shd w:val="clear" w:color="auto" w:fill="FFFFFF" w:themeFill="background1"/>
            <w:tcMar>
              <w:top w:w="80" w:type="dxa"/>
              <w:left w:w="120" w:type="dxa"/>
              <w:bottom w:w="80" w:type="dxa"/>
              <w:right w:w="120" w:type="dxa"/>
            </w:tcMar>
          </w:tcPr>
          <w:p w14:paraId="5D43F2B8" w14:textId="74D181CF" w:rsidR="00945D23" w:rsidRDefault="000F6E5E" w:rsidP="00945D23">
            <w:r>
              <w:t>I worked directly with Peter Lauterbach to modify and improve the UX of the existing Flash prototype.</w:t>
            </w:r>
          </w:p>
        </w:tc>
      </w:tr>
    </w:tbl>
    <w:p w14:paraId="0DF312EB" w14:textId="77777777" w:rsidR="00373FF0" w:rsidRDefault="00373FF0" w:rsidP="00373FF0">
      <w:pPr>
        <w:spacing w:after="200"/>
      </w:pPr>
    </w:p>
    <w:p w14:paraId="3C763C4C" w14:textId="58902465" w:rsidR="009621AA" w:rsidRDefault="009621AA"/>
    <w:sectPr w:rsidR="009621AA" w:rsidSect="00E0557F">
      <w:pgSz w:w="12240" w:h="15840"/>
      <w:pgMar w:top="711" w:right="1440" w:bottom="68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330A3C"/>
    <w:multiLevelType w:val="hybridMultilevel"/>
    <w:tmpl w:val="A2B0C148"/>
    <w:lvl w:ilvl="0" w:tplc="9C143868">
      <w:start w:val="1"/>
      <w:numFmt w:val="bullet"/>
      <w:lvlText w:val="•"/>
      <w:lvlJc w:val="left"/>
      <w:pPr>
        <w:ind w:left="460" w:hanging="240"/>
      </w:pPr>
    </w:lvl>
    <w:lvl w:ilvl="1" w:tplc="7FC6505A">
      <w:start w:val="1"/>
      <w:numFmt w:val="bullet"/>
      <w:lvlText w:val="◦"/>
      <w:lvlJc w:val="left"/>
      <w:pPr>
        <w:ind w:left="820" w:hanging="240"/>
      </w:pPr>
    </w:lvl>
    <w:lvl w:ilvl="2" w:tplc="19FC4E5E">
      <w:numFmt w:val="decimal"/>
      <w:lvlText w:val=""/>
      <w:lvlJc w:val="left"/>
    </w:lvl>
    <w:lvl w:ilvl="3" w:tplc="FE0CC1AA">
      <w:numFmt w:val="decimal"/>
      <w:lvlText w:val=""/>
      <w:lvlJc w:val="left"/>
    </w:lvl>
    <w:lvl w:ilvl="4" w:tplc="31D874C2">
      <w:numFmt w:val="decimal"/>
      <w:lvlText w:val=""/>
      <w:lvlJc w:val="left"/>
    </w:lvl>
    <w:lvl w:ilvl="5" w:tplc="904E7AAE">
      <w:numFmt w:val="decimal"/>
      <w:lvlText w:val=""/>
      <w:lvlJc w:val="left"/>
    </w:lvl>
    <w:lvl w:ilvl="6" w:tplc="02F6FA80">
      <w:numFmt w:val="decimal"/>
      <w:lvlText w:val=""/>
      <w:lvlJc w:val="left"/>
    </w:lvl>
    <w:lvl w:ilvl="7" w:tplc="C23637BE">
      <w:numFmt w:val="decimal"/>
      <w:lvlText w:val=""/>
      <w:lvlJc w:val="left"/>
    </w:lvl>
    <w:lvl w:ilvl="8" w:tplc="C512D672">
      <w:numFmt w:val="decimal"/>
      <w:lvlText w:val=""/>
      <w:lvlJc w:val="left"/>
    </w:lvl>
  </w:abstractNum>
  <w:abstractNum w:abstractNumId="1" w15:restartNumberingAfterBreak="0">
    <w:nsid w:val="7E19466C"/>
    <w:multiLevelType w:val="hybridMultilevel"/>
    <w:tmpl w:val="C4CEAC64"/>
    <w:lvl w:ilvl="0" w:tplc="EAAE951E">
      <w:start w:val="1"/>
      <w:numFmt w:val="decimal"/>
      <w:lvlText w:val="%1."/>
      <w:lvlJc w:val="left"/>
      <w:pPr>
        <w:ind w:left="460" w:hanging="240"/>
      </w:pPr>
      <w:rPr>
        <w:rFonts w:ascii="Calibri" w:eastAsia="Calibri" w:hAnsi="Calibri" w:cs="Calibri"/>
      </w:rPr>
    </w:lvl>
    <w:lvl w:ilvl="1" w:tplc="0C383CA4">
      <w:numFmt w:val="decimal"/>
      <w:lvlText w:val=""/>
      <w:lvlJc w:val="left"/>
    </w:lvl>
    <w:lvl w:ilvl="2" w:tplc="CCA8E37C">
      <w:numFmt w:val="decimal"/>
      <w:lvlText w:val=""/>
      <w:lvlJc w:val="left"/>
    </w:lvl>
    <w:lvl w:ilvl="3" w:tplc="9A786DD0">
      <w:numFmt w:val="decimal"/>
      <w:lvlText w:val=""/>
      <w:lvlJc w:val="left"/>
    </w:lvl>
    <w:lvl w:ilvl="4" w:tplc="430A56EE">
      <w:numFmt w:val="decimal"/>
      <w:lvlText w:val=""/>
      <w:lvlJc w:val="left"/>
    </w:lvl>
    <w:lvl w:ilvl="5" w:tplc="40F2D1F0">
      <w:numFmt w:val="decimal"/>
      <w:lvlText w:val=""/>
      <w:lvlJc w:val="left"/>
    </w:lvl>
    <w:lvl w:ilvl="6" w:tplc="5B0EB70A">
      <w:numFmt w:val="decimal"/>
      <w:lvlText w:val=""/>
      <w:lvlJc w:val="left"/>
    </w:lvl>
    <w:lvl w:ilvl="7" w:tplc="6956A582">
      <w:numFmt w:val="decimal"/>
      <w:lvlText w:val=""/>
      <w:lvlJc w:val="left"/>
    </w:lvl>
    <w:lvl w:ilvl="8" w:tplc="E2149538">
      <w:numFmt w:val="decimal"/>
      <w:lvlText w:val=""/>
      <w:lvlJc w:val="left"/>
    </w:lvl>
  </w:abstractNum>
  <w:num w:numId="1" w16cid:durableId="240407201">
    <w:abstractNumId w:val="0"/>
    <w:lvlOverride w:ilvl="0">
      <w:startOverride w:val="1"/>
    </w:lvlOverride>
  </w:num>
  <w:num w:numId="2" w16cid:durableId="60431015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FF0"/>
    <w:rsid w:val="00012B3B"/>
    <w:rsid w:val="00055706"/>
    <w:rsid w:val="00082CD5"/>
    <w:rsid w:val="00094F89"/>
    <w:rsid w:val="000B02AE"/>
    <w:rsid w:val="000B0DEC"/>
    <w:rsid w:val="000F6E5E"/>
    <w:rsid w:val="001870C6"/>
    <w:rsid w:val="001A7F78"/>
    <w:rsid w:val="001D4016"/>
    <w:rsid w:val="001E08E5"/>
    <w:rsid w:val="002113DD"/>
    <w:rsid w:val="00244916"/>
    <w:rsid w:val="00245BFA"/>
    <w:rsid w:val="0025115E"/>
    <w:rsid w:val="0029092A"/>
    <w:rsid w:val="002B23F6"/>
    <w:rsid w:val="002B38A9"/>
    <w:rsid w:val="002B75C5"/>
    <w:rsid w:val="003274FE"/>
    <w:rsid w:val="0033565E"/>
    <w:rsid w:val="00373FF0"/>
    <w:rsid w:val="003A51F8"/>
    <w:rsid w:val="003A7E56"/>
    <w:rsid w:val="00416917"/>
    <w:rsid w:val="00420BA2"/>
    <w:rsid w:val="00422FDE"/>
    <w:rsid w:val="00461B76"/>
    <w:rsid w:val="004B2A99"/>
    <w:rsid w:val="004B7499"/>
    <w:rsid w:val="00515CDB"/>
    <w:rsid w:val="0052111C"/>
    <w:rsid w:val="00595A1C"/>
    <w:rsid w:val="00596210"/>
    <w:rsid w:val="005C0B08"/>
    <w:rsid w:val="005D096F"/>
    <w:rsid w:val="00607AE1"/>
    <w:rsid w:val="006A274D"/>
    <w:rsid w:val="006B3852"/>
    <w:rsid w:val="006D221F"/>
    <w:rsid w:val="006D7BE4"/>
    <w:rsid w:val="006E1319"/>
    <w:rsid w:val="00724E52"/>
    <w:rsid w:val="00752866"/>
    <w:rsid w:val="007714F0"/>
    <w:rsid w:val="007A48D1"/>
    <w:rsid w:val="007B03E4"/>
    <w:rsid w:val="007B0742"/>
    <w:rsid w:val="007C2DEC"/>
    <w:rsid w:val="0085675C"/>
    <w:rsid w:val="008B70E9"/>
    <w:rsid w:val="008C1618"/>
    <w:rsid w:val="008D0861"/>
    <w:rsid w:val="00945D23"/>
    <w:rsid w:val="009621AA"/>
    <w:rsid w:val="00980738"/>
    <w:rsid w:val="00992040"/>
    <w:rsid w:val="00A0447F"/>
    <w:rsid w:val="00A20589"/>
    <w:rsid w:val="00A367CC"/>
    <w:rsid w:val="00A5509D"/>
    <w:rsid w:val="00A700EF"/>
    <w:rsid w:val="00AB2628"/>
    <w:rsid w:val="00AB39CB"/>
    <w:rsid w:val="00B165A1"/>
    <w:rsid w:val="00B61AB1"/>
    <w:rsid w:val="00B62D08"/>
    <w:rsid w:val="00B86DD8"/>
    <w:rsid w:val="00BA7669"/>
    <w:rsid w:val="00BB0D4C"/>
    <w:rsid w:val="00BC1E3A"/>
    <w:rsid w:val="00BD43EF"/>
    <w:rsid w:val="00C15D0C"/>
    <w:rsid w:val="00C4395C"/>
    <w:rsid w:val="00C4410B"/>
    <w:rsid w:val="00C44E83"/>
    <w:rsid w:val="00C45B42"/>
    <w:rsid w:val="00CA0D46"/>
    <w:rsid w:val="00CB130F"/>
    <w:rsid w:val="00CF375A"/>
    <w:rsid w:val="00CF4D88"/>
    <w:rsid w:val="00D1473C"/>
    <w:rsid w:val="00D20645"/>
    <w:rsid w:val="00D6488F"/>
    <w:rsid w:val="00DB7251"/>
    <w:rsid w:val="00DE3EE6"/>
    <w:rsid w:val="00DE5869"/>
    <w:rsid w:val="00DE6757"/>
    <w:rsid w:val="00E0557F"/>
    <w:rsid w:val="00E3430C"/>
    <w:rsid w:val="00E41C24"/>
    <w:rsid w:val="00E57DD2"/>
    <w:rsid w:val="00E7688A"/>
    <w:rsid w:val="00EA0B10"/>
    <w:rsid w:val="00EF45C1"/>
    <w:rsid w:val="00F41E95"/>
    <w:rsid w:val="00F671E2"/>
    <w:rsid w:val="00FD4D42"/>
    <w:rsid w:val="00FE6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D43B87"/>
  <w15:chartTrackingRefBased/>
  <w15:docId w15:val="{2677132D-5DCB-784B-A095-8FEEDC2FE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FF0"/>
    <w:pPr>
      <w:spacing w:after="0" w:line="276" w:lineRule="auto"/>
    </w:pPr>
    <w:rPr>
      <w:rFonts w:ascii="Calibri" w:eastAsia="Calibri" w:hAnsi="Calibri" w:cs="Calibri"/>
      <w:kern w:val="0"/>
      <w:sz w:val="21"/>
      <w:szCs w:val="21"/>
      <w14:ligatures w14:val="none"/>
    </w:rPr>
  </w:style>
  <w:style w:type="paragraph" w:styleId="Heading1">
    <w:name w:val="heading 1"/>
    <w:basedOn w:val="Normal"/>
    <w:next w:val="Normal"/>
    <w:link w:val="Heading1Char"/>
    <w:uiPriority w:val="9"/>
    <w:qFormat/>
    <w:rsid w:val="00373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3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3F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F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F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F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F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F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F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F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F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F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F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F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FF0"/>
    <w:rPr>
      <w:rFonts w:eastAsiaTheme="majorEastAsia" w:cstheme="majorBidi"/>
      <w:color w:val="272727" w:themeColor="text1" w:themeTint="D8"/>
    </w:rPr>
  </w:style>
  <w:style w:type="paragraph" w:styleId="Title">
    <w:name w:val="Title"/>
    <w:basedOn w:val="Normal"/>
    <w:next w:val="Normal"/>
    <w:link w:val="TitleChar"/>
    <w:uiPriority w:val="10"/>
    <w:qFormat/>
    <w:rsid w:val="00373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FF0"/>
    <w:pPr>
      <w:spacing w:before="160"/>
      <w:jc w:val="center"/>
    </w:pPr>
    <w:rPr>
      <w:i/>
      <w:iCs/>
      <w:color w:val="404040" w:themeColor="text1" w:themeTint="BF"/>
    </w:rPr>
  </w:style>
  <w:style w:type="character" w:customStyle="1" w:styleId="QuoteChar">
    <w:name w:val="Quote Char"/>
    <w:basedOn w:val="DefaultParagraphFont"/>
    <w:link w:val="Quote"/>
    <w:uiPriority w:val="29"/>
    <w:rsid w:val="00373FF0"/>
    <w:rPr>
      <w:i/>
      <w:iCs/>
      <w:color w:val="404040" w:themeColor="text1" w:themeTint="BF"/>
    </w:rPr>
  </w:style>
  <w:style w:type="paragraph" w:styleId="ListParagraph">
    <w:name w:val="List Paragraph"/>
    <w:basedOn w:val="Normal"/>
    <w:qFormat/>
    <w:rsid w:val="00373FF0"/>
    <w:pPr>
      <w:ind w:left="720"/>
      <w:contextualSpacing/>
    </w:pPr>
  </w:style>
  <w:style w:type="character" w:styleId="IntenseEmphasis">
    <w:name w:val="Intense Emphasis"/>
    <w:basedOn w:val="DefaultParagraphFont"/>
    <w:uiPriority w:val="21"/>
    <w:qFormat/>
    <w:rsid w:val="00373FF0"/>
    <w:rPr>
      <w:i/>
      <w:iCs/>
      <w:color w:val="0F4761" w:themeColor="accent1" w:themeShade="BF"/>
    </w:rPr>
  </w:style>
  <w:style w:type="paragraph" w:styleId="IntenseQuote">
    <w:name w:val="Intense Quote"/>
    <w:basedOn w:val="Normal"/>
    <w:next w:val="Normal"/>
    <w:link w:val="IntenseQuoteChar"/>
    <w:uiPriority w:val="30"/>
    <w:qFormat/>
    <w:rsid w:val="00373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FF0"/>
    <w:rPr>
      <w:i/>
      <w:iCs/>
      <w:color w:val="0F4761" w:themeColor="accent1" w:themeShade="BF"/>
    </w:rPr>
  </w:style>
  <w:style w:type="character" w:styleId="IntenseReference">
    <w:name w:val="Intense Reference"/>
    <w:basedOn w:val="DefaultParagraphFont"/>
    <w:uiPriority w:val="32"/>
    <w:qFormat/>
    <w:rsid w:val="00373FF0"/>
    <w:rPr>
      <w:b/>
      <w:bCs/>
      <w:smallCaps/>
      <w:color w:val="0F4761" w:themeColor="accent1" w:themeShade="BF"/>
      <w:spacing w:val="5"/>
    </w:rPr>
  </w:style>
  <w:style w:type="character" w:styleId="BookTitle">
    <w:name w:val="Book Title"/>
    <w:basedOn w:val="DefaultParagraphFont"/>
    <w:uiPriority w:val="33"/>
    <w:qFormat/>
    <w:rsid w:val="00D1473C"/>
    <w:rPr>
      <w:b/>
      <w:bCs/>
      <w:i/>
      <w:iCs/>
      <w:spacing w:val="5"/>
    </w:rPr>
  </w:style>
  <w:style w:type="paragraph" w:styleId="Caption">
    <w:name w:val="caption"/>
    <w:basedOn w:val="Normal"/>
    <w:next w:val="Normal"/>
    <w:uiPriority w:val="35"/>
    <w:semiHidden/>
    <w:unhideWhenUsed/>
    <w:qFormat/>
    <w:rsid w:val="00D1473C"/>
    <w:pPr>
      <w:spacing w:after="200" w:line="240" w:lineRule="auto"/>
    </w:pPr>
    <w:rPr>
      <w:i/>
      <w:iCs/>
      <w:color w:val="0E2841" w:themeColor="text2"/>
      <w:sz w:val="18"/>
      <w:szCs w:val="18"/>
    </w:rPr>
  </w:style>
  <w:style w:type="character" w:styleId="Emphasis">
    <w:name w:val="Emphasis"/>
    <w:basedOn w:val="DefaultParagraphFont"/>
    <w:uiPriority w:val="20"/>
    <w:qFormat/>
    <w:rsid w:val="00D1473C"/>
    <w:rPr>
      <w:i/>
      <w:iCs/>
    </w:rPr>
  </w:style>
  <w:style w:type="paragraph" w:styleId="NoSpacing">
    <w:name w:val="No Spacing"/>
    <w:uiPriority w:val="1"/>
    <w:qFormat/>
    <w:rsid w:val="00D1473C"/>
    <w:pPr>
      <w:spacing w:after="0" w:line="240" w:lineRule="auto"/>
    </w:pPr>
    <w:rPr>
      <w:rFonts w:ascii="Calibri" w:eastAsia="Calibri" w:hAnsi="Calibri" w:cs="Calibri"/>
      <w:kern w:val="0"/>
      <w:sz w:val="21"/>
      <w:szCs w:val="21"/>
      <w14:ligatures w14:val="none"/>
    </w:rPr>
  </w:style>
  <w:style w:type="character" w:styleId="Strong">
    <w:name w:val="Strong"/>
    <w:basedOn w:val="DefaultParagraphFont"/>
    <w:uiPriority w:val="22"/>
    <w:qFormat/>
    <w:rsid w:val="00D1473C"/>
    <w:rPr>
      <w:b/>
      <w:bCs/>
    </w:rPr>
  </w:style>
  <w:style w:type="character" w:styleId="SubtleEmphasis">
    <w:name w:val="Subtle Emphasis"/>
    <w:basedOn w:val="DefaultParagraphFont"/>
    <w:uiPriority w:val="19"/>
    <w:qFormat/>
    <w:rsid w:val="00D1473C"/>
    <w:rPr>
      <w:i/>
      <w:iCs/>
      <w:color w:val="404040" w:themeColor="text1" w:themeTint="BF"/>
    </w:rPr>
  </w:style>
  <w:style w:type="character" w:styleId="SubtleReference">
    <w:name w:val="Subtle Reference"/>
    <w:basedOn w:val="DefaultParagraphFont"/>
    <w:uiPriority w:val="31"/>
    <w:qFormat/>
    <w:rsid w:val="00D1473C"/>
    <w:rPr>
      <w:smallCaps/>
      <w:color w:val="5A5A5A" w:themeColor="text1" w:themeTint="A5"/>
    </w:rPr>
  </w:style>
  <w:style w:type="paragraph" w:styleId="TOCHeading">
    <w:name w:val="TOC Heading"/>
    <w:basedOn w:val="Heading1"/>
    <w:next w:val="Normal"/>
    <w:uiPriority w:val="39"/>
    <w:semiHidden/>
    <w:unhideWhenUsed/>
    <w:qFormat/>
    <w:rsid w:val="00D1473C"/>
    <w:pPr>
      <w:spacing w:before="240" w:after="0"/>
      <w:outlineLvl w:val="9"/>
    </w:pPr>
    <w:rPr>
      <w:sz w:val="32"/>
      <w:szCs w:val="32"/>
    </w:rPr>
  </w:style>
  <w:style w:type="character" w:styleId="Hyperlink">
    <w:name w:val="Hyperlink"/>
    <w:basedOn w:val="DefaultParagraphFont"/>
    <w:uiPriority w:val="99"/>
    <w:unhideWhenUsed/>
    <w:rsid w:val="003274FE"/>
    <w:rPr>
      <w:color w:val="467886" w:themeColor="hyperlink"/>
      <w:u w:val="single"/>
    </w:rPr>
  </w:style>
  <w:style w:type="character" w:styleId="UnresolvedMention">
    <w:name w:val="Unresolved Mention"/>
    <w:basedOn w:val="DefaultParagraphFont"/>
    <w:uiPriority w:val="99"/>
    <w:semiHidden/>
    <w:unhideWhenUsed/>
    <w:rsid w:val="003274FE"/>
    <w:rPr>
      <w:color w:val="605E5C"/>
      <w:shd w:val="clear" w:color="auto" w:fill="E1DFDD"/>
    </w:rPr>
  </w:style>
  <w:style w:type="character" w:styleId="FollowedHyperlink">
    <w:name w:val="FollowedHyperlink"/>
    <w:basedOn w:val="DefaultParagraphFont"/>
    <w:uiPriority w:val="99"/>
    <w:semiHidden/>
    <w:unhideWhenUsed/>
    <w:rsid w:val="00F41E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ntene-my.sharepoint.com/:w:/r/personal/cn166438_centene_com/Documents/MedEcon/PPA%20-%20Pharmacy/Prototype/Lean%20Canvas.docx?d=wd7b028e93885469c89500d9686348a08&amp;csf=1&amp;web=1&amp;e=w2Ov1E" TargetMode="External"/><Relationship Id="rId13" Type="http://schemas.openxmlformats.org/officeDocument/2006/relationships/hyperlink" Target="https://acrobat.adobe.com/id/urn:aaid:sc:US:1ba4d8fb-6991-4b17-8579-63e2194a332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Users/cn166438/Library/CloudStorage/OneDrive-CenteneCorporation/MedEcon/PPA%20Design%20System/index.html" TargetMode="External"/><Relationship Id="rId12" Type="http://schemas.openxmlformats.org/officeDocument/2006/relationships/hyperlink" Target="https://centene-my.sharepoint.com/:w:/r/personal/cn166438_centene_com/Documents/MedEcon/PPA%20-%20Quality/Lean%20Canvas%20PPA%20Quality.docx?d=wc92d5473c0974cd18f195c20d848a200&amp;csf=1&amp;web=1&amp;e=Hleryx" TargetMode="External"/><Relationship Id="rId17" Type="http://schemas.openxmlformats.org/officeDocument/2006/relationships/hyperlink" Target="https://acrobat.adobe.com/id/urn:aaid:sc:US:a6d88625-1039-4502-a306-dadbba4b42fa" TargetMode="External"/><Relationship Id="rId2" Type="http://schemas.openxmlformats.org/officeDocument/2006/relationships/styles" Target="styles.xml"/><Relationship Id="rId16" Type="http://schemas.openxmlformats.org/officeDocument/2006/relationships/hyperlink" Target="https://acrobat.adobe.com/id/urn:aaid:sc:US:d3ab3b7e-ae0d-4bce-9536-9bccbe6b59c1" TargetMode="External"/><Relationship Id="rId1" Type="http://schemas.openxmlformats.org/officeDocument/2006/relationships/numbering" Target="numbering.xml"/><Relationship Id="rId6" Type="http://schemas.openxmlformats.org/officeDocument/2006/relationships/hyperlink" Target="https://centene.sharepoint.com/teams/CenteneDataAnalytics/SitePages/Creating-a-Minimum-Lovable-Product-with-Lean-Canvas.aspx" TargetMode="External"/><Relationship Id="rId11" Type="http://schemas.openxmlformats.org/officeDocument/2006/relationships/hyperlink" Target="file:///Users/cn166438/Library/CloudStorage/OneDrive-CenteneCorporation/MedEcon/PPA%20-%20Care%20Management/Prototype/PPA-CM-Dashboard-2.html" TargetMode="External"/><Relationship Id="rId5" Type="http://schemas.openxmlformats.org/officeDocument/2006/relationships/hyperlink" Target="https://centene.sharepoint.com/teams/CenteneDataAnalytics/_layouts/15/Doc.aspx?sourcedoc=%7BBFF6A439-BB0F-4561-9322-F1CC6EA355AE%7D&amp;file=Lean-UX-Canvas-Template-v4-12.31.2024.pptx&amp;action=edit&amp;mobileredirect=true&amp;DefaultItemOpen=1?web=1" TargetMode="External"/><Relationship Id="rId15" Type="http://schemas.openxmlformats.org/officeDocument/2006/relationships/hyperlink" Target="https://acrobat.adobe.com/id/urn:aaid:sc:US:d2e7cc23-9004-4185-97d7-9ee4f7c51e83" TargetMode="External"/><Relationship Id="rId10" Type="http://schemas.openxmlformats.org/officeDocument/2006/relationships/hyperlink" Target="https://centene-my.sharepoint.com/:w:/r/personal/cn166438_centene_com/Documents/MedEcon/PPA%20-%20Care%20Management/Lean%20Canvas%20PPA%20Care%20Management.docx?d=w4b46b83fcf024104a17805209730be8b&amp;csf=1&amp;web=1&amp;e=6bJ1F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Users/cn166438/Library/CloudStorage/OneDrive-CenteneCorporation/MedEcon/PPA%20-%20Pharmacy/Prototype/PPA-Pharmacy-Dashboard-6.2.26.html" TargetMode="External"/><Relationship Id="rId14" Type="http://schemas.openxmlformats.org/officeDocument/2006/relationships/hyperlink" Target="https://centene-my.sharepoint.com/:p:/r/personal/cn166438_centene_com/Documents/MedEcon/Scorecards/UX%20Findings%20-%20PPA-Focus%20Group%20-%20Dec%2018%202025.pptx?d=w422212a6751e453d885c989eb4958633&amp;csf=1&amp;web=1&amp;e=035c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1074</Words>
  <Characters>5879</Characters>
  <Application>Microsoft Office Word</Application>
  <DocSecurity>0</DocSecurity>
  <Lines>163</Lines>
  <Paragraphs>108</Paragraphs>
  <ScaleCrop>false</ScaleCrop>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A. Brown</dc:creator>
  <cp:keywords/>
  <dc:description/>
  <cp:lastModifiedBy>Shannon A. Brown</cp:lastModifiedBy>
  <cp:revision>74</cp:revision>
  <dcterms:created xsi:type="dcterms:W3CDTF">2026-07-28T13:46:00Z</dcterms:created>
  <dcterms:modified xsi:type="dcterms:W3CDTF">2026-07-28T16:07:00Z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b638e0-f50f-48bd-992f-bcb55031a99f_Enabled">
    <vt:lpwstr>true</vt:lpwstr>
  </property>
  <property fmtid="{D5CDD505-2E9C-101B-9397-08002B2CF9AE}" pid="3" name="MSIP_Label_b0b638e0-f50f-48bd-992f-bcb55031a99f_SetDate">
    <vt:lpwstr>2026-07-28T13:46:51Z</vt:lpwstr>
  </property>
  <property fmtid="{D5CDD505-2E9C-101B-9397-08002B2CF9AE}" pid="4" name="MSIP_Label_b0b638e0-f50f-48bd-992f-bcb55031a99f_Method">
    <vt:lpwstr>Standard</vt:lpwstr>
  </property>
  <property fmtid="{D5CDD505-2E9C-101B-9397-08002B2CF9AE}" pid="5" name="MSIP_Label_b0b638e0-f50f-48bd-992f-bcb55031a99f_Name">
    <vt:lpwstr>Confidential Default</vt:lpwstr>
  </property>
  <property fmtid="{D5CDD505-2E9C-101B-9397-08002B2CF9AE}" pid="6" name="MSIP_Label_b0b638e0-f50f-48bd-992f-bcb55031a99f_SiteId">
    <vt:lpwstr>f45ccc07-e57e-4d15-bf6f-f6cbccd2d395</vt:lpwstr>
  </property>
  <property fmtid="{D5CDD505-2E9C-101B-9397-08002B2CF9AE}" pid="7" name="MSIP_Label_b0b638e0-f50f-48bd-992f-bcb55031a99f_ActionId">
    <vt:lpwstr>8145e601-21bc-4df1-b56b-ce6763dd4361</vt:lpwstr>
  </property>
  <property fmtid="{D5CDD505-2E9C-101B-9397-08002B2CF9AE}" pid="8" name="MSIP_Label_b0b638e0-f50f-48bd-992f-bcb55031a99f_ContentBits">
    <vt:lpwstr>0</vt:lpwstr>
  </property>
  <property fmtid="{D5CDD505-2E9C-101B-9397-08002B2CF9AE}" pid="9" name="MSIP_Label_b0b638e0-f50f-48bd-992f-bcb55031a99f_Tag">
    <vt:lpwstr>50, 3, 0, 1</vt:lpwstr>
  </property>
</Properties>
</file>